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B2EF9A1" w:rsidR="00D04424" w:rsidRPr="0061035D" w:rsidRDefault="0014332B" w:rsidP="003719AD">
      <w:pPr>
        <w:pStyle w:val="Heading1"/>
        <w:spacing w:before="0" w:after="0"/>
        <w:jc w:val="left"/>
        <w:rPr>
          <w:bCs/>
          <w:color w:val="auto"/>
          <w:sz w:val="32"/>
        </w:rPr>
      </w:pPr>
      <w:r w:rsidRPr="0061035D">
        <w:rPr>
          <w:bCs/>
          <w:color w:val="auto"/>
          <w:sz w:val="32"/>
        </w:rPr>
        <w:t>Bespoke p</w:t>
      </w:r>
      <w:r w:rsidR="00D04424" w:rsidRPr="0061035D">
        <w:rPr>
          <w:bCs/>
          <w:color w:val="auto"/>
          <w:sz w:val="32"/>
        </w:rPr>
        <w:t>ermit</w:t>
      </w:r>
      <w:r w:rsidR="00B73ECB" w:rsidRPr="0061035D">
        <w:rPr>
          <w:bCs/>
          <w:color w:val="auto"/>
          <w:sz w:val="32"/>
        </w:rPr>
        <w:t xml:space="preserve"> </w:t>
      </w:r>
    </w:p>
    <w:p w14:paraId="41AC372F" w14:textId="77777777" w:rsidR="00136717" w:rsidRPr="0061035D" w:rsidRDefault="00136717" w:rsidP="00136717"/>
    <w:p w14:paraId="0FF1524F" w14:textId="77777777" w:rsidR="007820C3" w:rsidRPr="0061035D" w:rsidRDefault="007820C3" w:rsidP="00D04424">
      <w:pPr>
        <w:rPr>
          <w:rFonts w:ascii="Arial" w:hAnsi="Arial" w:cs="Arial"/>
          <w:szCs w:val="24"/>
        </w:rPr>
      </w:pPr>
    </w:p>
    <w:p w14:paraId="0FF15250" w14:textId="3E5761E3" w:rsidR="00D04424" w:rsidRPr="0061035D" w:rsidRDefault="0060457F" w:rsidP="006B0BFB">
      <w:pPr>
        <w:spacing w:after="120"/>
        <w:rPr>
          <w:rFonts w:ascii="Arial" w:hAnsi="Arial" w:cs="Arial"/>
          <w:szCs w:val="24"/>
        </w:rPr>
      </w:pPr>
      <w:r w:rsidRPr="0061035D">
        <w:rPr>
          <w:rFonts w:ascii="Arial" w:hAnsi="Arial" w:cs="Arial"/>
          <w:szCs w:val="24"/>
        </w:rPr>
        <w:t xml:space="preserve">We have decided to </w:t>
      </w:r>
      <w:r w:rsidR="00D2020E" w:rsidRPr="0061035D">
        <w:rPr>
          <w:rFonts w:ascii="Arial" w:hAnsi="Arial" w:cs="Arial"/>
          <w:szCs w:val="24"/>
        </w:rPr>
        <w:t xml:space="preserve">grant </w:t>
      </w:r>
      <w:r w:rsidRPr="0061035D">
        <w:rPr>
          <w:rFonts w:ascii="Arial" w:hAnsi="Arial" w:cs="Arial"/>
          <w:szCs w:val="24"/>
        </w:rPr>
        <w:t xml:space="preserve">the </w:t>
      </w:r>
      <w:r w:rsidR="009D7A61" w:rsidRPr="0061035D">
        <w:rPr>
          <w:rFonts w:ascii="Arial" w:hAnsi="Arial" w:cs="Arial"/>
          <w:szCs w:val="24"/>
        </w:rPr>
        <w:t>permit</w:t>
      </w:r>
      <w:r w:rsidRPr="0061035D">
        <w:rPr>
          <w:rFonts w:ascii="Arial" w:hAnsi="Arial" w:cs="Arial"/>
          <w:szCs w:val="24"/>
        </w:rPr>
        <w:t xml:space="preserve"> for </w:t>
      </w:r>
      <w:r w:rsidR="009D7A61" w:rsidRPr="0061035D">
        <w:rPr>
          <w:rFonts w:ascii="Arial" w:hAnsi="Arial" w:cs="Arial"/>
          <w:szCs w:val="24"/>
        </w:rPr>
        <w:t>1-4 Maes View</w:t>
      </w:r>
      <w:r w:rsidRPr="0061035D">
        <w:rPr>
          <w:rFonts w:ascii="Arial" w:hAnsi="Arial" w:cs="Arial"/>
          <w:szCs w:val="24"/>
        </w:rPr>
        <w:t xml:space="preserve"> operated by </w:t>
      </w:r>
      <w:r w:rsidR="009D7A61" w:rsidRPr="0061035D">
        <w:rPr>
          <w:rFonts w:ascii="Arial" w:hAnsi="Arial" w:cs="Arial"/>
          <w:szCs w:val="24"/>
        </w:rPr>
        <w:t>Powys County Council</w:t>
      </w:r>
      <w:r w:rsidR="001034AC" w:rsidRPr="0061035D">
        <w:rPr>
          <w:rFonts w:ascii="Arial" w:hAnsi="Arial" w:cs="Arial"/>
          <w:szCs w:val="24"/>
        </w:rPr>
        <w:t>.</w:t>
      </w:r>
    </w:p>
    <w:p w14:paraId="178F17B4" w14:textId="7D0F1585" w:rsidR="00E907C6" w:rsidRPr="0061035D" w:rsidRDefault="00E907C6" w:rsidP="006B0BFB">
      <w:pPr>
        <w:tabs>
          <w:tab w:val="left" w:pos="4253"/>
          <w:tab w:val="left" w:pos="6804"/>
        </w:tabs>
        <w:spacing w:after="120"/>
        <w:rPr>
          <w:rFonts w:ascii="Arial" w:hAnsi="Arial"/>
          <w:kern w:val="28"/>
          <w:szCs w:val="24"/>
        </w:rPr>
      </w:pPr>
      <w:bookmarkStart w:id="0" w:name="OLE_LINK1"/>
      <w:bookmarkStart w:id="1" w:name="OLE_LINK2"/>
      <w:r w:rsidRPr="0061035D">
        <w:rPr>
          <w:rFonts w:ascii="Arial" w:hAnsi="Arial"/>
          <w:kern w:val="28"/>
          <w:szCs w:val="24"/>
        </w:rPr>
        <w:t xml:space="preserve">The application number is </w:t>
      </w:r>
      <w:r w:rsidR="009D7A61" w:rsidRPr="0061035D">
        <w:rPr>
          <w:rFonts w:ascii="Arial" w:hAnsi="Arial"/>
          <w:szCs w:val="24"/>
        </w:rPr>
        <w:t>PAN-003044</w:t>
      </w:r>
    </w:p>
    <w:p w14:paraId="0FF15251" w14:textId="1E6D553D"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E2427" w:rsidRPr="008E2427">
        <w:rPr>
          <w:rFonts w:ascii="Arial" w:hAnsi="Arial"/>
          <w:szCs w:val="24"/>
        </w:rPr>
        <w:t>EPR-BB3094HS</w:t>
      </w:r>
    </w:p>
    <w:p w14:paraId="0FF15252" w14:textId="2594080F" w:rsidR="00E244F7" w:rsidRPr="00E244F7" w:rsidRDefault="009D7A61" w:rsidP="006B0BFB">
      <w:pPr>
        <w:tabs>
          <w:tab w:val="left" w:pos="4253"/>
          <w:tab w:val="left" w:pos="6804"/>
        </w:tabs>
        <w:spacing w:after="120"/>
        <w:rPr>
          <w:rFonts w:ascii="Arial" w:hAnsi="Arial"/>
          <w:color w:val="FF0000"/>
        </w:rPr>
      </w:pPr>
      <w:r w:rsidRPr="009D7A61">
        <w:rPr>
          <w:rFonts w:ascii="Arial" w:hAnsi="Arial"/>
          <w:color w:val="000000"/>
        </w:rPr>
        <w:t xml:space="preserve">The permit regulates a new discharge of secondary treated effluent with a maximum discharge volume of 5.5 cubic metres per day. The treated effluent discharges to the Maes Brook. The treatment system of a package treatment plant serves six x 3 bed properties, a </w:t>
      </w:r>
      <w:proofErr w:type="gramStart"/>
      <w:r w:rsidRPr="009D7A61">
        <w:rPr>
          <w:rFonts w:ascii="Arial" w:hAnsi="Arial"/>
          <w:color w:val="000000"/>
        </w:rPr>
        <w:t>2 bed</w:t>
      </w:r>
      <w:proofErr w:type="gramEnd"/>
      <w:r w:rsidRPr="009D7A61">
        <w:rPr>
          <w:rFonts w:ascii="Arial" w:hAnsi="Arial"/>
          <w:color w:val="000000"/>
        </w:rPr>
        <w:t xml:space="preserve"> bungalow and two x 4 bed properties.  </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bookmarkStart w:id="2" w:name="_GoBack"/>
      <w:bookmarkEnd w:id="2"/>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29F6DC41" w:rsidR="006420BA" w:rsidRPr="003546B3" w:rsidRDefault="006420BA" w:rsidP="0061035D">
      <w:pPr>
        <w:spacing w:after="120"/>
        <w:ind w:left="1134"/>
        <w:rPr>
          <w:rFonts w:ascii="Arial" w:hAnsi="Arial"/>
        </w:rPr>
      </w:pP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6"/>
        <w:gridCol w:w="6266"/>
        <w:gridCol w:w="1072"/>
        <w:gridCol w:w="13"/>
      </w:tblGrid>
      <w:tr w:rsidR="00792CEE" w:rsidRPr="007820C3" w14:paraId="0FF1527C" w14:textId="77777777" w:rsidTr="009D7A61">
        <w:trPr>
          <w:gridAfter w:val="1"/>
          <w:wAfter w:w="13" w:type="dxa"/>
          <w:cantSplit/>
          <w:tblHeader/>
        </w:trPr>
        <w:tc>
          <w:tcPr>
            <w:tcW w:w="1956"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9D7A61">
        <w:trPr>
          <w:gridAfter w:val="1"/>
          <w:wAfter w:w="13" w:type="dxa"/>
          <w:cantSplit/>
          <w:trHeight w:val="276"/>
          <w:tblHeader/>
        </w:trPr>
        <w:tc>
          <w:tcPr>
            <w:tcW w:w="1956"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9D7A61">
        <w:tc>
          <w:tcPr>
            <w:tcW w:w="9307"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9D7A61">
        <w:trPr>
          <w:gridAfter w:val="1"/>
          <w:wAfter w:w="13" w:type="dxa"/>
        </w:trPr>
        <w:tc>
          <w:tcPr>
            <w:tcW w:w="1956"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3059330A"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0FF15296" w14:textId="498938EA" w:rsidR="00AD316F" w:rsidRPr="007820C3" w:rsidRDefault="00AD316F"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9D7A61">
        <w:trPr>
          <w:gridAfter w:val="1"/>
          <w:wAfter w:w="13" w:type="dxa"/>
        </w:trPr>
        <w:tc>
          <w:tcPr>
            <w:tcW w:w="1956" w:type="dxa"/>
            <w:tcBorders>
              <w:bottom w:val="single" w:sz="4" w:space="0" w:color="auto"/>
            </w:tcBorders>
          </w:tcPr>
          <w:p w14:paraId="0FF15299" w14:textId="6DA50C3B" w:rsidR="007820C3" w:rsidRPr="0061035D" w:rsidRDefault="007820C3" w:rsidP="007820C3">
            <w:pPr>
              <w:pStyle w:val="Heading3"/>
              <w:spacing w:before="60"/>
              <w:rPr>
                <w:rFonts w:ascii="Arial" w:hAnsi="Arial" w:cs="Arial"/>
                <w:b w:val="0"/>
                <w:szCs w:val="24"/>
                <w:highlight w:val="red"/>
              </w:rPr>
            </w:pPr>
            <w:r w:rsidRPr="0061035D">
              <w:rPr>
                <w:rFonts w:ascii="Arial" w:hAnsi="Arial" w:cs="Arial"/>
                <w:b w:val="0"/>
                <w:szCs w:val="24"/>
              </w:rPr>
              <w:t xml:space="preserve">Responses to web publicising </w:t>
            </w:r>
          </w:p>
        </w:tc>
        <w:tc>
          <w:tcPr>
            <w:tcW w:w="6266" w:type="dxa"/>
            <w:tcBorders>
              <w:bottom w:val="single" w:sz="4" w:space="0" w:color="auto"/>
            </w:tcBorders>
          </w:tcPr>
          <w:p w14:paraId="0FF1529A" w14:textId="497E06AB" w:rsidR="007820C3" w:rsidRPr="0061035D" w:rsidRDefault="007820C3" w:rsidP="007820C3">
            <w:pPr>
              <w:spacing w:before="60"/>
              <w:rPr>
                <w:rFonts w:ascii="Arial" w:hAnsi="Arial" w:cs="Arial"/>
                <w:szCs w:val="24"/>
              </w:rPr>
            </w:pPr>
            <w:r w:rsidRPr="0061035D">
              <w:rPr>
                <w:rFonts w:ascii="Arial" w:hAnsi="Arial" w:cs="Arial"/>
                <w:szCs w:val="24"/>
              </w:rPr>
              <w:t xml:space="preserve">The web publicising responses (Annex 2) were taken into account in the decision.  </w:t>
            </w:r>
          </w:p>
          <w:p w14:paraId="0FF1529B" w14:textId="77777777" w:rsidR="007820C3" w:rsidRPr="0061035D" w:rsidRDefault="007820C3" w:rsidP="007820C3">
            <w:pPr>
              <w:spacing w:before="60"/>
              <w:rPr>
                <w:rFonts w:ascii="Arial" w:hAnsi="Arial" w:cs="Arial"/>
                <w:szCs w:val="24"/>
              </w:rPr>
            </w:pPr>
          </w:p>
          <w:p w14:paraId="0FF1529C" w14:textId="77777777" w:rsidR="007820C3" w:rsidRPr="0061035D" w:rsidRDefault="007820C3" w:rsidP="007820C3">
            <w:pPr>
              <w:spacing w:before="60"/>
              <w:rPr>
                <w:rFonts w:ascii="Arial" w:hAnsi="Arial" w:cs="Arial"/>
                <w:szCs w:val="24"/>
              </w:rPr>
            </w:pPr>
            <w:r w:rsidRPr="0061035D">
              <w:rPr>
                <w:rFonts w:ascii="Arial" w:hAnsi="Arial" w:cs="Arial"/>
                <w:szCs w:val="24"/>
              </w:rPr>
              <w:t xml:space="preserve">The decision was taken in accordance with our guidance. </w:t>
            </w:r>
          </w:p>
          <w:p w14:paraId="66E9D562" w14:textId="77777777" w:rsidR="007820C3" w:rsidRPr="0061035D" w:rsidRDefault="007820C3" w:rsidP="007820C3">
            <w:pPr>
              <w:spacing w:before="60"/>
              <w:rPr>
                <w:rFonts w:ascii="Arial" w:hAnsi="Arial" w:cs="Arial"/>
                <w:szCs w:val="24"/>
              </w:rPr>
            </w:pPr>
          </w:p>
          <w:p w14:paraId="564F27D0" w14:textId="77777777" w:rsidR="009D7A61" w:rsidRPr="0061035D" w:rsidRDefault="009D7A61" w:rsidP="007820C3">
            <w:pPr>
              <w:spacing w:before="60"/>
              <w:rPr>
                <w:rFonts w:ascii="Arial" w:hAnsi="Arial" w:cs="Arial"/>
                <w:szCs w:val="24"/>
              </w:rPr>
            </w:pPr>
            <w:r w:rsidRPr="0061035D">
              <w:rPr>
                <w:rFonts w:ascii="Arial" w:hAnsi="Arial" w:cs="Arial"/>
                <w:szCs w:val="24"/>
              </w:rPr>
              <w:t>There were no responses to web publicising.</w:t>
            </w:r>
          </w:p>
          <w:p w14:paraId="0FF1529D" w14:textId="15CC3663" w:rsidR="009D7A61" w:rsidRPr="0061035D" w:rsidRDefault="009D7A61"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9D7A61">
        <w:tc>
          <w:tcPr>
            <w:tcW w:w="9307"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9D7A61">
        <w:trPr>
          <w:gridAfter w:val="1"/>
          <w:wAfter w:w="13" w:type="dxa"/>
        </w:trPr>
        <w:tc>
          <w:tcPr>
            <w:tcW w:w="1956"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35B74B14"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9D7A61">
        <w:tc>
          <w:tcPr>
            <w:tcW w:w="9307"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9D7A61">
        <w:trPr>
          <w:gridAfter w:val="1"/>
          <w:wAfter w:w="13" w:type="dxa"/>
        </w:trPr>
        <w:tc>
          <w:tcPr>
            <w:tcW w:w="1956"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9D7A6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9D7A61">
        <w:tc>
          <w:tcPr>
            <w:tcW w:w="9307"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9D7A61">
        <w:trPr>
          <w:gridAfter w:val="1"/>
          <w:wAfter w:w="13" w:type="dxa"/>
        </w:trPr>
        <w:tc>
          <w:tcPr>
            <w:tcW w:w="1956"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1" w14:textId="5AB6730D" w:rsidR="007820C3" w:rsidRPr="009D7A61"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9D7A61">
        <w:tc>
          <w:tcPr>
            <w:tcW w:w="9307"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9D7A61">
        <w:trPr>
          <w:gridAfter w:val="1"/>
          <w:wAfter w:w="13" w:type="dxa"/>
        </w:trPr>
        <w:tc>
          <w:tcPr>
            <w:tcW w:w="1956"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468A94B" w:rsidR="007820C3" w:rsidRPr="00FB30B4" w:rsidRDefault="007820C3" w:rsidP="00A26EA6">
            <w:pPr>
              <w:rPr>
                <w:rFonts w:ascii="Arial" w:hAnsi="Arial" w:cs="Arial"/>
                <w:color w:val="FF00FF"/>
                <w:szCs w:val="24"/>
              </w:rPr>
            </w:pPr>
          </w:p>
        </w:tc>
        <w:tc>
          <w:tcPr>
            <w:tcW w:w="6266" w:type="dxa"/>
          </w:tcPr>
          <w:p w14:paraId="0FF152E2" w14:textId="77777777" w:rsidR="007820C3" w:rsidRPr="0061035D" w:rsidRDefault="007820C3" w:rsidP="00A60F17">
            <w:pPr>
              <w:rPr>
                <w:rFonts w:ascii="Arial" w:hAnsi="Arial" w:cs="Arial"/>
                <w:szCs w:val="24"/>
              </w:rPr>
            </w:pPr>
            <w:r w:rsidRPr="0061035D">
              <w:rPr>
                <w:rFonts w:ascii="Arial" w:hAnsi="Arial" w:cs="Arial"/>
                <w:szCs w:val="24"/>
              </w:rPr>
              <w:t xml:space="preserve">We have carried out a risk assessment on behalf of the operator.  </w:t>
            </w:r>
          </w:p>
          <w:p w14:paraId="0FF152E3" w14:textId="77777777" w:rsidR="00FB30B4" w:rsidRPr="0061035D" w:rsidRDefault="00FB30B4" w:rsidP="00A60F17">
            <w:pPr>
              <w:rPr>
                <w:rFonts w:ascii="Arial" w:hAnsi="Arial" w:cs="Arial"/>
                <w:szCs w:val="24"/>
              </w:rPr>
            </w:pPr>
          </w:p>
          <w:p w14:paraId="0FF152E4" w14:textId="77777777" w:rsidR="007820C3" w:rsidRPr="0061035D" w:rsidRDefault="007820C3" w:rsidP="00A60F17">
            <w:pPr>
              <w:rPr>
                <w:rFonts w:ascii="Arial" w:hAnsi="Arial" w:cs="Arial"/>
                <w:szCs w:val="24"/>
              </w:rPr>
            </w:pPr>
            <w:r w:rsidRPr="0061035D">
              <w:rPr>
                <w:rFonts w:ascii="Arial" w:hAnsi="Arial" w:cs="Arial"/>
                <w:szCs w:val="24"/>
              </w:rPr>
              <w:t xml:space="preserve">The operator considers this risk assessment is satisfactory. </w:t>
            </w:r>
          </w:p>
          <w:p w14:paraId="0FF152E7" w14:textId="77777777" w:rsidR="007820C3" w:rsidRPr="0061035D" w:rsidRDefault="007820C3" w:rsidP="00A60F17">
            <w:pPr>
              <w:rPr>
                <w:rFonts w:ascii="Arial" w:hAnsi="Arial" w:cs="Arial"/>
                <w:szCs w:val="24"/>
              </w:rPr>
            </w:pPr>
          </w:p>
          <w:p w14:paraId="0FF152E8" w14:textId="3BBB654B" w:rsidR="007820C3" w:rsidRPr="0061035D" w:rsidRDefault="007820C3" w:rsidP="00A60F17">
            <w:pPr>
              <w:pStyle w:val="BodyText"/>
              <w:rPr>
                <w:rFonts w:ascii="Arial" w:hAnsi="Arial" w:cs="Arial"/>
                <w:color w:val="auto"/>
                <w:szCs w:val="24"/>
              </w:rPr>
            </w:pPr>
            <w:r w:rsidRPr="0061035D">
              <w:rPr>
                <w:rFonts w:ascii="Arial" w:hAnsi="Arial" w:cs="Arial"/>
                <w:color w:val="auto"/>
                <w:szCs w:val="24"/>
              </w:rPr>
              <w:lastRenderedPageBreak/>
              <w:t xml:space="preserve">The assessment shows that, applying the conservative criteria in our guidance on Environmental Risk Assessment all emissions may be categorised as environmentally insignificant. </w:t>
            </w:r>
          </w:p>
          <w:p w14:paraId="0FF152E9" w14:textId="77777777" w:rsidR="00FB30B4" w:rsidRPr="0061035D"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9D7A61">
        <w:trPr>
          <w:gridAfter w:val="1"/>
          <w:wAfter w:w="13" w:type="dxa"/>
        </w:trPr>
        <w:tc>
          <w:tcPr>
            <w:tcW w:w="1956"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1F29CF6E" w:rsidR="007820C3" w:rsidRPr="0061035D" w:rsidRDefault="007820C3" w:rsidP="00792CEE">
            <w:pPr>
              <w:pStyle w:val="BodyText"/>
              <w:rPr>
                <w:rFonts w:ascii="Arial" w:hAnsi="Arial" w:cs="Arial"/>
                <w:color w:val="auto"/>
                <w:szCs w:val="24"/>
              </w:rPr>
            </w:pPr>
            <w:r w:rsidRPr="0061035D">
              <w:rPr>
                <w:rFonts w:ascii="Arial" w:hAnsi="Arial" w:cs="Arial"/>
                <w:color w:val="auto"/>
                <w:szCs w:val="24"/>
              </w:rPr>
              <w:t xml:space="preserve">We have reviewed the techniques used by the operator and compared these with the relevant guidance notes. </w:t>
            </w:r>
          </w:p>
          <w:p w14:paraId="220778FE" w14:textId="77777777" w:rsidR="009D7A61" w:rsidRPr="0061035D" w:rsidRDefault="009D7A61" w:rsidP="00792CEE">
            <w:pPr>
              <w:pStyle w:val="BodyText"/>
              <w:rPr>
                <w:rFonts w:ascii="Arial" w:hAnsi="Arial" w:cs="Arial"/>
                <w:color w:val="auto"/>
                <w:szCs w:val="24"/>
              </w:rPr>
            </w:pPr>
          </w:p>
          <w:p w14:paraId="0FF152EE" w14:textId="38653221" w:rsidR="007820C3" w:rsidRPr="0061035D" w:rsidRDefault="009D7A61" w:rsidP="00792CEE">
            <w:pPr>
              <w:pStyle w:val="BodyText"/>
              <w:rPr>
                <w:rFonts w:ascii="Arial" w:hAnsi="Arial" w:cs="Arial"/>
                <w:color w:val="auto"/>
                <w:szCs w:val="24"/>
              </w:rPr>
            </w:pPr>
            <w:r w:rsidRPr="0061035D">
              <w:rPr>
                <w:rFonts w:ascii="Arial" w:hAnsi="Arial" w:cs="Arial"/>
                <w:color w:val="auto"/>
                <w:szCs w:val="24"/>
              </w:rPr>
              <w:t>M</w:t>
            </w:r>
            <w:r w:rsidR="007820C3" w:rsidRPr="0061035D">
              <w:rPr>
                <w:rFonts w:ascii="Arial" w:hAnsi="Arial" w:cs="Arial"/>
                <w:color w:val="auto"/>
                <w:szCs w:val="24"/>
              </w:rPr>
              <w:t>easures proposed by the operator</w:t>
            </w:r>
            <w:r w:rsidRPr="0061035D">
              <w:rPr>
                <w:rFonts w:ascii="Arial" w:hAnsi="Arial" w:cs="Arial"/>
                <w:color w:val="auto"/>
                <w:szCs w:val="24"/>
              </w:rPr>
              <w:t xml:space="preserve"> comply with the requirements set in TGN EPR 7.01.</w:t>
            </w:r>
          </w:p>
          <w:p w14:paraId="0F6C47EB" w14:textId="77777777" w:rsidR="009D7A61" w:rsidRPr="0061035D" w:rsidRDefault="009D7A61" w:rsidP="00792CEE">
            <w:pPr>
              <w:pStyle w:val="BodyText"/>
              <w:rPr>
                <w:rFonts w:ascii="Arial" w:hAnsi="Arial" w:cs="Arial"/>
                <w:color w:val="auto"/>
                <w:szCs w:val="24"/>
              </w:rPr>
            </w:pPr>
          </w:p>
          <w:p w14:paraId="0FF152EF" w14:textId="77777777" w:rsidR="007820C3" w:rsidRPr="0061035D" w:rsidRDefault="007820C3" w:rsidP="00792CEE">
            <w:pPr>
              <w:pStyle w:val="BodyText"/>
              <w:rPr>
                <w:rFonts w:ascii="Arial" w:hAnsi="Arial" w:cs="Arial"/>
                <w:color w:val="auto"/>
                <w:szCs w:val="24"/>
              </w:rPr>
            </w:pPr>
            <w:r w:rsidRPr="0061035D">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61035D" w:rsidRDefault="00FB30B4" w:rsidP="009D7A61">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9D7A61">
        <w:tc>
          <w:tcPr>
            <w:tcW w:w="9307"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9D7A61">
        <w:trPr>
          <w:gridAfter w:val="1"/>
          <w:wAfter w:w="13" w:type="dxa"/>
        </w:trPr>
        <w:tc>
          <w:tcPr>
            <w:tcW w:w="1956"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61035D" w:rsidRDefault="007820C3" w:rsidP="007E3284">
            <w:pPr>
              <w:rPr>
                <w:rFonts w:ascii="Arial" w:hAnsi="Arial" w:cs="Arial"/>
                <w:szCs w:val="24"/>
              </w:rPr>
            </w:pPr>
            <w:r w:rsidRPr="0061035D">
              <w:rPr>
                <w:rFonts w:ascii="Arial" w:hAnsi="Arial" w:cs="Arial"/>
                <w:szCs w:val="24"/>
              </w:rPr>
              <w:t xml:space="preserve">We have decided that emission limits should be set for the parameters listed in the permit.   </w:t>
            </w:r>
          </w:p>
          <w:p w14:paraId="0FF1532D" w14:textId="77777777" w:rsidR="007820C3" w:rsidRPr="0061035D" w:rsidRDefault="007820C3" w:rsidP="00792CEE">
            <w:pPr>
              <w:rPr>
                <w:rFonts w:ascii="Arial" w:hAnsi="Arial" w:cs="Arial"/>
                <w:szCs w:val="24"/>
              </w:rPr>
            </w:pPr>
          </w:p>
          <w:p w14:paraId="2EF2CC2C" w14:textId="77777777" w:rsidR="00FB30B4" w:rsidRPr="0061035D" w:rsidRDefault="007820C3" w:rsidP="009D7A61">
            <w:pPr>
              <w:rPr>
                <w:rFonts w:ascii="Arial" w:hAnsi="Arial" w:cs="Arial"/>
                <w:szCs w:val="24"/>
              </w:rPr>
            </w:pPr>
            <w:r w:rsidRPr="0061035D">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5A544CD" w14:textId="77777777" w:rsidR="009D7A61" w:rsidRPr="0061035D" w:rsidRDefault="009D7A61" w:rsidP="009D7A61">
            <w:pPr>
              <w:rPr>
                <w:rFonts w:ascii="Arial" w:hAnsi="Arial" w:cs="Arial"/>
                <w:szCs w:val="24"/>
              </w:rPr>
            </w:pPr>
          </w:p>
          <w:p w14:paraId="3B1FCFD2" w14:textId="39962323" w:rsidR="009D7A61" w:rsidRPr="0061035D" w:rsidRDefault="009D7A61" w:rsidP="009D7A61">
            <w:pPr>
              <w:pStyle w:val="ListParagraph"/>
              <w:numPr>
                <w:ilvl w:val="0"/>
                <w:numId w:val="20"/>
              </w:numPr>
              <w:rPr>
                <w:rFonts w:ascii="Arial" w:hAnsi="Arial" w:cs="Arial"/>
                <w:szCs w:val="24"/>
              </w:rPr>
            </w:pPr>
            <w:r w:rsidRPr="0061035D">
              <w:rPr>
                <w:rFonts w:ascii="Arial" w:hAnsi="Arial" w:cs="Arial"/>
              </w:rPr>
              <w:t>ATU-BOD as O</w:t>
            </w:r>
            <w:r w:rsidRPr="0061035D">
              <w:rPr>
                <w:rFonts w:ascii="Arial" w:hAnsi="Arial" w:cs="Arial"/>
                <w:vertAlign w:val="subscript"/>
              </w:rPr>
              <w:t xml:space="preserve">2 </w:t>
            </w:r>
            <w:r w:rsidRPr="0061035D">
              <w:rPr>
                <w:rFonts w:ascii="Arial" w:hAnsi="Arial" w:cs="Arial"/>
              </w:rPr>
              <w:t>- 20mg/l</w:t>
            </w:r>
          </w:p>
          <w:p w14:paraId="4FCEBE3F" w14:textId="147310CE" w:rsidR="009D7A61" w:rsidRPr="0061035D" w:rsidRDefault="009D7A61" w:rsidP="009D7A61">
            <w:pPr>
              <w:pStyle w:val="ListParagraph"/>
              <w:numPr>
                <w:ilvl w:val="0"/>
                <w:numId w:val="20"/>
              </w:numPr>
              <w:rPr>
                <w:rFonts w:ascii="Arial" w:hAnsi="Arial" w:cs="Arial"/>
                <w:szCs w:val="24"/>
              </w:rPr>
            </w:pPr>
            <w:r w:rsidRPr="0061035D">
              <w:rPr>
                <w:rFonts w:ascii="Arial" w:hAnsi="Arial" w:cs="Arial"/>
              </w:rPr>
              <w:t>Suspended solids (measured after drying at 105</w:t>
            </w:r>
            <w:r w:rsidRPr="0061035D">
              <w:rPr>
                <w:rFonts w:ascii="Arial" w:hAnsi="Arial" w:cs="Arial"/>
                <w:vertAlign w:val="superscript"/>
              </w:rPr>
              <w:t>o</w:t>
            </w:r>
            <w:r w:rsidRPr="0061035D">
              <w:rPr>
                <w:rFonts w:ascii="Arial" w:hAnsi="Arial" w:cs="Arial"/>
              </w:rPr>
              <w:t xml:space="preserve"> C) – 30 mg/l</w:t>
            </w:r>
          </w:p>
          <w:p w14:paraId="1D586D67" w14:textId="624DCDE4" w:rsidR="009D7A61" w:rsidRPr="0061035D" w:rsidRDefault="009D7A61" w:rsidP="009D7A61">
            <w:pPr>
              <w:pStyle w:val="ListParagraph"/>
              <w:numPr>
                <w:ilvl w:val="0"/>
                <w:numId w:val="20"/>
              </w:numPr>
              <w:rPr>
                <w:rFonts w:ascii="Arial" w:hAnsi="Arial" w:cs="Arial"/>
                <w:szCs w:val="24"/>
              </w:rPr>
            </w:pPr>
            <w:r w:rsidRPr="0061035D">
              <w:rPr>
                <w:rFonts w:ascii="Arial" w:hAnsi="Arial" w:cs="Arial"/>
              </w:rPr>
              <w:t>Ammoniacal nitrogen (expressed as N) – 18 mg/l</w:t>
            </w:r>
          </w:p>
          <w:p w14:paraId="5DE08469" w14:textId="0FFCCBD9" w:rsidR="009D7A61" w:rsidRPr="0061035D" w:rsidRDefault="009D7A61" w:rsidP="009D7A61">
            <w:pPr>
              <w:rPr>
                <w:rFonts w:ascii="Arial" w:hAnsi="Arial" w:cs="Arial"/>
                <w:szCs w:val="24"/>
              </w:rPr>
            </w:pPr>
          </w:p>
          <w:p w14:paraId="70250C96" w14:textId="215FA378" w:rsidR="009D7A61" w:rsidRPr="0061035D" w:rsidRDefault="009D7A61" w:rsidP="009D7A61">
            <w:pPr>
              <w:rPr>
                <w:rFonts w:ascii="Arial" w:hAnsi="Arial" w:cs="Arial"/>
                <w:szCs w:val="24"/>
              </w:rPr>
            </w:pPr>
            <w:r w:rsidRPr="0061035D">
              <w:rPr>
                <w:rFonts w:ascii="Arial" w:hAnsi="Arial" w:cs="Arial"/>
                <w:szCs w:val="24"/>
              </w:rPr>
              <w:t>Limits have been to set ensure the receiving water course remains with in the current W</w:t>
            </w:r>
            <w:r w:rsidR="00AD316F" w:rsidRPr="0061035D">
              <w:rPr>
                <w:rFonts w:ascii="Arial" w:hAnsi="Arial" w:cs="Arial"/>
                <w:szCs w:val="24"/>
              </w:rPr>
              <w:t>ater Framework Directive status.  Limits have been set in line with current Operational Guidance Notes 50_12 and 01_13.</w:t>
            </w:r>
          </w:p>
          <w:p w14:paraId="0FF1532F" w14:textId="504D28B7" w:rsidR="009D7A61" w:rsidRPr="0061035D" w:rsidRDefault="009D7A61" w:rsidP="009D7A61">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9D7A61">
        <w:trPr>
          <w:gridAfter w:val="1"/>
          <w:wAfter w:w="13" w:type="dxa"/>
        </w:trPr>
        <w:tc>
          <w:tcPr>
            <w:tcW w:w="1956"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9D7A61">
        <w:tc>
          <w:tcPr>
            <w:tcW w:w="9307"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9D7A61">
        <w:trPr>
          <w:gridAfter w:val="1"/>
          <w:wAfter w:w="13" w:type="dxa"/>
        </w:trPr>
        <w:tc>
          <w:tcPr>
            <w:tcW w:w="1956"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0F93B02E"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2FDA8EEE" w14:textId="6EAA1F78" w:rsidR="00AD316F" w:rsidRDefault="00AD316F" w:rsidP="00D26B49">
            <w:pPr>
              <w:rPr>
                <w:rFonts w:ascii="Arial" w:hAnsi="Arial" w:cs="Arial"/>
                <w:color w:val="000000"/>
                <w:szCs w:val="24"/>
              </w:rPr>
            </w:pPr>
          </w:p>
          <w:p w14:paraId="0FF1534C" w14:textId="369D7AA3"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9D7A61">
        <w:trPr>
          <w:gridAfter w:val="1"/>
          <w:wAfter w:w="13" w:type="dxa"/>
        </w:trPr>
        <w:tc>
          <w:tcPr>
            <w:tcW w:w="9294"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009D7A61">
        <w:trPr>
          <w:gridAfter w:val="1"/>
          <w:wAfter w:w="13" w:type="dxa"/>
        </w:trPr>
        <w:tc>
          <w:tcPr>
            <w:tcW w:w="1956"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AD316F">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0543A814" w:rsidR="00C44B7E" w:rsidRDefault="00AD316F" w:rsidP="00AD316F">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FE4AB2" w14:textId="77777777" w:rsidR="0001298B" w:rsidRDefault="0001298B">
      <w:r>
        <w:separator/>
      </w:r>
    </w:p>
  </w:endnote>
  <w:endnote w:type="continuationSeparator" w:id="0">
    <w:p w14:paraId="1E315F7B" w14:textId="77777777" w:rsidR="0001298B" w:rsidRDefault="00012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68520A" w14:textId="77777777" w:rsidR="00AD316F" w:rsidRDefault="00AD31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5D4460" w14:textId="77777777" w:rsidR="0001298B" w:rsidRDefault="0001298B">
      <w:r>
        <w:separator/>
      </w:r>
    </w:p>
  </w:footnote>
  <w:footnote w:type="continuationSeparator" w:id="0">
    <w:p w14:paraId="0F619358" w14:textId="77777777" w:rsidR="0001298B" w:rsidRDefault="00012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896706" w14:textId="77777777" w:rsidR="00AD316F" w:rsidRDefault="00AD31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43C385" w14:textId="159DCC9D" w:rsidR="00AD316F" w:rsidRDefault="00AD31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B14AB" w14:textId="77777777" w:rsidR="00AD316F" w:rsidRDefault="00AD31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CD7E87"/>
    <w:multiLevelType w:val="hybridMultilevel"/>
    <w:tmpl w:val="B23C5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2"/>
  </w:num>
  <w:num w:numId="4">
    <w:abstractNumId w:val="2"/>
  </w:num>
  <w:num w:numId="5">
    <w:abstractNumId w:val="4"/>
  </w:num>
  <w:num w:numId="6">
    <w:abstractNumId w:val="3"/>
  </w:num>
  <w:num w:numId="7">
    <w:abstractNumId w:val="7"/>
  </w:num>
  <w:num w:numId="8">
    <w:abstractNumId w:val="15"/>
  </w:num>
  <w:num w:numId="9">
    <w:abstractNumId w:val="19"/>
  </w:num>
  <w:num w:numId="10">
    <w:abstractNumId w:val="10"/>
  </w:num>
  <w:num w:numId="11">
    <w:abstractNumId w:val="13"/>
  </w:num>
  <w:num w:numId="12">
    <w:abstractNumId w:val="18"/>
  </w:num>
  <w:num w:numId="13">
    <w:abstractNumId w:val="17"/>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298B"/>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035D"/>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2427"/>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A61"/>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316F"/>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36735"/>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9D7A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1 - 4 Maes View</Site_x0020_Name>
    <Internal_x002f_External xmlns="859f7ad6-93f6-4205-b62b-a17f28acbbac">Internal document</Internal_x002f_External>
    <Post_x0020_code xmlns="859f7ad6-93f6-4205-b62b-a17f28acbbac">LD1 5TW</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2018-11-30T00:00:00+00:00</Document_x0020_Date>
    <Facility_x0020_Address xmlns="859f7ad6-93f6-4205-b62b-a17f28acbbac">Dolau, Llandrindod Wells</Facility_x0020_Address>
    <Environment_x0020_Sub_x0020_Folder xmlns="859f7ad6-93f6-4205-b62b-a17f28acbbac">Licences applications</Environment_x0020_Sub_x0020_Folder>
    <Customer_x0020_Name xmlns="859f7ad6-93f6-4205-b62b-a17f28acbbac">Powys County Council</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6BB1DEAE-DF43-4C6F-BC70-A5BA208C1C85}"/>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Gulliford, Terry</cp:lastModifiedBy>
  <cp:revision>2</cp:revision>
  <cp:lastPrinted>2008-01-30T13:54:00Z</cp:lastPrinted>
  <dcterms:created xsi:type="dcterms:W3CDTF">2018-11-30T16:15:00Z</dcterms:created>
  <dcterms:modified xsi:type="dcterms:W3CDTF">2018-11-30T16:15:00Z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a3374a59-c42b-41c8-a1a6-ac1e3aff5556</vt:lpwstr>
  </property>
  <property fmtid="{D5CDD505-2E9C-101B-9397-08002B2CF9AE}" pid="11" name="SharedWithUsers">
    <vt:lpwstr/>
  </property>
  <property fmtid="{D5CDD505-2E9C-101B-9397-08002B2CF9AE}" pid="12" name="Order">
    <vt:r8>994800</vt:r8>
  </property>
  <property fmtid="{D5CDD505-2E9C-101B-9397-08002B2CF9AE}" pid="13" name="_dlc_DocId">
    <vt:lpwstr>REGU-212-35724</vt:lpwstr>
  </property>
  <property fmtid="{D5CDD505-2E9C-101B-9397-08002B2CF9AE}" pid="14" name="_dlc_DocIdUrl">
    <vt:lpwstr>https://cyfoethnaturiolcymru.sharepoint.com/teams/Regulatory/Permitting/_layouts/15/DocIdRedir.aspx?ID=REGU-212-35724, REGU-212-35724</vt:lpwstr>
  </property>
  <property fmtid="{D5CDD505-2E9C-101B-9397-08002B2CF9AE}" pid="15" name="_docset_NoMedatataSyncRequired">
    <vt:lpwstr>False</vt:lpwstr>
  </property>
</Properties>
</file>