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B738A3">
            <w:pPr>
              <w:rPr>
                <w:b/>
                <w:color w:val="0091A5" w:themeColor="accent3"/>
                <w:u w:val="single"/>
              </w:rPr>
            </w:pPr>
            <w:r w:rsidRPr="00A4643D">
              <w:rPr>
                <w:b/>
                <w:color w:val="0091A5" w:themeColor="accent3"/>
              </w:rPr>
              <w:t>Permit Number:</w:t>
            </w:r>
          </w:p>
        </w:tc>
        <w:tc>
          <w:tcPr>
            <w:tcW w:w="6890" w:type="dxa"/>
          </w:tcPr>
          <w:p w14:paraId="11A12E7B" w14:textId="7B72C281" w:rsidR="00A4643D" w:rsidRDefault="0093046A" w:rsidP="00B738A3">
            <w:pPr>
              <w:rPr>
                <w:color w:val="FF0000"/>
              </w:rPr>
            </w:pPr>
            <w:hyperlink r:id="rId12" w:history="1">
              <w:r w:rsidR="006E1F2E">
                <w:rPr>
                  <w:rStyle w:val="Hyperlink"/>
                </w:rPr>
                <w:t>PAN-004772</w:t>
              </w:r>
            </w:hyperlink>
          </w:p>
          <w:p w14:paraId="3FE9E977" w14:textId="09CCD201" w:rsidR="006E1F2E" w:rsidRPr="0087583E" w:rsidRDefault="006E1F2E" w:rsidP="00B738A3"/>
        </w:tc>
      </w:tr>
      <w:tr w:rsidR="00A4643D" w14:paraId="17FD4B7A" w14:textId="77777777" w:rsidTr="009A13CA">
        <w:trPr>
          <w:trHeight w:val="322"/>
        </w:trPr>
        <w:tc>
          <w:tcPr>
            <w:tcW w:w="2830" w:type="dxa"/>
          </w:tcPr>
          <w:p w14:paraId="38B9B546" w14:textId="77777777" w:rsidR="00A4643D" w:rsidRPr="00A4643D" w:rsidRDefault="00A4643D" w:rsidP="00B738A3">
            <w:pPr>
              <w:rPr>
                <w:b/>
                <w:color w:val="0091A5" w:themeColor="accent3"/>
                <w:u w:val="single"/>
              </w:rPr>
            </w:pPr>
            <w:r w:rsidRPr="00A4643D">
              <w:rPr>
                <w:b/>
                <w:color w:val="0091A5" w:themeColor="accent3"/>
              </w:rPr>
              <w:t>Applicant name:</w:t>
            </w:r>
          </w:p>
        </w:tc>
        <w:tc>
          <w:tcPr>
            <w:tcW w:w="6890" w:type="dxa"/>
          </w:tcPr>
          <w:p w14:paraId="476C120D" w14:textId="2E1E02C3" w:rsidR="00A4643D" w:rsidRPr="00B738A3" w:rsidRDefault="00B738A3" w:rsidP="00B738A3">
            <w:r>
              <w:t>St Nicholas Residents Management Company Ltd</w:t>
            </w:r>
          </w:p>
        </w:tc>
      </w:tr>
      <w:tr w:rsidR="00A4643D" w14:paraId="6A520E7A" w14:textId="77777777" w:rsidTr="009A13CA">
        <w:trPr>
          <w:trHeight w:val="367"/>
        </w:trPr>
        <w:tc>
          <w:tcPr>
            <w:tcW w:w="2830" w:type="dxa"/>
          </w:tcPr>
          <w:p w14:paraId="6B45371F" w14:textId="77777777" w:rsidR="00A4643D" w:rsidRPr="00A4643D" w:rsidRDefault="00A4643D" w:rsidP="00B738A3">
            <w:pPr>
              <w:rPr>
                <w:b/>
                <w:color w:val="0091A5" w:themeColor="accent3"/>
                <w:u w:val="single"/>
              </w:rPr>
            </w:pPr>
            <w:r w:rsidRPr="00A4643D">
              <w:rPr>
                <w:b/>
                <w:color w:val="0091A5" w:themeColor="accent3"/>
              </w:rPr>
              <w:t>Site Address:</w:t>
            </w:r>
          </w:p>
        </w:tc>
        <w:tc>
          <w:tcPr>
            <w:tcW w:w="6890" w:type="dxa"/>
          </w:tcPr>
          <w:p w14:paraId="59609C1E" w14:textId="2B1784F0" w:rsidR="00A4643D" w:rsidRPr="00B738A3" w:rsidRDefault="00B738A3" w:rsidP="00B738A3">
            <w:r>
              <w:t xml:space="preserve">Nos 1-6 Lord Russel Close and Nos 1-8 and 10 Harold Close, </w:t>
            </w:r>
            <w:proofErr w:type="spellStart"/>
            <w:r>
              <w:t>Trellech</w:t>
            </w:r>
            <w:proofErr w:type="spellEnd"/>
            <w:r>
              <w:t>, Monmouthshire NP25 4UA</w:t>
            </w:r>
          </w:p>
        </w:tc>
      </w:tr>
      <w:tr w:rsidR="009A13CA" w14:paraId="511A46A0" w14:textId="77777777" w:rsidTr="009A13CA">
        <w:trPr>
          <w:trHeight w:val="367"/>
        </w:trPr>
        <w:tc>
          <w:tcPr>
            <w:tcW w:w="2830" w:type="dxa"/>
          </w:tcPr>
          <w:p w14:paraId="22A38F10" w14:textId="6CD49B7B" w:rsidR="009A13CA" w:rsidRPr="00A4643D" w:rsidRDefault="009A13CA" w:rsidP="00B738A3">
            <w:pPr>
              <w:rPr>
                <w:b/>
                <w:color w:val="0091A5" w:themeColor="accent3"/>
              </w:rPr>
            </w:pPr>
            <w:r>
              <w:rPr>
                <w:b/>
                <w:color w:val="0091A5" w:themeColor="accent3"/>
              </w:rPr>
              <w:t>Discharge Point NGR:</w:t>
            </w:r>
          </w:p>
        </w:tc>
        <w:tc>
          <w:tcPr>
            <w:tcW w:w="6890" w:type="dxa"/>
          </w:tcPr>
          <w:p w14:paraId="77B40B16" w14:textId="24B010AB" w:rsidR="009A13CA" w:rsidRPr="00B738A3" w:rsidRDefault="00B738A3" w:rsidP="00B738A3">
            <w:proofErr w:type="gramStart"/>
            <w:r>
              <w:t>SO</w:t>
            </w:r>
            <w:proofErr w:type="gramEnd"/>
            <w:r>
              <w:t xml:space="preserve"> 50229 05631</w:t>
            </w:r>
          </w:p>
        </w:tc>
      </w:tr>
      <w:tr w:rsidR="00A4643D" w14:paraId="6E02B5A6" w14:textId="77777777" w:rsidTr="009A13CA">
        <w:trPr>
          <w:trHeight w:val="460"/>
        </w:trPr>
        <w:tc>
          <w:tcPr>
            <w:tcW w:w="2830" w:type="dxa"/>
          </w:tcPr>
          <w:p w14:paraId="69024784" w14:textId="77777777" w:rsidR="00A4643D" w:rsidRPr="00A4643D" w:rsidRDefault="00A4643D" w:rsidP="00B738A3">
            <w:pPr>
              <w:rPr>
                <w:b/>
                <w:color w:val="0091A5" w:themeColor="accent3"/>
              </w:rPr>
            </w:pPr>
            <w:r w:rsidRPr="00A4643D">
              <w:rPr>
                <w:b/>
                <w:color w:val="0091A5" w:themeColor="accent3"/>
              </w:rPr>
              <w:t>Respond by date:</w:t>
            </w:r>
          </w:p>
        </w:tc>
        <w:tc>
          <w:tcPr>
            <w:tcW w:w="6890" w:type="dxa"/>
          </w:tcPr>
          <w:p w14:paraId="177E940F" w14:textId="349F52F4" w:rsidR="00A4643D" w:rsidRPr="00DC4EC1" w:rsidRDefault="006E1F2E" w:rsidP="00B738A3">
            <w:pPr>
              <w:rPr>
                <w:bCs/>
              </w:rPr>
            </w:pPr>
            <w:r w:rsidRPr="006E1F2E">
              <w:rPr>
                <w:bCs/>
              </w:rPr>
              <w:t>23</w:t>
            </w:r>
            <w:r w:rsidRPr="006E1F2E">
              <w:rPr>
                <w:bCs/>
                <w:vertAlign w:val="superscript"/>
              </w:rPr>
              <w:t>rd</w:t>
            </w:r>
            <w:r w:rsidRPr="006E1F2E">
              <w:rPr>
                <w:bCs/>
              </w:rPr>
              <w:t xml:space="preserve"> April 2019</w:t>
            </w:r>
            <w:r w:rsidR="00A4643D" w:rsidRPr="006E1F2E">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B738A3">
            <w:pPr>
              <w:rPr>
                <w:b/>
                <w:color w:val="0091A5" w:themeColor="accent3"/>
              </w:rPr>
            </w:pPr>
            <w:r>
              <w:rPr>
                <w:b/>
                <w:color w:val="0091A5" w:themeColor="accent3"/>
              </w:rPr>
              <w:t>Permitting Officer:</w:t>
            </w:r>
          </w:p>
        </w:tc>
        <w:tc>
          <w:tcPr>
            <w:tcW w:w="6890" w:type="dxa"/>
          </w:tcPr>
          <w:p w14:paraId="00291DE5" w14:textId="439AA70A" w:rsidR="00965438" w:rsidRPr="0087583E" w:rsidRDefault="00B738A3" w:rsidP="00B738A3">
            <w:pPr>
              <w:rPr>
                <w:bCs/>
                <w:color w:val="FF0000"/>
              </w:rPr>
            </w:pPr>
            <w:r w:rsidRPr="00B738A3">
              <w:rPr>
                <w:bCs/>
              </w:rPr>
              <w:t>Katrin Raynor-Evans</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26109745" w14:textId="66E0FB15" w:rsidR="00C24BEC" w:rsidRDefault="00B738A3" w:rsidP="00602C07">
      <w:pPr>
        <w:pBdr>
          <w:top w:val="single" w:sz="4" w:space="1" w:color="auto"/>
          <w:left w:val="single" w:sz="4" w:space="4" w:color="auto"/>
          <w:bottom w:val="single" w:sz="4" w:space="1" w:color="auto"/>
          <w:right w:val="single" w:sz="4" w:space="4" w:color="auto"/>
        </w:pBdr>
        <w:jc w:val="both"/>
      </w:pPr>
      <w:r w:rsidRPr="007A7D2F">
        <w:t>The application is for a variation to an existing permit on site</w:t>
      </w:r>
      <w:r w:rsidR="007A7D2F">
        <w:t>, EPR-AB3294CP</w:t>
      </w:r>
      <w:r w:rsidRPr="007A7D2F">
        <w:t xml:space="preserve">. The current system comprises a British Standard package plant, vertical reedbed and BRE soakaway. </w:t>
      </w:r>
      <w:r w:rsidR="000C3844" w:rsidRPr="007A7D2F">
        <w:t xml:space="preserve">The applicant wishes to vary the permit to increase the volume from 8.5m3/day to 11.1m3/day. The current system is currently not working due to </w:t>
      </w:r>
      <w:r w:rsidR="003778A7" w:rsidRPr="007A7D2F">
        <w:t>failure of the soakaway system</w:t>
      </w:r>
      <w:r w:rsidR="009F15B7" w:rsidRPr="007A7D2F">
        <w:t xml:space="preserve"> and the effluent is being </w:t>
      </w:r>
      <w:r w:rsidR="001F57DF">
        <w:t>tankered</w:t>
      </w:r>
      <w:r w:rsidR="009F15B7" w:rsidRPr="007A7D2F">
        <w:t xml:space="preserve"> away</w:t>
      </w:r>
      <w:r w:rsidR="003778A7" w:rsidRPr="007A7D2F">
        <w:t>.</w:t>
      </w:r>
      <w:r w:rsidR="004F3380">
        <w:t xml:space="preserve"> NRM have been out on site and issued the </w:t>
      </w:r>
      <w:r w:rsidR="00C24BEC">
        <w:t>permit holders with a warning</w:t>
      </w:r>
      <w:r w:rsidR="001F57DF">
        <w:t xml:space="preserve"> to </w:t>
      </w:r>
      <w:proofErr w:type="gramStart"/>
      <w:r w:rsidR="001F57DF">
        <w:t>make arrangements</w:t>
      </w:r>
      <w:proofErr w:type="gramEnd"/>
      <w:r w:rsidR="001F57DF">
        <w:t xml:space="preserve"> to address the problem</w:t>
      </w:r>
      <w:r w:rsidR="00C24BEC">
        <w:t>.</w:t>
      </w:r>
    </w:p>
    <w:p w14:paraId="600D3E34" w14:textId="77777777" w:rsidR="00DC43D0" w:rsidRDefault="00DC43D0" w:rsidP="00602C07">
      <w:pPr>
        <w:pBdr>
          <w:top w:val="single" w:sz="4" w:space="1" w:color="auto"/>
          <w:left w:val="single" w:sz="4" w:space="4" w:color="auto"/>
          <w:bottom w:val="single" w:sz="4" w:space="1" w:color="auto"/>
          <w:right w:val="single" w:sz="4" w:space="4" w:color="auto"/>
        </w:pBdr>
        <w:jc w:val="both"/>
      </w:pPr>
    </w:p>
    <w:p w14:paraId="55779020" w14:textId="3F6A38C4" w:rsidR="00DC43D0" w:rsidRDefault="00DC43D0" w:rsidP="00DC43D0">
      <w:pPr>
        <w:pBdr>
          <w:top w:val="single" w:sz="4" w:space="1" w:color="auto"/>
          <w:left w:val="single" w:sz="4" w:space="4" w:color="auto"/>
          <w:bottom w:val="single" w:sz="4" w:space="1" w:color="auto"/>
          <w:right w:val="single" w:sz="4" w:space="4" w:color="auto"/>
        </w:pBdr>
        <w:jc w:val="both"/>
      </w:pPr>
      <w:r>
        <w:t xml:space="preserve">The site is within a </w:t>
      </w:r>
      <w:proofErr w:type="spellStart"/>
      <w:r>
        <w:t>sewered</w:t>
      </w:r>
      <w:proofErr w:type="spellEnd"/>
      <w:r>
        <w:t xml:space="preserve"> area. When the first permit was issued, a cost benefit analysis regarding connection to foul sewer was undertaken. DCWW submitted a feasibility study which explained that </w:t>
      </w:r>
      <w:proofErr w:type="spellStart"/>
      <w:r>
        <w:t>Trellech</w:t>
      </w:r>
      <w:proofErr w:type="spellEnd"/>
      <w:r>
        <w:t xml:space="preserve"> STW was at capacity and could not cope with additional flows. </w:t>
      </w:r>
      <w:proofErr w:type="gramStart"/>
      <w:r>
        <w:t>In order for</w:t>
      </w:r>
      <w:proofErr w:type="gramEnd"/>
      <w:r>
        <w:t xml:space="preserve"> an upgrade to happen at the STW, it would fall on the developer to pay £600,000 for the upgrade as the STW was not identified on DCWW’s programme of works. This situation still </w:t>
      </w:r>
      <w:proofErr w:type="gramStart"/>
      <w:r>
        <w:t>stands</w:t>
      </w:r>
      <w:proofErr w:type="gramEnd"/>
      <w:r>
        <w:t xml:space="preserve"> and this additional cost was taken into account during permit determination. </w:t>
      </w:r>
    </w:p>
    <w:p w14:paraId="37513710" w14:textId="77777777" w:rsidR="00602C07" w:rsidRDefault="00602C07" w:rsidP="00602C07">
      <w:pPr>
        <w:pBdr>
          <w:top w:val="single" w:sz="4" w:space="1" w:color="auto"/>
          <w:left w:val="single" w:sz="4" w:space="4" w:color="auto"/>
          <w:bottom w:val="single" w:sz="4" w:space="1" w:color="auto"/>
          <w:right w:val="single" w:sz="4" w:space="4" w:color="auto"/>
        </w:pBdr>
        <w:jc w:val="both"/>
      </w:pPr>
    </w:p>
    <w:p w14:paraId="21BE2DC5" w14:textId="1307917D" w:rsidR="00602C07" w:rsidRDefault="00C24BEC" w:rsidP="00602C07">
      <w:pPr>
        <w:pBdr>
          <w:top w:val="single" w:sz="4" w:space="1" w:color="auto"/>
          <w:left w:val="single" w:sz="4" w:space="4" w:color="auto"/>
          <w:bottom w:val="single" w:sz="4" w:space="1" w:color="auto"/>
          <w:right w:val="single" w:sz="4" w:space="4" w:color="auto"/>
        </w:pBdr>
        <w:jc w:val="both"/>
      </w:pPr>
      <w:r>
        <w:t>T</w:t>
      </w:r>
      <w:r w:rsidR="009F15B7" w:rsidRPr="007A7D2F">
        <w:t>he applicant is proposing to install an additional BRE soakaway system</w:t>
      </w:r>
      <w:r w:rsidR="001F57DF">
        <w:t xml:space="preserve"> approximately </w:t>
      </w:r>
      <w:r w:rsidR="00915E6E">
        <w:t>29 metres from the existing system</w:t>
      </w:r>
      <w:r w:rsidR="004131FD">
        <w:t xml:space="preserve">. The treated effluent will pass through the existing </w:t>
      </w:r>
      <w:r w:rsidR="00754A4B">
        <w:t xml:space="preserve">package plant, reedbed and </w:t>
      </w:r>
      <w:r w:rsidR="004131FD">
        <w:t xml:space="preserve">soakaway </w:t>
      </w:r>
      <w:r w:rsidR="003D69B7">
        <w:t>but any treated effluent that doesn’t drain away will pass into the new soakaway system</w:t>
      </w:r>
      <w:r w:rsidR="00754A4B">
        <w:t>. T</w:t>
      </w:r>
      <w:r w:rsidR="003D69B7">
        <w:t>he effluent will pass from one soakaway to another other via manholes on site</w:t>
      </w:r>
      <w:r w:rsidR="006E1F2E">
        <w:t xml:space="preserve"> which is situated </w:t>
      </w:r>
      <w:r w:rsidR="006E1F2E" w:rsidRPr="006C5165">
        <w:rPr>
          <w:i/>
        </w:rPr>
        <w:t>under</w:t>
      </w:r>
      <w:r w:rsidR="006E1F2E">
        <w:t xml:space="preserve"> the entrance road to the housing estate</w:t>
      </w:r>
      <w:r w:rsidR="003D69B7">
        <w:t>.</w:t>
      </w:r>
      <w:r w:rsidR="00B960D7">
        <w:t xml:space="preserve"> </w:t>
      </w:r>
    </w:p>
    <w:p w14:paraId="21715E72" w14:textId="77777777" w:rsidR="00602C07" w:rsidRDefault="00602C07" w:rsidP="00602C07">
      <w:pPr>
        <w:pBdr>
          <w:top w:val="single" w:sz="4" w:space="1" w:color="auto"/>
          <w:left w:val="single" w:sz="4" w:space="4" w:color="auto"/>
          <w:bottom w:val="single" w:sz="4" w:space="1" w:color="auto"/>
          <w:right w:val="single" w:sz="4" w:space="4" w:color="auto"/>
        </w:pBdr>
        <w:jc w:val="both"/>
      </w:pPr>
    </w:p>
    <w:p w14:paraId="74887156" w14:textId="018FD9ED" w:rsidR="006E1F2E" w:rsidRDefault="006E1F2E" w:rsidP="00602C07">
      <w:pPr>
        <w:pBdr>
          <w:top w:val="single" w:sz="4" w:space="1" w:color="auto"/>
          <w:left w:val="single" w:sz="4" w:space="4" w:color="auto"/>
          <w:bottom w:val="single" w:sz="4" w:space="1" w:color="auto"/>
          <w:right w:val="single" w:sz="4" w:space="4" w:color="auto"/>
        </w:pBdr>
        <w:jc w:val="both"/>
      </w:pPr>
      <w:r>
        <w:t xml:space="preserve">A few comments have been received from members of the public expressing their concerns. I have put these comments in the relevant consultee boxes below. </w:t>
      </w:r>
      <w:r w:rsidR="00602C07">
        <w:t>Can you please address these comments as part of the consultation process</w:t>
      </w:r>
      <w:r w:rsidR="006C5165">
        <w:t xml:space="preserve"> if you </w:t>
      </w:r>
      <w:proofErr w:type="gramStart"/>
      <w:r w:rsidR="006C5165">
        <w:t>can</w:t>
      </w:r>
      <w:r w:rsidR="00602C07">
        <w:t>.</w:t>
      </w:r>
      <w:proofErr w:type="gramEnd"/>
      <w:r w:rsidR="00602C07">
        <w:t xml:space="preserve"> </w:t>
      </w:r>
    </w:p>
    <w:p w14:paraId="06A81199" w14:textId="78B7CC68" w:rsidR="006C5165" w:rsidRDefault="006C5165" w:rsidP="00602C07">
      <w:pPr>
        <w:pBdr>
          <w:top w:val="single" w:sz="4" w:space="1" w:color="auto"/>
          <w:left w:val="single" w:sz="4" w:space="4" w:color="auto"/>
          <w:bottom w:val="single" w:sz="4" w:space="1" w:color="auto"/>
          <w:right w:val="single" w:sz="4" w:space="4" w:color="auto"/>
        </w:pBdr>
        <w:jc w:val="both"/>
      </w:pPr>
    </w:p>
    <w:p w14:paraId="3E29B577" w14:textId="61235E3C" w:rsidR="006C5165" w:rsidRDefault="006C5165" w:rsidP="00602C07">
      <w:pPr>
        <w:pBdr>
          <w:top w:val="single" w:sz="4" w:space="1" w:color="auto"/>
          <w:left w:val="single" w:sz="4" w:space="4" w:color="auto"/>
          <w:bottom w:val="single" w:sz="4" w:space="1" w:color="auto"/>
          <w:right w:val="single" w:sz="4" w:space="4" w:color="auto"/>
        </w:pBdr>
        <w:jc w:val="both"/>
      </w:pPr>
    </w:p>
    <w:p w14:paraId="24E312FE" w14:textId="77777777" w:rsidR="006C5165" w:rsidRPr="007A7D2F" w:rsidRDefault="006C5165" w:rsidP="00602C07">
      <w:pPr>
        <w:pBdr>
          <w:top w:val="single" w:sz="4" w:space="1" w:color="auto"/>
          <w:left w:val="single" w:sz="4" w:space="4" w:color="auto"/>
          <w:bottom w:val="single" w:sz="4" w:space="1" w:color="auto"/>
          <w:right w:val="single" w:sz="4" w:space="4" w:color="auto"/>
        </w:pBdr>
        <w:jc w:val="both"/>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6BC46A87" w14:textId="6A3D0506" w:rsidR="00C24BEC" w:rsidRDefault="00C24BEC" w:rsidP="00A4643D">
      <w:pPr>
        <w:pBdr>
          <w:top w:val="single" w:sz="4" w:space="1" w:color="auto"/>
          <w:left w:val="single" w:sz="4" w:space="4" w:color="auto"/>
          <w:bottom w:val="single" w:sz="4" w:space="1" w:color="auto"/>
          <w:right w:val="single" w:sz="4" w:space="4" w:color="auto"/>
        </w:pBdr>
      </w:pPr>
      <w:r w:rsidRPr="00C24BEC">
        <w:t>Habitats screening report saved to DMS. No designation</w:t>
      </w:r>
      <w:r w:rsidR="002E6BB3">
        <w:t>s or protected species/habitats</w:t>
      </w:r>
      <w:r w:rsidRPr="00C24BEC">
        <w:t>.</w:t>
      </w:r>
    </w:p>
    <w:p w14:paraId="41F69477" w14:textId="77777777" w:rsidR="00602C07" w:rsidRPr="00A4643D" w:rsidRDefault="00602C07" w:rsidP="00A4643D">
      <w:pPr>
        <w:pBdr>
          <w:top w:val="single" w:sz="4" w:space="1" w:color="auto"/>
          <w:left w:val="single" w:sz="4" w:space="4" w:color="auto"/>
          <w:bottom w:val="single" w:sz="4" w:space="1" w:color="auto"/>
          <w:right w:val="single" w:sz="4" w:space="4" w:color="auto"/>
        </w:pBdr>
        <w:rPr>
          <w:b/>
          <w:color w:val="0091A5" w:themeColor="accent3"/>
        </w:rPr>
      </w:pP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59AECA04" w14:textId="67635449" w:rsidR="00A4643D" w:rsidRPr="002E6BB3" w:rsidRDefault="007A7D2F" w:rsidP="00A4643D">
      <w:pPr>
        <w:pBdr>
          <w:top w:val="single" w:sz="4" w:space="1" w:color="auto"/>
          <w:left w:val="single" w:sz="4" w:space="4" w:color="auto"/>
          <w:bottom w:val="single" w:sz="4" w:space="1" w:color="auto"/>
          <w:right w:val="single" w:sz="4" w:space="4" w:color="auto"/>
        </w:pBdr>
      </w:pPr>
      <w:r w:rsidRPr="002E6BB3">
        <w:t xml:space="preserve">No risk assessment provided. Geoscience, can you please advise as to whether another </w:t>
      </w:r>
      <w:r w:rsidR="00602C07">
        <w:t xml:space="preserve">H1 risk assessment is required. </w:t>
      </w: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062230FE" w14:textId="57D83421" w:rsidR="00A4643D" w:rsidRDefault="00A4643D" w:rsidP="007A7D2F">
      <w:pPr>
        <w:pBdr>
          <w:top w:val="single" w:sz="4" w:space="1" w:color="auto"/>
          <w:left w:val="single" w:sz="4" w:space="4" w:color="auto"/>
          <w:bottom w:val="single" w:sz="4" w:space="1" w:color="auto"/>
          <w:right w:val="single" w:sz="4" w:space="4" w:color="auto"/>
        </w:pBdr>
        <w:rPr>
          <w:color w:val="FF0000"/>
        </w:rPr>
      </w:pP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1C54C436" w:rsidR="009A13CA" w:rsidRDefault="009A13CA" w:rsidP="00A4643D">
      <w:pPr>
        <w:rPr>
          <w:b/>
          <w:color w:val="0091A5" w:themeColor="accent3"/>
        </w:rPr>
      </w:pPr>
    </w:p>
    <w:p w14:paraId="56DF26DD" w14:textId="77777777" w:rsidR="007A7D2F" w:rsidRDefault="007A7D2F"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7645ED02" w14:textId="75B1E013" w:rsidR="00A4643D" w:rsidRDefault="00A4643D" w:rsidP="00A4643D">
      <w:pPr>
        <w:pBdr>
          <w:top w:val="single" w:sz="4" w:space="1" w:color="auto"/>
          <w:left w:val="single" w:sz="4" w:space="4" w:color="auto"/>
          <w:bottom w:val="single" w:sz="4" w:space="1" w:color="auto"/>
          <w:right w:val="single" w:sz="4" w:space="4" w:color="auto"/>
        </w:pBdr>
        <w:rPr>
          <w:b/>
        </w:rPr>
      </w:pPr>
    </w:p>
    <w:p w14:paraId="43EE3057" w14:textId="09E23481" w:rsidR="0049592D" w:rsidRPr="0049592D" w:rsidRDefault="0049592D" w:rsidP="00A4643D">
      <w:pPr>
        <w:pBdr>
          <w:top w:val="single" w:sz="4" w:space="1" w:color="auto"/>
          <w:left w:val="single" w:sz="4" w:space="4" w:color="auto"/>
          <w:bottom w:val="single" w:sz="4" w:space="1" w:color="auto"/>
          <w:right w:val="single" w:sz="4" w:space="4" w:color="auto"/>
        </w:pBdr>
      </w:pPr>
      <w:r>
        <w:t xml:space="preserve">We have significant concerns over the proposals, the existing system failed as the soakaway is unable to dissipate the present flows. As a result, a non-permitted pump was added to the system to pump effluent away from the sampling chamber, prior to the current soakaway, to other housing development soakaways in the area (I believe that it was possibly being directed to the system at </w:t>
      </w:r>
      <w:proofErr w:type="spellStart"/>
      <w:r>
        <w:t>Babbington</w:t>
      </w:r>
      <w:proofErr w:type="spellEnd"/>
      <w:r>
        <w:t xml:space="preserve"> Close, which is a discharge to surface water rather than to land. As a result, NRM teams required the management company to have the PTP capped and have effluent </w:t>
      </w:r>
      <w:proofErr w:type="spellStart"/>
      <w:r>
        <w:t>tankered</w:t>
      </w:r>
      <w:proofErr w:type="spellEnd"/>
      <w:r>
        <w:t>, whilst temporary assent was given for surface water that was collecting in the soakaway to be pumped away by the non-permitted pump.</w:t>
      </w:r>
    </w:p>
    <w:p w14:paraId="3752C751" w14:textId="4604E958" w:rsidR="00D75CDE" w:rsidRDefault="00D75CDE" w:rsidP="00A4643D">
      <w:pPr>
        <w:pBdr>
          <w:top w:val="single" w:sz="4" w:space="1" w:color="auto"/>
          <w:left w:val="single" w:sz="4" w:space="4" w:color="auto"/>
          <w:bottom w:val="single" w:sz="4" w:space="1" w:color="auto"/>
          <w:right w:val="single" w:sz="4" w:space="4" w:color="auto"/>
        </w:pBdr>
        <w:rPr>
          <w:b/>
        </w:rPr>
      </w:pPr>
    </w:p>
    <w:p w14:paraId="6D3818A2" w14:textId="77777777" w:rsidR="00110B6A" w:rsidRDefault="0049592D" w:rsidP="00A4643D">
      <w:pPr>
        <w:pBdr>
          <w:top w:val="single" w:sz="4" w:space="1" w:color="auto"/>
          <w:left w:val="single" w:sz="4" w:space="4" w:color="auto"/>
          <w:bottom w:val="single" w:sz="4" w:space="1" w:color="auto"/>
          <w:right w:val="single" w:sz="4" w:space="4" w:color="auto"/>
        </w:pBdr>
      </w:pPr>
      <w:r>
        <w:t>The variation appears to simply add more storage tanks to the system</w:t>
      </w:r>
      <w:r w:rsidR="00110B6A">
        <w:t xml:space="preserve">, </w:t>
      </w:r>
      <w:proofErr w:type="gramStart"/>
      <w:r w:rsidR="00110B6A">
        <w:t>in the event that</w:t>
      </w:r>
      <w:proofErr w:type="gramEnd"/>
      <w:r w:rsidR="00110B6A">
        <w:t xml:space="preserve"> these become full, the same problem with lack of percolation returns. Residents have also raised concerns that if the new tanks become full, effluent may flow backwards up the system. </w:t>
      </w:r>
    </w:p>
    <w:p w14:paraId="0FAAB315" w14:textId="77777777" w:rsidR="00110B6A" w:rsidRDefault="00110B6A" w:rsidP="00A4643D">
      <w:pPr>
        <w:pBdr>
          <w:top w:val="single" w:sz="4" w:space="1" w:color="auto"/>
          <w:left w:val="single" w:sz="4" w:space="4" w:color="auto"/>
          <w:bottom w:val="single" w:sz="4" w:space="1" w:color="auto"/>
          <w:right w:val="single" w:sz="4" w:space="4" w:color="auto"/>
        </w:pBdr>
      </w:pPr>
    </w:p>
    <w:p w14:paraId="45789C73" w14:textId="39DA2F99" w:rsidR="0049592D" w:rsidRDefault="00110B6A" w:rsidP="00A4643D">
      <w:pPr>
        <w:pBdr>
          <w:top w:val="single" w:sz="4" w:space="1" w:color="auto"/>
          <w:left w:val="single" w:sz="4" w:space="4" w:color="auto"/>
          <w:bottom w:val="single" w:sz="4" w:space="1" w:color="auto"/>
          <w:right w:val="single" w:sz="4" w:space="4" w:color="auto"/>
        </w:pBdr>
      </w:pPr>
      <w:r>
        <w:t xml:space="preserve">The surface water for the whole site is designed to go to numerous soakaways around the site, however residents have had considerable issues with waterlogged gardens and standing water. 4 out of the 6 houses have undertaken extensive under draining of their gardens to alleviate this problem, I have been told that No.1 Russell Close under drained their garden (which collects water from the sloping field) to direct the water towards the existing soakaway. </w:t>
      </w:r>
    </w:p>
    <w:p w14:paraId="0260C06D" w14:textId="54C2BFC8" w:rsidR="00110B6A" w:rsidRDefault="00110B6A" w:rsidP="00A4643D">
      <w:pPr>
        <w:pBdr>
          <w:top w:val="single" w:sz="4" w:space="1" w:color="auto"/>
          <w:left w:val="single" w:sz="4" w:space="4" w:color="auto"/>
          <w:bottom w:val="single" w:sz="4" w:space="1" w:color="auto"/>
          <w:right w:val="single" w:sz="4" w:space="4" w:color="auto"/>
        </w:pBdr>
      </w:pPr>
    </w:p>
    <w:p w14:paraId="4E443F9D" w14:textId="3CC19A6F" w:rsidR="00110B6A" w:rsidRPr="0049592D" w:rsidRDefault="00110B6A" w:rsidP="00A4643D">
      <w:pPr>
        <w:pBdr>
          <w:top w:val="single" w:sz="4" w:space="1" w:color="auto"/>
          <w:left w:val="single" w:sz="4" w:space="4" w:color="auto"/>
          <w:bottom w:val="single" w:sz="4" w:space="1" w:color="auto"/>
          <w:right w:val="single" w:sz="4" w:space="4" w:color="auto"/>
        </w:pBdr>
      </w:pPr>
      <w:r>
        <w:t xml:space="preserve">I have been told by the previous landowner that they informed the developer the ground was very wet when they sold it. </w:t>
      </w:r>
      <w:r w:rsidR="00044FB3">
        <w:t xml:space="preserve">The </w:t>
      </w:r>
      <w:r w:rsidR="0093046A">
        <w:t>soil type around clay is well known to be thick clay and therefore have very poor percolation times. We are concerned that the variation applied for will not resolve the problem and just exacerbate the soakaway problems as they stand.</w:t>
      </w: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01D0327C" w:rsidR="00A4643D" w:rsidRDefault="00A4643D" w:rsidP="00A4643D">
      <w:pPr>
        <w:pBdr>
          <w:top w:val="single" w:sz="4" w:space="1" w:color="auto"/>
          <w:left w:val="single" w:sz="4" w:space="4" w:color="auto"/>
          <w:bottom w:val="single" w:sz="4" w:space="1" w:color="auto"/>
          <w:right w:val="single" w:sz="4" w:space="4" w:color="auto"/>
        </w:pBdr>
      </w:pPr>
      <w:r w:rsidRPr="00A4643D">
        <w:rPr>
          <w:b/>
          <w:color w:val="0091A5" w:themeColor="accent3"/>
        </w:rPr>
        <w:t>Officers name:</w:t>
      </w:r>
      <w:r w:rsidR="0093046A">
        <w:rPr>
          <w:b/>
          <w:color w:val="0091A5" w:themeColor="accent3"/>
        </w:rPr>
        <w:t xml:space="preserve"> </w:t>
      </w:r>
      <w:r w:rsidR="0093046A">
        <w:t>Edward Davies</w:t>
      </w:r>
      <w:r w:rsidRPr="00A4643D">
        <w:rPr>
          <w:b/>
          <w:color w:val="0091A5" w:themeColor="accent3"/>
        </w:rPr>
        <w:br/>
        <w:t>Date:</w:t>
      </w:r>
      <w:r w:rsidR="0093046A">
        <w:rPr>
          <w:b/>
          <w:color w:val="0091A5" w:themeColor="accent3"/>
        </w:rPr>
        <w:t xml:space="preserve"> </w:t>
      </w:r>
      <w:r w:rsidR="0093046A">
        <w:t>18/04/2019</w:t>
      </w:r>
    </w:p>
    <w:p w14:paraId="2B2D7DD7" w14:textId="0B415CD4" w:rsidR="0093046A" w:rsidRDefault="0093046A" w:rsidP="00A4643D">
      <w:pPr>
        <w:pBdr>
          <w:top w:val="single" w:sz="4" w:space="1" w:color="auto"/>
          <w:left w:val="single" w:sz="4" w:space="4" w:color="auto"/>
          <w:bottom w:val="single" w:sz="4" w:space="1" w:color="auto"/>
          <w:right w:val="single" w:sz="4" w:space="4" w:color="auto"/>
        </w:pBdr>
      </w:pPr>
    </w:p>
    <w:p w14:paraId="6592F293" w14:textId="77777777" w:rsidR="0093046A" w:rsidRPr="0093046A" w:rsidRDefault="0093046A" w:rsidP="00A4643D">
      <w:pPr>
        <w:pBdr>
          <w:top w:val="single" w:sz="4" w:space="1" w:color="auto"/>
          <w:left w:val="single" w:sz="4" w:space="4" w:color="auto"/>
          <w:bottom w:val="single" w:sz="4" w:space="1" w:color="auto"/>
          <w:right w:val="single" w:sz="4" w:space="4" w:color="auto"/>
        </w:pBdr>
      </w:pPr>
      <w:bookmarkStart w:id="0" w:name="_GoBack"/>
      <w:bookmarkEnd w:id="0"/>
    </w:p>
    <w:p w14:paraId="7B1C491C" w14:textId="77777777" w:rsidR="00A4643D" w:rsidRDefault="00A4643D" w:rsidP="00A4643D">
      <w:pPr>
        <w:rPr>
          <w:b/>
          <w:color w:val="0091A5" w:themeColor="accent3"/>
        </w:rPr>
      </w:pPr>
    </w:p>
    <w:p w14:paraId="38622CCA" w14:textId="2F8FB0A8"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Geoscience Response:</w:t>
      </w:r>
    </w:p>
    <w:p w14:paraId="3678E63D" w14:textId="77777777" w:rsidR="00B960D7" w:rsidRDefault="00B960D7" w:rsidP="00A4643D">
      <w:pPr>
        <w:pBdr>
          <w:top w:val="single" w:sz="4" w:space="1" w:color="auto"/>
          <w:left w:val="single" w:sz="4" w:space="4" w:color="auto"/>
          <w:bottom w:val="single" w:sz="4" w:space="1" w:color="auto"/>
          <w:right w:val="single" w:sz="4" w:space="4" w:color="auto"/>
        </w:pBdr>
        <w:rPr>
          <w:b/>
          <w:color w:val="0091A5" w:themeColor="accent3"/>
        </w:rPr>
      </w:pPr>
    </w:p>
    <w:p w14:paraId="3EA81AE6" w14:textId="240EECA7" w:rsidR="00B960D7" w:rsidRDefault="00B960D7" w:rsidP="00D75CDE">
      <w:pPr>
        <w:pBdr>
          <w:top w:val="single" w:sz="4" w:space="1" w:color="auto"/>
          <w:left w:val="single" w:sz="4" w:space="4" w:color="auto"/>
          <w:bottom w:val="single" w:sz="4" w:space="1" w:color="auto"/>
          <w:right w:val="single" w:sz="4" w:space="4" w:color="auto"/>
        </w:pBdr>
        <w:jc w:val="both"/>
      </w:pPr>
      <w:r>
        <w:t>Public comments</w:t>
      </w:r>
      <w:r w:rsidR="00D75CDE">
        <w:t xml:space="preserve"> for consideration</w:t>
      </w:r>
      <w:r>
        <w:t>:</w:t>
      </w:r>
    </w:p>
    <w:p w14:paraId="6B997DC9" w14:textId="77777777" w:rsidR="00D75CDE" w:rsidRDefault="00D75CDE" w:rsidP="00D75CDE">
      <w:pPr>
        <w:pBdr>
          <w:top w:val="single" w:sz="4" w:space="1" w:color="auto"/>
          <w:left w:val="single" w:sz="4" w:space="4" w:color="auto"/>
          <w:bottom w:val="single" w:sz="4" w:space="1" w:color="auto"/>
          <w:right w:val="single" w:sz="4" w:space="4" w:color="auto"/>
        </w:pBdr>
        <w:jc w:val="both"/>
      </w:pPr>
    </w:p>
    <w:p w14:paraId="295D2378" w14:textId="2D64DB6D" w:rsidR="00A4643D" w:rsidRDefault="00B960D7" w:rsidP="00D75CDE">
      <w:pPr>
        <w:pBdr>
          <w:top w:val="single" w:sz="4" w:space="1" w:color="auto"/>
          <w:left w:val="single" w:sz="4" w:space="4" w:color="auto"/>
          <w:bottom w:val="single" w:sz="4" w:space="1" w:color="auto"/>
          <w:right w:val="single" w:sz="4" w:space="4" w:color="auto"/>
        </w:pBdr>
        <w:jc w:val="both"/>
      </w:pPr>
      <w:r>
        <w:t xml:space="preserve">1. </w:t>
      </w:r>
      <w:r w:rsidR="00602C07">
        <w:t>W</w:t>
      </w:r>
      <w:r>
        <w:t xml:space="preserve">hat evidence is there to suggest that an </w:t>
      </w:r>
      <w:proofErr w:type="gramStart"/>
      <w:r>
        <w:t>adjacent</w:t>
      </w:r>
      <w:r w:rsidR="00D75CDE">
        <w:t xml:space="preserve"> </w:t>
      </w:r>
      <w:r>
        <w:t>”relief</w:t>
      </w:r>
      <w:proofErr w:type="gramEnd"/>
      <w:r>
        <w:t xml:space="preserve">” soakaway under the </w:t>
      </w:r>
      <w:proofErr w:type="spellStart"/>
      <w:r>
        <w:t>formpave</w:t>
      </w:r>
      <w:proofErr w:type="spellEnd"/>
      <w:r>
        <w:t xml:space="preserve"> area will have better/adequate percolation properties than the existing soakaway location?</w:t>
      </w:r>
    </w:p>
    <w:p w14:paraId="47F2A0FF" w14:textId="07DE4FEF" w:rsidR="00B960D7" w:rsidRPr="002554AE" w:rsidRDefault="002554AE" w:rsidP="00D75CDE">
      <w:pPr>
        <w:pBdr>
          <w:top w:val="single" w:sz="4" w:space="1" w:color="auto"/>
          <w:left w:val="single" w:sz="4" w:space="4" w:color="auto"/>
          <w:bottom w:val="single" w:sz="4" w:space="1" w:color="auto"/>
          <w:right w:val="single" w:sz="4" w:space="4" w:color="auto"/>
        </w:pBdr>
        <w:jc w:val="both"/>
        <w:rPr>
          <w:b/>
          <w:color w:val="147DA5" w:themeColor="accent5" w:themeShade="80"/>
        </w:rPr>
      </w:pPr>
      <w:r w:rsidRPr="002554AE">
        <w:rPr>
          <w:b/>
          <w:color w:val="147DA5" w:themeColor="accent5" w:themeShade="80"/>
        </w:rPr>
        <w:t>None supplied in the application</w:t>
      </w:r>
    </w:p>
    <w:p w14:paraId="3FCEF32F" w14:textId="0154288C" w:rsidR="002554AE" w:rsidRDefault="002554AE" w:rsidP="00D75CDE">
      <w:pPr>
        <w:pBdr>
          <w:top w:val="single" w:sz="4" w:space="1" w:color="auto"/>
          <w:left w:val="single" w:sz="4" w:space="4" w:color="auto"/>
          <w:bottom w:val="single" w:sz="4" w:space="1" w:color="auto"/>
          <w:right w:val="single" w:sz="4" w:space="4" w:color="auto"/>
        </w:pBdr>
        <w:jc w:val="both"/>
      </w:pPr>
    </w:p>
    <w:p w14:paraId="6B9F19CA" w14:textId="77777777" w:rsidR="002554AE" w:rsidRDefault="00B960D7" w:rsidP="00D75CDE">
      <w:pPr>
        <w:pBdr>
          <w:top w:val="single" w:sz="4" w:space="1" w:color="auto"/>
          <w:left w:val="single" w:sz="4" w:space="4" w:color="auto"/>
          <w:bottom w:val="single" w:sz="4" w:space="1" w:color="auto"/>
          <w:right w:val="single" w:sz="4" w:space="4" w:color="auto"/>
        </w:pBdr>
        <w:jc w:val="both"/>
      </w:pPr>
      <w:r>
        <w:t xml:space="preserve">2. </w:t>
      </w:r>
      <w:r w:rsidRPr="00B960D7">
        <w:t>The invert level of the proposed relocated Treated Effluent Soakaway (</w:t>
      </w:r>
      <w:r w:rsidRPr="00B960D7">
        <w:rPr>
          <w:b/>
          <w:bCs/>
        </w:rPr>
        <w:t>TES</w:t>
      </w:r>
      <w:r w:rsidRPr="00B960D7">
        <w:t>) is indicated at 215.30m, (Formation level 215.22m). This would appear to be 1.41m below the adjacent Storm water (SW) soakaway tank for No.1 Lord Russell Close which has an invert level of 216.71m (Formation level 216.70m) indicated on drawing </w:t>
      </w:r>
      <w:hyperlink r:id="rId13" w:history="1">
        <w:r w:rsidRPr="00B960D7">
          <w:rPr>
            <w:rStyle w:val="Hyperlink"/>
            <w:b/>
            <w:bCs/>
          </w:rPr>
          <w:t>14127-103</w:t>
        </w:r>
      </w:hyperlink>
      <w:r w:rsidRPr="00B960D7">
        <w:rPr>
          <w:b/>
          <w:bCs/>
        </w:rPr>
        <w:t> rev C</w:t>
      </w:r>
      <w:r w:rsidRPr="00B960D7">
        <w:t xml:space="preserve">. Given the </w:t>
      </w:r>
      <w:proofErr w:type="gramStart"/>
      <w:r w:rsidRPr="00B960D7">
        <w:t>close proximity</w:t>
      </w:r>
      <w:proofErr w:type="gramEnd"/>
      <w:r w:rsidRPr="00B960D7">
        <w:t xml:space="preserve"> of the SW tank to the proposed TES location, would the stability and function of the former be compromised?</w:t>
      </w:r>
      <w:r w:rsidR="002554AE">
        <w:t xml:space="preserve"> </w:t>
      </w:r>
    </w:p>
    <w:p w14:paraId="7479E12E" w14:textId="3278CA25" w:rsidR="00B960D7" w:rsidRDefault="002554AE" w:rsidP="00D75CDE">
      <w:pPr>
        <w:pBdr>
          <w:top w:val="single" w:sz="4" w:space="1" w:color="auto"/>
          <w:left w:val="single" w:sz="4" w:space="4" w:color="auto"/>
          <w:bottom w:val="single" w:sz="4" w:space="1" w:color="auto"/>
          <w:right w:val="single" w:sz="4" w:space="4" w:color="auto"/>
        </w:pBdr>
        <w:jc w:val="both"/>
      </w:pPr>
      <w:r w:rsidRPr="002554AE">
        <w:rPr>
          <w:b/>
          <w:color w:val="147DA5" w:themeColor="accent5" w:themeShade="80"/>
        </w:rPr>
        <w:t>Potentially – British Standards (Table 2) recommend</w:t>
      </w:r>
      <w:r w:rsidR="00E237B7">
        <w:rPr>
          <w:b/>
          <w:color w:val="147DA5" w:themeColor="accent5" w:themeShade="80"/>
        </w:rPr>
        <w:t>s</w:t>
      </w:r>
      <w:r w:rsidRPr="002554AE">
        <w:rPr>
          <w:b/>
          <w:color w:val="147DA5" w:themeColor="accent5" w:themeShade="80"/>
        </w:rPr>
        <w:t xml:space="preserve"> that surface water soakaways and foul water drainage fields are not co-located as they can affect one another</w:t>
      </w:r>
    </w:p>
    <w:p w14:paraId="6F688A7A" w14:textId="77777777" w:rsidR="00D75CDE" w:rsidRDefault="00D75CDE" w:rsidP="00D75CDE">
      <w:pPr>
        <w:pBdr>
          <w:top w:val="single" w:sz="4" w:space="1" w:color="auto"/>
          <w:left w:val="single" w:sz="4" w:space="4" w:color="auto"/>
          <w:bottom w:val="single" w:sz="4" w:space="1" w:color="auto"/>
          <w:right w:val="single" w:sz="4" w:space="4" w:color="auto"/>
        </w:pBdr>
        <w:jc w:val="both"/>
      </w:pPr>
    </w:p>
    <w:p w14:paraId="02819DEE" w14:textId="77777777" w:rsidR="002554AE" w:rsidRDefault="00B960D7" w:rsidP="00D75CDE">
      <w:pPr>
        <w:pBdr>
          <w:top w:val="single" w:sz="4" w:space="1" w:color="auto"/>
          <w:left w:val="single" w:sz="4" w:space="4" w:color="auto"/>
          <w:bottom w:val="single" w:sz="4" w:space="1" w:color="auto"/>
          <w:right w:val="single" w:sz="4" w:space="4" w:color="auto"/>
        </w:pBdr>
        <w:jc w:val="both"/>
      </w:pPr>
      <w:r>
        <w:t xml:space="preserve">3. </w:t>
      </w:r>
      <w:r w:rsidRPr="00B960D7">
        <w:t xml:space="preserve">Based on the dimensions given </w:t>
      </w:r>
      <w:r w:rsidR="00D75CDE">
        <w:t>in the</w:t>
      </w:r>
      <w:r w:rsidRPr="00B960D7">
        <w:t xml:space="preserve"> drawings</w:t>
      </w:r>
      <w:r w:rsidR="00D75CDE">
        <w:t>,</w:t>
      </w:r>
      <w:r w:rsidRPr="00B960D7">
        <w:t xml:space="preserve"> </w:t>
      </w:r>
      <w:proofErr w:type="gramStart"/>
      <w:r w:rsidRPr="00B960D7">
        <w:t>it would appear that the</w:t>
      </w:r>
      <w:proofErr w:type="gramEnd"/>
      <w:r w:rsidRPr="00B960D7">
        <w:t xml:space="preserve"> proposed relocated TES has a capacity of 14m</w:t>
      </w:r>
      <w:r w:rsidRPr="00B960D7">
        <w:rPr>
          <w:vertAlign w:val="superscript"/>
        </w:rPr>
        <w:t>3 </w:t>
      </w:r>
      <w:r w:rsidRPr="00B960D7">
        <w:t>(7m x 5m x 0.4m) as opposed to the existing TES which has a capacity of 27m</w:t>
      </w:r>
      <w:r w:rsidRPr="00B960D7">
        <w:rPr>
          <w:vertAlign w:val="superscript"/>
        </w:rPr>
        <w:t>3 </w:t>
      </w:r>
      <w:r w:rsidRPr="00B960D7">
        <w:t>(9.0m x 2.0m x 1.5m). Are these figures correct?</w:t>
      </w:r>
      <w:r w:rsidR="002554AE">
        <w:t xml:space="preserve">  </w:t>
      </w:r>
    </w:p>
    <w:p w14:paraId="5B2D62FB" w14:textId="2EE3E098" w:rsidR="00B960D7" w:rsidRPr="002554AE" w:rsidRDefault="002554AE" w:rsidP="00D75CDE">
      <w:pPr>
        <w:pBdr>
          <w:top w:val="single" w:sz="4" w:space="1" w:color="auto"/>
          <w:left w:val="single" w:sz="4" w:space="4" w:color="auto"/>
          <w:bottom w:val="single" w:sz="4" w:space="1" w:color="auto"/>
          <w:right w:val="single" w:sz="4" w:space="4" w:color="auto"/>
        </w:pBdr>
        <w:jc w:val="both"/>
        <w:rPr>
          <w:b/>
          <w:color w:val="147DA5" w:themeColor="accent5" w:themeShade="80"/>
        </w:rPr>
      </w:pPr>
      <w:r w:rsidRPr="002554AE">
        <w:rPr>
          <w:b/>
          <w:color w:val="147DA5" w:themeColor="accent5" w:themeShade="80"/>
        </w:rPr>
        <w:t>Appears correct and neither system meets the sizing requirements of the British Standards</w:t>
      </w:r>
      <w:r w:rsidR="00E237B7">
        <w:rPr>
          <w:b/>
          <w:color w:val="147DA5" w:themeColor="accent5" w:themeShade="80"/>
        </w:rPr>
        <w:t xml:space="preserve"> </w:t>
      </w:r>
      <w:r>
        <w:rPr>
          <w:b/>
          <w:color w:val="147DA5" w:themeColor="accent5" w:themeShade="80"/>
        </w:rPr>
        <w:t>6297 for drainage fields</w:t>
      </w:r>
      <w:r w:rsidRPr="002554AE">
        <w:rPr>
          <w:b/>
          <w:color w:val="147DA5" w:themeColor="accent5" w:themeShade="80"/>
        </w:rPr>
        <w:t xml:space="preserve"> – they have used BRE 365 which is designed for surface water discharge</w:t>
      </w:r>
      <w:r w:rsidR="00E237B7">
        <w:rPr>
          <w:b/>
          <w:color w:val="147DA5" w:themeColor="accent5" w:themeShade="80"/>
        </w:rPr>
        <w:t>s</w:t>
      </w:r>
    </w:p>
    <w:p w14:paraId="36D3EC0C" w14:textId="77777777" w:rsidR="00D75CDE" w:rsidRPr="00B960D7" w:rsidRDefault="00D75CDE" w:rsidP="00D75CDE">
      <w:pPr>
        <w:pBdr>
          <w:top w:val="single" w:sz="4" w:space="1" w:color="auto"/>
          <w:left w:val="single" w:sz="4" w:space="4" w:color="auto"/>
          <w:bottom w:val="single" w:sz="4" w:space="1" w:color="auto"/>
          <w:right w:val="single" w:sz="4" w:space="4" w:color="auto"/>
        </w:pBdr>
        <w:jc w:val="both"/>
      </w:pPr>
    </w:p>
    <w:p w14:paraId="773B28B2" w14:textId="37CFAF2D" w:rsidR="00B960D7" w:rsidRDefault="00B960D7" w:rsidP="00D75CDE">
      <w:pPr>
        <w:pBdr>
          <w:top w:val="single" w:sz="4" w:space="1" w:color="auto"/>
          <w:left w:val="single" w:sz="4" w:space="4" w:color="auto"/>
          <w:bottom w:val="single" w:sz="4" w:space="1" w:color="auto"/>
          <w:right w:val="single" w:sz="4" w:space="4" w:color="auto"/>
        </w:pBdr>
        <w:jc w:val="both"/>
      </w:pPr>
      <w:r>
        <w:t>4</w:t>
      </w:r>
      <w:r w:rsidRPr="00B960D7">
        <w:t>. What impact will the increase soil moisture levels have on the formation and sub base of the entrance to Lord Russell Close?</w:t>
      </w:r>
    </w:p>
    <w:p w14:paraId="35801755" w14:textId="25F0EAFF" w:rsidR="002554AE" w:rsidRPr="002554AE" w:rsidRDefault="002554AE" w:rsidP="00D75CDE">
      <w:pPr>
        <w:pBdr>
          <w:top w:val="single" w:sz="4" w:space="1" w:color="auto"/>
          <w:left w:val="single" w:sz="4" w:space="4" w:color="auto"/>
          <w:bottom w:val="single" w:sz="4" w:space="1" w:color="auto"/>
          <w:right w:val="single" w:sz="4" w:space="4" w:color="auto"/>
        </w:pBdr>
        <w:jc w:val="both"/>
        <w:rPr>
          <w:b/>
          <w:color w:val="147DA5" w:themeColor="accent5" w:themeShade="80"/>
        </w:rPr>
      </w:pPr>
      <w:r w:rsidRPr="002554AE">
        <w:rPr>
          <w:b/>
          <w:color w:val="147DA5" w:themeColor="accent5" w:themeShade="80"/>
        </w:rPr>
        <w:t>Not NRW remit</w:t>
      </w:r>
      <w:r w:rsidR="00E237B7">
        <w:rPr>
          <w:b/>
          <w:color w:val="147DA5" w:themeColor="accent5" w:themeShade="80"/>
        </w:rPr>
        <w:t xml:space="preserve"> – this would be a matter for local authority building control</w:t>
      </w:r>
    </w:p>
    <w:p w14:paraId="32B0A46F" w14:textId="77777777" w:rsidR="00D75CDE" w:rsidRDefault="00D75CDE" w:rsidP="00D75CDE">
      <w:pPr>
        <w:pBdr>
          <w:top w:val="single" w:sz="4" w:space="1" w:color="auto"/>
          <w:left w:val="single" w:sz="4" w:space="4" w:color="auto"/>
          <w:bottom w:val="single" w:sz="4" w:space="1" w:color="auto"/>
          <w:right w:val="single" w:sz="4" w:space="4" w:color="auto"/>
        </w:pBdr>
        <w:jc w:val="both"/>
      </w:pPr>
    </w:p>
    <w:p w14:paraId="33953BFC" w14:textId="4DA953C2" w:rsidR="00B960D7" w:rsidRDefault="00B960D7" w:rsidP="00D75CDE">
      <w:pPr>
        <w:pBdr>
          <w:top w:val="single" w:sz="4" w:space="1" w:color="auto"/>
          <w:left w:val="single" w:sz="4" w:space="4" w:color="auto"/>
          <w:bottom w:val="single" w:sz="4" w:space="1" w:color="auto"/>
          <w:right w:val="single" w:sz="4" w:space="4" w:color="auto"/>
        </w:pBdr>
        <w:jc w:val="both"/>
      </w:pPr>
      <w:r>
        <w:t>5.</w:t>
      </w:r>
      <w:r w:rsidRPr="00B960D7">
        <w:t xml:space="preserve"> What evidence does the applicant have that the area under the </w:t>
      </w:r>
      <w:proofErr w:type="spellStart"/>
      <w:r w:rsidRPr="00B960D7">
        <w:t>formpave</w:t>
      </w:r>
      <w:proofErr w:type="spellEnd"/>
      <w:r w:rsidRPr="00B960D7">
        <w:t xml:space="preserve"> </w:t>
      </w:r>
      <w:proofErr w:type="gramStart"/>
      <w:r w:rsidRPr="00B960D7">
        <w:t>...“</w:t>
      </w:r>
      <w:proofErr w:type="gramEnd"/>
      <w:r w:rsidRPr="00B960D7">
        <w:t>is proving to drain well”...and, by implication, is able to percolate the full-volume effluent flow ...... when it is patently obvious the existing soakaway, just a few metres away, cannot cope with existing effluent flows.</w:t>
      </w:r>
    </w:p>
    <w:p w14:paraId="73FF138A" w14:textId="2DA897AE" w:rsidR="002554AE" w:rsidRPr="002554AE" w:rsidRDefault="002554AE" w:rsidP="00D75CDE">
      <w:pPr>
        <w:pBdr>
          <w:top w:val="single" w:sz="4" w:space="1" w:color="auto"/>
          <w:left w:val="single" w:sz="4" w:space="4" w:color="auto"/>
          <w:bottom w:val="single" w:sz="4" w:space="1" w:color="auto"/>
          <w:right w:val="single" w:sz="4" w:space="4" w:color="auto"/>
        </w:pBdr>
        <w:jc w:val="both"/>
        <w:rPr>
          <w:b/>
          <w:color w:val="147DA5" w:themeColor="accent5" w:themeShade="80"/>
        </w:rPr>
      </w:pPr>
      <w:r w:rsidRPr="002554AE">
        <w:rPr>
          <w:b/>
          <w:color w:val="147DA5" w:themeColor="accent5" w:themeShade="80"/>
        </w:rPr>
        <w:t>No evidence supplied with the application to address this</w:t>
      </w:r>
    </w:p>
    <w:p w14:paraId="0C19479C" w14:textId="77777777" w:rsidR="00B960D7" w:rsidRPr="00B960D7" w:rsidRDefault="00B960D7" w:rsidP="00B960D7">
      <w:pPr>
        <w:pBdr>
          <w:top w:val="single" w:sz="4" w:space="1" w:color="auto"/>
          <w:left w:val="single" w:sz="4" w:space="4" w:color="auto"/>
          <w:bottom w:val="single" w:sz="4" w:space="1" w:color="auto"/>
          <w:right w:val="single" w:sz="4" w:space="4" w:color="auto"/>
        </w:pBdr>
      </w:pPr>
    </w:p>
    <w:p w14:paraId="056F7C95" w14:textId="67F707B0" w:rsidR="002554AE" w:rsidRDefault="002554AE" w:rsidP="002554AE">
      <w:pPr>
        <w:pBdr>
          <w:top w:val="single" w:sz="4" w:space="1" w:color="auto"/>
          <w:left w:val="single" w:sz="4" w:space="4" w:color="auto"/>
          <w:bottom w:val="single" w:sz="4" w:space="1" w:color="auto"/>
          <w:right w:val="single" w:sz="4" w:space="4" w:color="auto"/>
        </w:pBdr>
      </w:pPr>
      <w:r>
        <w:t>A few things to clarify</w:t>
      </w:r>
    </w:p>
    <w:p w14:paraId="0AEED557" w14:textId="77777777" w:rsidR="002554AE" w:rsidRDefault="002554AE" w:rsidP="002554AE">
      <w:pPr>
        <w:pBdr>
          <w:top w:val="single" w:sz="4" w:space="1" w:color="auto"/>
          <w:left w:val="single" w:sz="4" w:space="4" w:color="auto"/>
          <w:bottom w:val="single" w:sz="4" w:space="1" w:color="auto"/>
          <w:right w:val="single" w:sz="4" w:space="4" w:color="auto"/>
        </w:pBdr>
      </w:pPr>
    </w:p>
    <w:p w14:paraId="210B0106" w14:textId="1A44E966" w:rsidR="002554AE" w:rsidRDefault="002554AE" w:rsidP="002554AE">
      <w:pPr>
        <w:pBdr>
          <w:top w:val="single" w:sz="4" w:space="1" w:color="auto"/>
          <w:left w:val="single" w:sz="4" w:space="4" w:color="auto"/>
          <w:bottom w:val="single" w:sz="4" w:space="1" w:color="auto"/>
          <w:right w:val="single" w:sz="4" w:space="4" w:color="auto"/>
        </w:pBdr>
      </w:pPr>
      <w:r>
        <w:t>•</w:t>
      </w:r>
      <w:r>
        <w:tab/>
        <w:t>Are they meeting the current emission limits in Table 3.1 on the permit?  Can’t see any data provided on the compliance of the current system.  I can’t see how we would issue a variation if we have no evidence that they are complying with the current emission limits.  I note the email from the resident that states the reed bed smells – it shouldn’t, which again suggests the emission limits may not be</w:t>
      </w:r>
      <w:r w:rsidR="00E237B7">
        <w:t xml:space="preserve"> being</w:t>
      </w:r>
      <w:r>
        <w:t xml:space="preserve"> met.</w:t>
      </w:r>
    </w:p>
    <w:p w14:paraId="18D661F6" w14:textId="77777777" w:rsidR="002554AE" w:rsidRDefault="002554AE" w:rsidP="002554AE">
      <w:pPr>
        <w:pBdr>
          <w:top w:val="single" w:sz="4" w:space="1" w:color="auto"/>
          <w:left w:val="single" w:sz="4" w:space="4" w:color="auto"/>
          <w:bottom w:val="single" w:sz="4" w:space="1" w:color="auto"/>
          <w:right w:val="single" w:sz="4" w:space="4" w:color="auto"/>
        </w:pBdr>
      </w:pPr>
    </w:p>
    <w:p w14:paraId="3E33130E" w14:textId="539956DD" w:rsidR="002554AE" w:rsidRDefault="002554AE" w:rsidP="002554AE">
      <w:pPr>
        <w:pBdr>
          <w:top w:val="single" w:sz="4" w:space="1" w:color="auto"/>
          <w:left w:val="single" w:sz="4" w:space="4" w:color="auto"/>
          <w:bottom w:val="single" w:sz="4" w:space="1" w:color="auto"/>
          <w:right w:val="single" w:sz="4" w:space="4" w:color="auto"/>
        </w:pBdr>
      </w:pPr>
      <w:r>
        <w:t>•</w:t>
      </w:r>
      <w:r>
        <w:tab/>
        <w:t>I can’t see in the application what the specific problem is with the current system?  Are they saying it doesn’t have sufficient capacity to deal with the effluent?  The ground cannot cope with the volume?</w:t>
      </w:r>
    </w:p>
    <w:p w14:paraId="7BA8F2B5" w14:textId="77777777" w:rsidR="002554AE" w:rsidRDefault="002554AE" w:rsidP="002554AE">
      <w:pPr>
        <w:pBdr>
          <w:top w:val="single" w:sz="4" w:space="1" w:color="auto"/>
          <w:left w:val="single" w:sz="4" w:space="4" w:color="auto"/>
          <w:bottom w:val="single" w:sz="4" w:space="1" w:color="auto"/>
          <w:right w:val="single" w:sz="4" w:space="4" w:color="auto"/>
        </w:pBdr>
      </w:pPr>
    </w:p>
    <w:p w14:paraId="4D52D1E3" w14:textId="1A636731" w:rsidR="002554AE" w:rsidRDefault="002554AE" w:rsidP="002554AE">
      <w:pPr>
        <w:pBdr>
          <w:top w:val="single" w:sz="4" w:space="1" w:color="auto"/>
          <w:left w:val="single" w:sz="4" w:space="4" w:color="auto"/>
          <w:bottom w:val="single" w:sz="4" w:space="1" w:color="auto"/>
          <w:right w:val="single" w:sz="4" w:space="4" w:color="auto"/>
        </w:pBdr>
      </w:pPr>
      <w:r>
        <w:t>•</w:t>
      </w:r>
      <w:r>
        <w:tab/>
        <w:t>I can’t see any percolation test results (</w:t>
      </w:r>
      <w:proofErr w:type="spellStart"/>
      <w:r>
        <w:t>Vp</w:t>
      </w:r>
      <w:proofErr w:type="spellEnd"/>
      <w:r>
        <w:t xml:space="preserve"> in s/mm) for this new area – they are needed to progress the application.</w:t>
      </w:r>
    </w:p>
    <w:p w14:paraId="727A730D" w14:textId="77777777" w:rsidR="002554AE" w:rsidRDefault="002554AE" w:rsidP="002554AE">
      <w:pPr>
        <w:pBdr>
          <w:top w:val="single" w:sz="4" w:space="1" w:color="auto"/>
          <w:left w:val="single" w:sz="4" w:space="4" w:color="auto"/>
          <w:bottom w:val="single" w:sz="4" w:space="1" w:color="auto"/>
          <w:right w:val="single" w:sz="4" w:space="4" w:color="auto"/>
        </w:pBdr>
      </w:pPr>
    </w:p>
    <w:p w14:paraId="5D890357" w14:textId="126C103F" w:rsidR="002554AE" w:rsidRDefault="002554AE" w:rsidP="002554AE">
      <w:pPr>
        <w:pBdr>
          <w:top w:val="single" w:sz="4" w:space="1" w:color="auto"/>
          <w:left w:val="single" w:sz="4" w:space="4" w:color="auto"/>
          <w:bottom w:val="single" w:sz="4" w:space="1" w:color="auto"/>
          <w:right w:val="single" w:sz="4" w:space="4" w:color="auto"/>
        </w:pBdr>
      </w:pPr>
      <w:r>
        <w:t>•</w:t>
      </w:r>
      <w:r>
        <w:tab/>
        <w:t xml:space="preserve">It’s not clear from drawing 14127-SK1001 what they are </w:t>
      </w:r>
      <w:proofErr w:type="gramStart"/>
      <w:r>
        <w:t>actually proposing</w:t>
      </w:r>
      <w:proofErr w:type="gramEnd"/>
      <w:r>
        <w:t xml:space="preserve"> on site. The current discharge arrangement is detailed in Schedule 7 of the permit.  It shows the sewage treatment system, Vertical Reed Bed and then Soakaway.  Drawing 14127-</w:t>
      </w:r>
      <w:r>
        <w:lastRenderedPageBreak/>
        <w:t>SK1001 shows the sewage treatment system, what I assume is the vertical reed bed (but which isn’t labelled) and then shows and overflow</w:t>
      </w:r>
      <w:r w:rsidR="00E237B7">
        <w:t xml:space="preserve"> running around the reedbed and </w:t>
      </w:r>
      <w:proofErr w:type="spellStart"/>
      <w:r w:rsidR="00E237B7">
        <w:t>seperately</w:t>
      </w:r>
      <w:proofErr w:type="spellEnd"/>
      <w:r>
        <w:t xml:space="preserve"> to a new soak</w:t>
      </w:r>
      <w:r w:rsidR="00E237B7">
        <w:t>a</w:t>
      </w:r>
      <w:r>
        <w:t>way located under the access road.  The current ‘soakaway’ they are using is not marked on the map – is it still part of their design?</w:t>
      </w:r>
    </w:p>
    <w:p w14:paraId="4E2CAA2B" w14:textId="77777777" w:rsidR="002554AE" w:rsidRDefault="002554AE" w:rsidP="002554AE">
      <w:pPr>
        <w:pBdr>
          <w:top w:val="single" w:sz="4" w:space="1" w:color="auto"/>
          <w:left w:val="single" w:sz="4" w:space="4" w:color="auto"/>
          <w:bottom w:val="single" w:sz="4" w:space="1" w:color="auto"/>
          <w:right w:val="single" w:sz="4" w:space="4" w:color="auto"/>
        </w:pBdr>
      </w:pPr>
    </w:p>
    <w:p w14:paraId="6C5209BA" w14:textId="22891A93" w:rsidR="002554AE" w:rsidRPr="002554AE" w:rsidRDefault="002554AE" w:rsidP="002554AE">
      <w:pPr>
        <w:pBdr>
          <w:top w:val="single" w:sz="4" w:space="1" w:color="auto"/>
          <w:left w:val="single" w:sz="4" w:space="4" w:color="auto"/>
          <w:bottom w:val="single" w:sz="4" w:space="1" w:color="auto"/>
          <w:right w:val="single" w:sz="4" w:space="4" w:color="auto"/>
        </w:pBdr>
        <w:rPr>
          <w:b/>
        </w:rPr>
      </w:pPr>
      <w:r w:rsidRPr="002554AE">
        <w:rPr>
          <w:b/>
        </w:rPr>
        <w:t>Having reviewed the information provided I am unable to support the variation of this permit on the terms proposed.</w:t>
      </w:r>
    </w:p>
    <w:p w14:paraId="00CD42E9" w14:textId="77777777" w:rsidR="002554AE" w:rsidRDefault="002554AE" w:rsidP="002554AE">
      <w:pPr>
        <w:pBdr>
          <w:top w:val="single" w:sz="4" w:space="1" w:color="auto"/>
          <w:left w:val="single" w:sz="4" w:space="4" w:color="auto"/>
          <w:bottom w:val="single" w:sz="4" w:space="1" w:color="auto"/>
          <w:right w:val="single" w:sz="4" w:space="4" w:color="auto"/>
        </w:pBdr>
      </w:pPr>
    </w:p>
    <w:p w14:paraId="224C1EB5" w14:textId="32EE26D5" w:rsidR="002554AE" w:rsidRDefault="002554AE" w:rsidP="002554AE">
      <w:pPr>
        <w:pBdr>
          <w:top w:val="single" w:sz="4" w:space="1" w:color="auto"/>
          <w:left w:val="single" w:sz="4" w:space="4" w:color="auto"/>
          <w:bottom w:val="single" w:sz="4" w:space="1" w:color="auto"/>
          <w:right w:val="single" w:sz="4" w:space="4" w:color="auto"/>
        </w:pBdr>
      </w:pPr>
      <w:r>
        <w:t xml:space="preserve">I think we should re-consider the cost benefit analysis around the mains connection at this </w:t>
      </w:r>
      <w:proofErr w:type="gramStart"/>
      <w:r>
        <w:t>particular development</w:t>
      </w:r>
      <w:proofErr w:type="gramEnd"/>
      <w:r>
        <w:t xml:space="preserve"> in light of the evidence that the current private treatment system is unable to cope with the effluent.  NRW previously only completed a cost analysis and did not consider the environmental benefit/dis-benefit of using a sewage treatment system vs mains sewer.  Given we now have clear evidence that the system installed is failing it casts doubt on the long-term viability of a discharge to ground at this location</w:t>
      </w:r>
      <w:r w:rsidR="00E237B7">
        <w:t xml:space="preserve"> and the use of private treatment system</w:t>
      </w:r>
      <w:r>
        <w:t>.</w:t>
      </w:r>
    </w:p>
    <w:p w14:paraId="76CB8263" w14:textId="77777777" w:rsidR="002554AE" w:rsidRDefault="002554AE" w:rsidP="002554AE">
      <w:pPr>
        <w:pBdr>
          <w:top w:val="single" w:sz="4" w:space="1" w:color="auto"/>
          <w:left w:val="single" w:sz="4" w:space="4" w:color="auto"/>
          <w:bottom w:val="single" w:sz="4" w:space="1" w:color="auto"/>
          <w:right w:val="single" w:sz="4" w:space="4" w:color="auto"/>
        </w:pBdr>
      </w:pPr>
    </w:p>
    <w:p w14:paraId="5D42BC3A" w14:textId="5E5ED227" w:rsidR="002554AE" w:rsidRDefault="002554AE" w:rsidP="002554AE">
      <w:pPr>
        <w:pBdr>
          <w:top w:val="single" w:sz="4" w:space="1" w:color="auto"/>
          <w:left w:val="single" w:sz="4" w:space="4" w:color="auto"/>
          <w:bottom w:val="single" w:sz="4" w:space="1" w:color="auto"/>
          <w:right w:val="single" w:sz="4" w:space="4" w:color="auto"/>
        </w:pBdr>
      </w:pPr>
      <w:r>
        <w:t xml:space="preserve">In addition, the drainage system installed does not meet British Standards and the evidence shows that this has now caused a problem. We previously agreed to the use of a non-British Standards designed drainage field based on the results of the </w:t>
      </w:r>
      <w:r w:rsidR="00E237B7">
        <w:t>groundwater</w:t>
      </w:r>
      <w:r>
        <w:t xml:space="preserve"> risk assessment.  This assessment was a modelled prediction based on predominately literature values and it predicted that the drainage field constructed would be able to deal with the effluent.  The recent evidence shows that this is not the case and means the previous risk assessment can no longer be relied upon.</w:t>
      </w:r>
    </w:p>
    <w:p w14:paraId="17F39C2A" w14:textId="77777777" w:rsidR="002554AE" w:rsidRDefault="002554AE" w:rsidP="002554AE">
      <w:pPr>
        <w:pBdr>
          <w:top w:val="single" w:sz="4" w:space="1" w:color="auto"/>
          <w:left w:val="single" w:sz="4" w:space="4" w:color="auto"/>
          <w:bottom w:val="single" w:sz="4" w:space="1" w:color="auto"/>
          <w:right w:val="single" w:sz="4" w:space="4" w:color="auto"/>
        </w:pBdr>
      </w:pPr>
    </w:p>
    <w:p w14:paraId="643BD8EE" w14:textId="5DA7811C" w:rsidR="002554AE" w:rsidRDefault="002554AE" w:rsidP="002554AE">
      <w:pPr>
        <w:pBdr>
          <w:top w:val="single" w:sz="4" w:space="1" w:color="auto"/>
          <w:left w:val="single" w:sz="4" w:space="4" w:color="auto"/>
          <w:bottom w:val="single" w:sz="4" w:space="1" w:color="auto"/>
          <w:right w:val="single" w:sz="4" w:space="4" w:color="auto"/>
        </w:pBdr>
      </w:pPr>
      <w:r>
        <w:t xml:space="preserve">I also understand (anecdotally) that due to </w:t>
      </w:r>
      <w:r w:rsidR="00E237B7">
        <w:t xml:space="preserve">general </w:t>
      </w:r>
      <w:r>
        <w:t>poor permeability on site the surface water run-off and rainwater is now discharged to the same drainage field as the sewage effluent.  This is likely to exacerbate the problems on site.</w:t>
      </w:r>
    </w:p>
    <w:p w14:paraId="51F2206A" w14:textId="77777777" w:rsidR="002554AE" w:rsidRDefault="002554AE" w:rsidP="002554AE">
      <w:pPr>
        <w:pBdr>
          <w:top w:val="single" w:sz="4" w:space="1" w:color="auto"/>
          <w:left w:val="single" w:sz="4" w:space="4" w:color="auto"/>
          <w:bottom w:val="single" w:sz="4" w:space="1" w:color="auto"/>
          <w:right w:val="single" w:sz="4" w:space="4" w:color="auto"/>
        </w:pBdr>
      </w:pPr>
    </w:p>
    <w:p w14:paraId="66FE16D3" w14:textId="4CB547A1" w:rsidR="002554AE" w:rsidRDefault="002554AE" w:rsidP="002554AE">
      <w:pPr>
        <w:pBdr>
          <w:top w:val="single" w:sz="4" w:space="1" w:color="auto"/>
          <w:left w:val="single" w:sz="4" w:space="4" w:color="auto"/>
          <w:bottom w:val="single" w:sz="4" w:space="1" w:color="auto"/>
          <w:right w:val="single" w:sz="4" w:space="4" w:color="auto"/>
        </w:pBdr>
      </w:pPr>
      <w:r>
        <w:t>Adding an additional rainwater soakaway crate in my view is not the most appropriate way of resolving this matte</w:t>
      </w:r>
      <w:r w:rsidR="00E237B7">
        <w:t>r.  They are proposing to add a soakaway with a</w:t>
      </w:r>
      <w:r>
        <w:t xml:space="preserve"> surface area </w:t>
      </w:r>
      <w:r w:rsidR="00E237B7">
        <w:t>of 35m</w:t>
      </w:r>
      <w:r w:rsidR="00E237B7">
        <w:rPr>
          <w:vertAlign w:val="superscript"/>
        </w:rPr>
        <w:t>2</w:t>
      </w:r>
      <w:r>
        <w:t>.</w:t>
      </w:r>
    </w:p>
    <w:p w14:paraId="2FEBA27D" w14:textId="77777777" w:rsidR="002554AE" w:rsidRDefault="002554AE" w:rsidP="002554AE">
      <w:pPr>
        <w:pBdr>
          <w:top w:val="single" w:sz="4" w:space="1" w:color="auto"/>
          <w:left w:val="single" w:sz="4" w:space="4" w:color="auto"/>
          <w:bottom w:val="single" w:sz="4" w:space="1" w:color="auto"/>
          <w:right w:val="single" w:sz="4" w:space="4" w:color="auto"/>
        </w:pBdr>
      </w:pPr>
    </w:p>
    <w:p w14:paraId="3CBE79DD" w14:textId="57C16FAB" w:rsidR="002554AE" w:rsidRPr="002554AE" w:rsidRDefault="002554AE" w:rsidP="002554AE">
      <w:pPr>
        <w:pBdr>
          <w:top w:val="single" w:sz="4" w:space="1" w:color="auto"/>
          <w:left w:val="single" w:sz="4" w:space="4" w:color="auto"/>
          <w:bottom w:val="single" w:sz="4" w:space="1" w:color="auto"/>
          <w:right w:val="single" w:sz="4" w:space="4" w:color="auto"/>
        </w:pBdr>
        <w:rPr>
          <w:i/>
        </w:rPr>
      </w:pPr>
      <w:r>
        <w:t xml:space="preserve">In our previous response to the original permit application in 2016 we raised the following concerns around the infiltration rate </w:t>
      </w:r>
      <w:r w:rsidRPr="002554AE">
        <w:rPr>
          <w:i/>
        </w:rPr>
        <w:t xml:space="preserve">“The hydraulic loading or infiltration rate is the volume of discharge / area of drainage field.  For this </w:t>
      </w:r>
      <w:proofErr w:type="gramStart"/>
      <w:r w:rsidRPr="002554AE">
        <w:rPr>
          <w:i/>
        </w:rPr>
        <w:t>particular development</w:t>
      </w:r>
      <w:proofErr w:type="gramEnd"/>
      <w:r w:rsidRPr="002554AE">
        <w:rPr>
          <w:i/>
        </w:rPr>
        <w:t xml:space="preserve"> it’s been calculated at 0.617m/d based on a discharge rate of 11.1m3/d and drainage field area of 18m2</w:t>
      </w:r>
    </w:p>
    <w:p w14:paraId="7255EB9F" w14:textId="7DC56FFF" w:rsidR="002554AE" w:rsidRPr="002554AE" w:rsidRDefault="002554AE" w:rsidP="002554AE">
      <w:pPr>
        <w:pBdr>
          <w:top w:val="single" w:sz="4" w:space="1" w:color="auto"/>
          <w:left w:val="single" w:sz="4" w:space="4" w:color="auto"/>
          <w:bottom w:val="single" w:sz="4" w:space="1" w:color="auto"/>
          <w:right w:val="single" w:sz="4" w:space="4" w:color="auto"/>
        </w:pBdr>
        <w:rPr>
          <w:i/>
        </w:rPr>
      </w:pPr>
      <w:r w:rsidRPr="002554AE">
        <w:rPr>
          <w:i/>
        </w:rPr>
        <w:t>Box 3.1 (page 16) of the infiltration worksheet user manual states “Note: The infiltration rate (</w:t>
      </w:r>
      <w:proofErr w:type="spellStart"/>
      <w:r w:rsidRPr="002554AE">
        <w:rPr>
          <w:i/>
        </w:rPr>
        <w:t>Inf</w:t>
      </w:r>
      <w:proofErr w:type="spellEnd"/>
      <w:r w:rsidRPr="002554AE">
        <w:rPr>
          <w:i/>
        </w:rPr>
        <w:t>) should not exceed the maximum infiltration rate from BS 6297:2007 + A1:2008.  This would indicate re-design of the drainage field was necessary.  For some infiltration systems the design may include for storage to deal with peak flows, in these cases the infiltration rate should be set as the maximum infiltration rate”.  This is repeated in Box 2.3 (page 41) of the H1 Annex J4 Groundwater Risk Assessment for treated effluent discharges to infiltration systems.</w:t>
      </w:r>
    </w:p>
    <w:p w14:paraId="1A667AA2" w14:textId="77777777" w:rsidR="002554AE" w:rsidRPr="002554AE" w:rsidRDefault="002554AE" w:rsidP="002554AE">
      <w:pPr>
        <w:pBdr>
          <w:top w:val="single" w:sz="4" w:space="1" w:color="auto"/>
          <w:left w:val="single" w:sz="4" w:space="4" w:color="auto"/>
          <w:bottom w:val="single" w:sz="4" w:space="1" w:color="auto"/>
          <w:right w:val="single" w:sz="4" w:space="4" w:color="auto"/>
        </w:pBdr>
        <w:rPr>
          <w:i/>
        </w:rPr>
      </w:pPr>
    </w:p>
    <w:p w14:paraId="653D38E2" w14:textId="77777777" w:rsidR="002554AE" w:rsidRPr="002554AE" w:rsidRDefault="002554AE" w:rsidP="002554AE">
      <w:pPr>
        <w:pBdr>
          <w:top w:val="single" w:sz="4" w:space="1" w:color="auto"/>
          <w:left w:val="single" w:sz="4" w:space="4" w:color="auto"/>
          <w:bottom w:val="single" w:sz="4" w:space="1" w:color="auto"/>
          <w:right w:val="single" w:sz="4" w:space="4" w:color="auto"/>
        </w:pBdr>
        <w:rPr>
          <w:i/>
        </w:rPr>
      </w:pPr>
      <w:r w:rsidRPr="002554AE">
        <w:rPr>
          <w:i/>
        </w:rPr>
        <w:t xml:space="preserve">The maximum infiltration rate for this </w:t>
      </w:r>
      <w:proofErr w:type="gramStart"/>
      <w:r w:rsidRPr="002554AE">
        <w:rPr>
          <w:i/>
        </w:rPr>
        <w:t>particular discharge</w:t>
      </w:r>
      <w:proofErr w:type="gramEnd"/>
      <w:r w:rsidRPr="002554AE">
        <w:rPr>
          <w:i/>
        </w:rPr>
        <w:t xml:space="preserve"> should be around 0.01m/d in accordance with the British Standard. Hydraulic loading/infiltration rates are important as excess hydraulic loading may mean: </w:t>
      </w:r>
    </w:p>
    <w:p w14:paraId="78BC1555" w14:textId="77777777" w:rsidR="002554AE" w:rsidRPr="002554AE" w:rsidRDefault="002554AE" w:rsidP="002554AE">
      <w:pPr>
        <w:pBdr>
          <w:top w:val="single" w:sz="4" w:space="1" w:color="auto"/>
          <w:left w:val="single" w:sz="4" w:space="4" w:color="auto"/>
          <w:bottom w:val="single" w:sz="4" w:space="1" w:color="auto"/>
          <w:right w:val="single" w:sz="4" w:space="4" w:color="auto"/>
        </w:pBdr>
        <w:rPr>
          <w:i/>
        </w:rPr>
      </w:pPr>
      <w:r w:rsidRPr="002554AE">
        <w:rPr>
          <w:i/>
        </w:rPr>
        <w:t xml:space="preserve">• the underlying ground is unable to accept the rate of discharge, resulting in surface breakouts; </w:t>
      </w:r>
    </w:p>
    <w:p w14:paraId="628B58E9" w14:textId="77777777" w:rsidR="002554AE" w:rsidRPr="002554AE" w:rsidRDefault="002554AE" w:rsidP="002554AE">
      <w:pPr>
        <w:pBdr>
          <w:top w:val="single" w:sz="4" w:space="1" w:color="auto"/>
          <w:left w:val="single" w:sz="4" w:space="4" w:color="auto"/>
          <w:bottom w:val="single" w:sz="4" w:space="1" w:color="auto"/>
          <w:right w:val="single" w:sz="4" w:space="4" w:color="auto"/>
        </w:pBdr>
        <w:rPr>
          <w:i/>
        </w:rPr>
      </w:pPr>
      <w:r w:rsidRPr="002554AE">
        <w:rPr>
          <w:i/>
        </w:rPr>
        <w:t xml:space="preserve">• rapid travel times through the unsaturated zone or by-pass flow resulting in limited attenuation of the effluent; </w:t>
      </w:r>
    </w:p>
    <w:p w14:paraId="16DEC660" w14:textId="6713CEF6" w:rsidR="002554AE" w:rsidRPr="002554AE" w:rsidRDefault="002554AE" w:rsidP="002554AE">
      <w:pPr>
        <w:pBdr>
          <w:top w:val="single" w:sz="4" w:space="1" w:color="auto"/>
          <w:left w:val="single" w:sz="4" w:space="4" w:color="auto"/>
          <w:bottom w:val="single" w:sz="4" w:space="1" w:color="auto"/>
          <w:right w:val="single" w:sz="4" w:space="4" w:color="auto"/>
        </w:pBdr>
        <w:rPr>
          <w:i/>
        </w:rPr>
      </w:pPr>
      <w:r w:rsidRPr="002554AE">
        <w:rPr>
          <w:i/>
        </w:rPr>
        <w:lastRenderedPageBreak/>
        <w:t>• groundwater mounding below the drainage field, resulting in a reduced unsaturated zone thickness.”</w:t>
      </w:r>
    </w:p>
    <w:p w14:paraId="7DF79598" w14:textId="77777777" w:rsidR="002554AE" w:rsidRDefault="002554AE" w:rsidP="002554AE">
      <w:pPr>
        <w:pBdr>
          <w:top w:val="single" w:sz="4" w:space="1" w:color="auto"/>
          <w:left w:val="single" w:sz="4" w:space="4" w:color="auto"/>
          <w:bottom w:val="single" w:sz="4" w:space="1" w:color="auto"/>
          <w:right w:val="single" w:sz="4" w:space="4" w:color="auto"/>
        </w:pBdr>
      </w:pPr>
    </w:p>
    <w:p w14:paraId="7B6D21A5" w14:textId="6611AECC" w:rsidR="002554AE" w:rsidRDefault="002554AE" w:rsidP="002554AE">
      <w:pPr>
        <w:pBdr>
          <w:top w:val="single" w:sz="4" w:space="1" w:color="auto"/>
          <w:left w:val="single" w:sz="4" w:space="4" w:color="auto"/>
          <w:bottom w:val="single" w:sz="4" w:space="1" w:color="auto"/>
          <w:right w:val="single" w:sz="4" w:space="4" w:color="auto"/>
        </w:pBdr>
      </w:pPr>
      <w:r>
        <w:t xml:space="preserve">It’s clear that surface breakouts are taking place suggesting that the infiltration rate at this location is excessive and the ground cannot cope.  Adding a secondary </w:t>
      </w:r>
      <w:proofErr w:type="gramStart"/>
      <w:r>
        <w:t>soakaway</w:t>
      </w:r>
      <w:r w:rsidR="009612EC">
        <w:t xml:space="preserve"> </w:t>
      </w:r>
      <w:r>
        <w:t xml:space="preserve"> won’t</w:t>
      </w:r>
      <w:proofErr w:type="gramEnd"/>
      <w:r>
        <w:t xml:space="preserve"> eliminate this issue as it would only marginal</w:t>
      </w:r>
      <w:r w:rsidR="009612EC">
        <w:t>ly alter</w:t>
      </w:r>
      <w:r>
        <w:t xml:space="preserve"> the r</w:t>
      </w:r>
      <w:r w:rsidR="00853EB4">
        <w:t>ate of infiltration at the site, and appears to only work when effluent ‘overflows’ into it.</w:t>
      </w:r>
    </w:p>
    <w:p w14:paraId="75DF0FFB" w14:textId="0974FFE8" w:rsidR="007C6C5A" w:rsidRDefault="007C6C5A" w:rsidP="002554AE">
      <w:pPr>
        <w:pBdr>
          <w:top w:val="single" w:sz="4" w:space="1" w:color="auto"/>
          <w:left w:val="single" w:sz="4" w:space="4" w:color="auto"/>
          <w:bottom w:val="single" w:sz="4" w:space="1" w:color="auto"/>
          <w:right w:val="single" w:sz="4" w:space="4" w:color="auto"/>
        </w:pBdr>
      </w:pPr>
    </w:p>
    <w:p w14:paraId="24B0AFCE" w14:textId="665CB454" w:rsidR="002554AE" w:rsidRDefault="007C6C5A" w:rsidP="002554AE">
      <w:pPr>
        <w:pBdr>
          <w:top w:val="single" w:sz="4" w:space="1" w:color="auto"/>
          <w:left w:val="single" w:sz="4" w:space="4" w:color="auto"/>
          <w:bottom w:val="single" w:sz="4" w:space="1" w:color="auto"/>
          <w:right w:val="single" w:sz="4" w:space="4" w:color="auto"/>
        </w:pBdr>
      </w:pPr>
      <w:r w:rsidRPr="007C6C5A">
        <w:t xml:space="preserve">In addition, relying on an ‘overflow’ from one discharge point to another when the system is at capacity also highlights the issues with this </w:t>
      </w:r>
      <w:proofErr w:type="gramStart"/>
      <w:r w:rsidRPr="007C6C5A">
        <w:t>particular system</w:t>
      </w:r>
      <w:proofErr w:type="gramEnd"/>
      <w:r w:rsidRPr="007C6C5A">
        <w:t>.  They are applying a design approach used for clean surface water disposal</w:t>
      </w:r>
      <w:r>
        <w:t xml:space="preserve"> (which is designed to be discharged as quickly as possible ready for the next storm event)</w:t>
      </w:r>
      <w:r w:rsidRPr="007C6C5A">
        <w:t xml:space="preserve"> and applying it to sewage discharges.  Sewage drainage field are not designed to reach capacity and ‘overflow’ as that highlights that the ground is saturated and cannot accommodate the flow</w:t>
      </w:r>
      <w:r>
        <w:t xml:space="preserve">. </w:t>
      </w:r>
      <w:r w:rsidR="002554AE">
        <w:t>The consequence is the effluent will not be able to attenuate and increases the risk of pollution to groundwater and amenity issues (which is what has been experience so far).  Effluent should be dispersed in a controlled manner so that it can degrade and attenuate</w:t>
      </w:r>
      <w:r w:rsidR="00CF7F4F">
        <w:t xml:space="preserve"> in the soil and unsaturated zone</w:t>
      </w:r>
      <w:r w:rsidR="002554AE">
        <w:t>.</w:t>
      </w:r>
    </w:p>
    <w:p w14:paraId="7E3CD1E6" w14:textId="77777777" w:rsidR="00853EB4" w:rsidRDefault="00853EB4" w:rsidP="002554AE">
      <w:pPr>
        <w:pBdr>
          <w:top w:val="single" w:sz="4" w:space="1" w:color="auto"/>
          <w:left w:val="single" w:sz="4" w:space="4" w:color="auto"/>
          <w:bottom w:val="single" w:sz="4" w:space="1" w:color="auto"/>
          <w:right w:val="single" w:sz="4" w:space="4" w:color="auto"/>
        </w:pBdr>
      </w:pPr>
    </w:p>
    <w:p w14:paraId="295524DD" w14:textId="1F4F7AD7" w:rsidR="002554AE" w:rsidRDefault="002554AE" w:rsidP="002554AE">
      <w:pPr>
        <w:pBdr>
          <w:top w:val="single" w:sz="4" w:space="1" w:color="auto"/>
          <w:left w:val="single" w:sz="4" w:space="4" w:color="auto"/>
          <w:bottom w:val="single" w:sz="4" w:space="1" w:color="auto"/>
          <w:right w:val="single" w:sz="4" w:space="4" w:color="auto"/>
        </w:pBdr>
      </w:pPr>
      <w:r>
        <w:t>They are proposing to place this new ‘soakaway’ beneath the access road for the site. The British Sta</w:t>
      </w:r>
      <w:r w:rsidR="007C6C5A">
        <w:t>ndards state in Table 2 (</w:t>
      </w:r>
      <w:r>
        <w:t xml:space="preserve">Features influencing the location of wastewater treatment equipment, drainage fields for a single dwelling, good practice and guidelines) that </w:t>
      </w:r>
      <w:r w:rsidRPr="00853EB4">
        <w:rPr>
          <w:i/>
        </w:rPr>
        <w:t xml:space="preserve">“Access roads, driveways or paved areas should not be located within the disposal area”.  </w:t>
      </w:r>
    </w:p>
    <w:p w14:paraId="42740083" w14:textId="77777777" w:rsidR="002554AE" w:rsidRDefault="002554AE" w:rsidP="002554AE">
      <w:pPr>
        <w:pBdr>
          <w:top w:val="single" w:sz="4" w:space="1" w:color="auto"/>
          <w:left w:val="single" w:sz="4" w:space="4" w:color="auto"/>
          <w:bottom w:val="single" w:sz="4" w:space="1" w:color="auto"/>
          <w:right w:val="single" w:sz="4" w:space="4" w:color="auto"/>
        </w:pBdr>
      </w:pPr>
    </w:p>
    <w:p w14:paraId="77446D57" w14:textId="46862E41" w:rsidR="002554AE" w:rsidRDefault="002554AE" w:rsidP="002554AE">
      <w:pPr>
        <w:pBdr>
          <w:top w:val="single" w:sz="4" w:space="1" w:color="auto"/>
          <w:left w:val="single" w:sz="4" w:space="4" w:color="auto"/>
          <w:bottom w:val="single" w:sz="4" w:space="1" w:color="auto"/>
          <w:right w:val="single" w:sz="4" w:space="4" w:color="auto"/>
        </w:pBdr>
        <w:rPr>
          <w:i/>
        </w:rPr>
      </w:pPr>
      <w:r>
        <w:t xml:space="preserve">The new disposal area is also </w:t>
      </w:r>
      <w:proofErr w:type="gramStart"/>
      <w:r>
        <w:t>in close proximity to</w:t>
      </w:r>
      <w:proofErr w:type="gramEnd"/>
      <w:r>
        <w:t xml:space="preserve"> an existing surface water soakaway and British Standards state in Table 2 </w:t>
      </w:r>
      <w:r w:rsidRPr="00853EB4">
        <w:rPr>
          <w:i/>
        </w:rPr>
        <w:t>“The proximity of other drainage fields or rainwater soakaways should not compromise the drainage characteristics of the proposed site.”</w:t>
      </w:r>
    </w:p>
    <w:p w14:paraId="24A95AF1" w14:textId="10129589" w:rsidR="00853EB4" w:rsidRDefault="00853EB4" w:rsidP="002554AE">
      <w:pPr>
        <w:pBdr>
          <w:top w:val="single" w:sz="4" w:space="1" w:color="auto"/>
          <w:left w:val="single" w:sz="4" w:space="4" w:color="auto"/>
          <w:bottom w:val="single" w:sz="4" w:space="1" w:color="auto"/>
          <w:right w:val="single" w:sz="4" w:space="4" w:color="auto"/>
        </w:pBdr>
        <w:rPr>
          <w:i/>
        </w:rPr>
      </w:pPr>
    </w:p>
    <w:p w14:paraId="172394F3" w14:textId="2B6237E2" w:rsidR="002554AE" w:rsidRDefault="00853EB4" w:rsidP="002554AE">
      <w:pPr>
        <w:pBdr>
          <w:top w:val="single" w:sz="4" w:space="1" w:color="auto"/>
          <w:left w:val="single" w:sz="4" w:space="4" w:color="auto"/>
          <w:bottom w:val="single" w:sz="4" w:space="1" w:color="auto"/>
          <w:right w:val="single" w:sz="4" w:space="4" w:color="auto"/>
        </w:pBdr>
      </w:pPr>
      <w:r>
        <w:t xml:space="preserve">I would consider the following options </w:t>
      </w:r>
      <w:r w:rsidR="002554AE">
        <w:t>(in order of preference):</w:t>
      </w:r>
    </w:p>
    <w:p w14:paraId="4B15E8F2" w14:textId="2F758CB9" w:rsidR="002554AE" w:rsidRDefault="002554AE" w:rsidP="002554AE">
      <w:pPr>
        <w:pBdr>
          <w:top w:val="single" w:sz="4" w:space="1" w:color="auto"/>
          <w:left w:val="single" w:sz="4" w:space="4" w:color="auto"/>
          <w:bottom w:val="single" w:sz="4" w:space="1" w:color="auto"/>
          <w:right w:val="single" w:sz="4" w:space="4" w:color="auto"/>
        </w:pBdr>
      </w:pPr>
      <w:r>
        <w:t>1.</w:t>
      </w:r>
      <w:r>
        <w:tab/>
        <w:t>Connect to mains</w:t>
      </w:r>
    </w:p>
    <w:p w14:paraId="4BA453D9" w14:textId="77777777" w:rsidR="00853EB4" w:rsidRDefault="00853EB4" w:rsidP="002554AE">
      <w:pPr>
        <w:pBdr>
          <w:top w:val="single" w:sz="4" w:space="1" w:color="auto"/>
          <w:left w:val="single" w:sz="4" w:space="4" w:color="auto"/>
          <w:bottom w:val="single" w:sz="4" w:space="1" w:color="auto"/>
          <w:right w:val="single" w:sz="4" w:space="4" w:color="auto"/>
        </w:pBdr>
      </w:pPr>
    </w:p>
    <w:p w14:paraId="35A318A2" w14:textId="04807297" w:rsidR="00853EB4" w:rsidRDefault="002554AE" w:rsidP="002554AE">
      <w:pPr>
        <w:pBdr>
          <w:top w:val="single" w:sz="4" w:space="1" w:color="auto"/>
          <w:left w:val="single" w:sz="4" w:space="4" w:color="auto"/>
          <w:bottom w:val="single" w:sz="4" w:space="1" w:color="auto"/>
          <w:right w:val="single" w:sz="4" w:space="4" w:color="auto"/>
        </w:pBdr>
      </w:pPr>
      <w:r>
        <w:t>2.</w:t>
      </w:r>
      <w:r>
        <w:tab/>
        <w:t xml:space="preserve">Discharge to surface </w:t>
      </w:r>
      <w:r w:rsidR="00CF7F4F">
        <w:t>water – i</w:t>
      </w:r>
      <w:r>
        <w:t xml:space="preserve">t’s clear that ground conditions on site are poor and are generally unsuitable for discharge purposes.  </w:t>
      </w:r>
      <w:r w:rsidR="007C6C5A">
        <w:t>I understand from speaking to NRM that other nearby new development</w:t>
      </w:r>
      <w:r>
        <w:t xml:space="preserve"> goes to surface water.  </w:t>
      </w:r>
      <w:r w:rsidR="007C6C5A">
        <w:t>Is that an option here?</w:t>
      </w:r>
    </w:p>
    <w:p w14:paraId="5D4E8CCF" w14:textId="77777777" w:rsidR="00853EB4" w:rsidRDefault="00853EB4" w:rsidP="002554AE">
      <w:pPr>
        <w:pBdr>
          <w:top w:val="single" w:sz="4" w:space="1" w:color="auto"/>
          <w:left w:val="single" w:sz="4" w:space="4" w:color="auto"/>
          <w:bottom w:val="single" w:sz="4" w:space="1" w:color="auto"/>
          <w:right w:val="single" w:sz="4" w:space="4" w:color="auto"/>
        </w:pBdr>
      </w:pPr>
    </w:p>
    <w:p w14:paraId="1CEFB923" w14:textId="720A9A93" w:rsidR="00853EB4" w:rsidRDefault="002554AE" w:rsidP="002554AE">
      <w:pPr>
        <w:pBdr>
          <w:top w:val="single" w:sz="4" w:space="1" w:color="auto"/>
          <w:left w:val="single" w:sz="4" w:space="4" w:color="auto"/>
          <w:bottom w:val="single" w:sz="4" w:space="1" w:color="auto"/>
          <w:right w:val="single" w:sz="4" w:space="4" w:color="auto"/>
        </w:pBdr>
      </w:pPr>
      <w:r>
        <w:t>3.</w:t>
      </w:r>
      <w:r>
        <w:tab/>
        <w:t xml:space="preserve">Construct a new drainage field designed to meet the requirements of British Standards 6297.  The poor permeability of the ground may preclude this </w:t>
      </w:r>
      <w:r w:rsidR="00853EB4">
        <w:t xml:space="preserve">as the proposed new soakaway is </w:t>
      </w:r>
      <w:proofErr w:type="gramStart"/>
      <w:r w:rsidR="00853EB4">
        <w:t>fairly close</w:t>
      </w:r>
      <w:proofErr w:type="gramEnd"/>
      <w:r w:rsidR="00853EB4">
        <w:t xml:space="preserve"> to trial pit TP4 which generated a </w:t>
      </w:r>
      <w:proofErr w:type="spellStart"/>
      <w:r w:rsidR="00853EB4">
        <w:t>Vp</w:t>
      </w:r>
      <w:proofErr w:type="spellEnd"/>
      <w:r w:rsidR="00853EB4">
        <w:t xml:space="preserve"> of 93 when tested for the original permit. This indicates lower permeability conditions but just within the guideline range of 15-100.  </w:t>
      </w:r>
      <w:r w:rsidR="00853EB4" w:rsidRPr="00853EB4">
        <w:t>Using the formula given in British Standards (</w:t>
      </w:r>
      <w:proofErr w:type="spellStart"/>
      <w:r w:rsidR="00853EB4" w:rsidRPr="00853EB4">
        <w:t>Vp</w:t>
      </w:r>
      <w:proofErr w:type="spellEnd"/>
      <w:r w:rsidR="00853EB4" w:rsidRPr="00853EB4">
        <w:t xml:space="preserve"> x 0.2 x P) based on a population equivalent of 74 figure</w:t>
      </w:r>
      <w:r w:rsidR="00E237B7">
        <w:t xml:space="preserve"> </w:t>
      </w:r>
      <w:r w:rsidR="00853EB4" w:rsidRPr="00853EB4">
        <w:t xml:space="preserve">would require a drainage field of </w:t>
      </w:r>
      <w:r w:rsidR="00853EB4">
        <w:t xml:space="preserve">around </w:t>
      </w:r>
      <w:r w:rsidR="00853EB4" w:rsidRPr="00853EB4">
        <w:t>13</w:t>
      </w:r>
      <w:r w:rsidR="00E237B7">
        <w:t>50</w:t>
      </w:r>
      <w:r w:rsidR="00853EB4" w:rsidRPr="00853EB4">
        <w:t>m</w:t>
      </w:r>
      <w:r w:rsidR="00853EB4">
        <w:rPr>
          <w:vertAlign w:val="superscript"/>
        </w:rPr>
        <w:t>2</w:t>
      </w:r>
      <w:r w:rsidR="00853EB4" w:rsidRPr="00853EB4">
        <w:t xml:space="preserve">. The </w:t>
      </w:r>
      <w:r w:rsidR="00853EB4">
        <w:t>total area of both drainage fields they have proposed</w:t>
      </w:r>
      <w:r w:rsidR="00853EB4" w:rsidRPr="00853EB4">
        <w:t xml:space="preserve"> </w:t>
      </w:r>
      <w:r w:rsidR="00853EB4">
        <w:t>would be 53m</w:t>
      </w:r>
      <w:r w:rsidR="00853EB4">
        <w:rPr>
          <w:vertAlign w:val="superscript"/>
        </w:rPr>
        <w:t>2</w:t>
      </w:r>
      <w:r w:rsidR="00853EB4" w:rsidRPr="00853EB4">
        <w:t xml:space="preserve">, equating to around </w:t>
      </w:r>
      <w:r w:rsidR="00853EB4">
        <w:t>4</w:t>
      </w:r>
      <w:r w:rsidR="00853EB4" w:rsidRPr="00853EB4">
        <w:t>% of the area the British Standard</w:t>
      </w:r>
      <w:r w:rsidR="00E237B7">
        <w:t>s</w:t>
      </w:r>
      <w:r w:rsidR="00853EB4" w:rsidRPr="00853EB4">
        <w:t xml:space="preserve"> and Building Regulations</w:t>
      </w:r>
      <w:r w:rsidR="00E237B7">
        <w:t xml:space="preserve"> </w:t>
      </w:r>
      <w:r w:rsidR="00853EB4" w:rsidRPr="00853EB4">
        <w:t>require.</w:t>
      </w:r>
      <w:r w:rsidR="00853EB4">
        <w:t xml:space="preserve">  This explains in part the issue they are presently experiencing when using a drainage field which is too small. We are </w:t>
      </w:r>
      <w:r w:rsidR="007C6C5A">
        <w:t>aw</w:t>
      </w:r>
      <w:r w:rsidR="00853EB4">
        <w:t>are that sufficient land area is not available on site to accommodate a drainage field of this size but that is a matter from them to resolve by seeking out alternative sites</w:t>
      </w:r>
      <w:r w:rsidR="00E237B7">
        <w:t xml:space="preserve"> in the area.</w:t>
      </w:r>
    </w:p>
    <w:p w14:paraId="59126947" w14:textId="77777777" w:rsidR="00853EB4" w:rsidRDefault="00853EB4" w:rsidP="002554AE">
      <w:pPr>
        <w:pBdr>
          <w:top w:val="single" w:sz="4" w:space="1" w:color="auto"/>
          <w:left w:val="single" w:sz="4" w:space="4" w:color="auto"/>
          <w:bottom w:val="single" w:sz="4" w:space="1" w:color="auto"/>
          <w:right w:val="single" w:sz="4" w:space="4" w:color="auto"/>
        </w:pBdr>
      </w:pPr>
    </w:p>
    <w:p w14:paraId="268F6DAF" w14:textId="0157AD70" w:rsidR="00B960D7" w:rsidRDefault="002554AE" w:rsidP="002554AE">
      <w:pPr>
        <w:pBdr>
          <w:top w:val="single" w:sz="4" w:space="1" w:color="auto"/>
          <w:left w:val="single" w:sz="4" w:space="4" w:color="auto"/>
          <w:bottom w:val="single" w:sz="4" w:space="1" w:color="auto"/>
          <w:right w:val="single" w:sz="4" w:space="4" w:color="auto"/>
        </w:pBdr>
      </w:pPr>
      <w:r>
        <w:t>4.</w:t>
      </w:r>
      <w:r>
        <w:tab/>
        <w:t xml:space="preserve">Proceed with the current variation and install a secondary soakaway </w:t>
      </w:r>
      <w:proofErr w:type="gramStart"/>
      <w:r>
        <w:t>similar to</w:t>
      </w:r>
      <w:proofErr w:type="gramEnd"/>
      <w:r>
        <w:t xml:space="preserve"> the current.  Does not meet any of our standards for drainage and does not resolve the issue of the original s</w:t>
      </w:r>
      <w:r w:rsidR="00E237B7">
        <w:t>oakaway being at capacity</w:t>
      </w:r>
      <w:r>
        <w:t xml:space="preserve"> and needing to ‘overflow’ into the new </w:t>
      </w:r>
      <w:r>
        <w:lastRenderedPageBreak/>
        <w:t>‘soakaway’.  I do not see how we can authorise this</w:t>
      </w:r>
      <w:r w:rsidR="007C6C5A">
        <w:t xml:space="preserve"> especially </w:t>
      </w:r>
      <w:proofErr w:type="gramStart"/>
      <w:r w:rsidR="007C6C5A">
        <w:t>in light of</w:t>
      </w:r>
      <w:proofErr w:type="gramEnd"/>
      <w:r w:rsidR="007C6C5A">
        <w:t xml:space="preserve"> the known issue the current arrangement has caused</w:t>
      </w:r>
      <w:r>
        <w:t>.  If we must allow this to proceed they as a minimum need to develop a method to avoid the need for an overflow and to control the effluent to that it is ‘dosed’ periodically into the ‘soakaways’</w:t>
      </w:r>
      <w:r w:rsidR="00E237B7">
        <w:t xml:space="preserve"> to avoid them reaching capacity</w:t>
      </w:r>
      <w:r>
        <w:t>.  This may require the use of an additional holding tank or similar. They would also need to produce a detailed risk assessment for the discharges from the proposed system and would this time need to be based on actual site-specific data as the use of literature values has provided ineffective.  Given the historic issues here we are also likely to insist on down-gradient monitoring of groundwater to ensure that pollution does not occur.</w:t>
      </w:r>
    </w:p>
    <w:p w14:paraId="22BD7912" w14:textId="77777777" w:rsidR="00B960D7" w:rsidRPr="00A4643D" w:rsidRDefault="00B960D7" w:rsidP="00A4643D">
      <w:pPr>
        <w:pBdr>
          <w:top w:val="single" w:sz="4" w:space="1" w:color="auto"/>
          <w:left w:val="single" w:sz="4" w:space="4" w:color="auto"/>
          <w:bottom w:val="single" w:sz="4" w:space="1" w:color="auto"/>
          <w:right w:val="single" w:sz="4" w:space="4" w:color="auto"/>
        </w:pBdr>
        <w:rPr>
          <w:b/>
          <w:color w:val="0091A5" w:themeColor="accent3"/>
        </w:rPr>
      </w:pPr>
    </w:p>
    <w:p w14:paraId="08A3F0D9" w14:textId="172414A9"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2554AE">
        <w:rPr>
          <w:b/>
          <w:color w:val="0091A5" w:themeColor="accent3"/>
        </w:rPr>
        <w:t xml:space="preserve"> Dave Jones</w:t>
      </w:r>
      <w:r w:rsidRPr="00A4643D">
        <w:rPr>
          <w:b/>
          <w:color w:val="0091A5" w:themeColor="accent3"/>
        </w:rPr>
        <w:br/>
        <w:t>Date:</w:t>
      </w:r>
      <w:r w:rsidR="002554AE">
        <w:rPr>
          <w:b/>
          <w:color w:val="0091A5" w:themeColor="accent3"/>
        </w:rPr>
        <w:t xml:space="preserve"> 10 April 2019</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B738A3">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B738A3">
            <w:r>
              <w:t>National Parks</w:t>
            </w:r>
          </w:p>
        </w:tc>
        <w:tc>
          <w:tcPr>
            <w:tcW w:w="2100" w:type="dxa"/>
          </w:tcPr>
          <w:p w14:paraId="5A1BF798" w14:textId="4820F190" w:rsidR="00A4643D" w:rsidRDefault="007A7D2F" w:rsidP="00B738A3">
            <w:pPr>
              <w:rPr>
                <w:b/>
              </w:rPr>
            </w:pPr>
            <w:r>
              <w:rPr>
                <w:b/>
              </w:rPr>
              <w:t>No</w:t>
            </w:r>
          </w:p>
        </w:tc>
      </w:tr>
      <w:tr w:rsidR="00A4643D" w14:paraId="4AC19836" w14:textId="77777777" w:rsidTr="00A4643D">
        <w:trPr>
          <w:trHeight w:val="531"/>
        </w:trPr>
        <w:tc>
          <w:tcPr>
            <w:tcW w:w="7740" w:type="dxa"/>
          </w:tcPr>
          <w:p w14:paraId="730F00C9" w14:textId="77777777" w:rsidR="00A4643D" w:rsidRPr="000F1634" w:rsidRDefault="00A4643D" w:rsidP="00B738A3">
            <w:r>
              <w:t>Water Company regarding Drinking Water Protected Zone / SPZ1</w:t>
            </w:r>
          </w:p>
        </w:tc>
        <w:tc>
          <w:tcPr>
            <w:tcW w:w="2100" w:type="dxa"/>
          </w:tcPr>
          <w:p w14:paraId="219E236C" w14:textId="547F46AD" w:rsidR="00A4643D" w:rsidRDefault="007A7D2F" w:rsidP="00B738A3">
            <w:pPr>
              <w:rPr>
                <w:b/>
              </w:rPr>
            </w:pPr>
            <w:r>
              <w:rPr>
                <w:b/>
              </w:rPr>
              <w:t>No</w:t>
            </w:r>
          </w:p>
        </w:tc>
      </w:tr>
      <w:tr w:rsidR="00A4643D" w14:paraId="0317282E" w14:textId="77777777" w:rsidTr="00A4643D">
        <w:trPr>
          <w:trHeight w:val="244"/>
        </w:trPr>
        <w:tc>
          <w:tcPr>
            <w:tcW w:w="7740" w:type="dxa"/>
          </w:tcPr>
          <w:p w14:paraId="7FF92F5F" w14:textId="77777777" w:rsidR="00A4643D" w:rsidRPr="000F1634" w:rsidRDefault="00A4643D" w:rsidP="00B738A3">
            <w:r w:rsidRPr="000F1634">
              <w:t>Environmental Heath</w:t>
            </w:r>
          </w:p>
        </w:tc>
        <w:tc>
          <w:tcPr>
            <w:tcW w:w="2100" w:type="dxa"/>
          </w:tcPr>
          <w:p w14:paraId="159B54F6" w14:textId="203F865A" w:rsidR="00A4643D" w:rsidRDefault="00602C07" w:rsidP="00B738A3">
            <w:pPr>
              <w:rPr>
                <w:b/>
              </w:rPr>
            </w:pPr>
            <w:r>
              <w:rPr>
                <w:b/>
              </w:rPr>
              <w:t>No</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4"/>
      <w:footerReference w:type="default" r:id="rId15"/>
      <w:headerReference w:type="first" r:id="rId16"/>
      <w:footerReference w:type="first" r:id="rId17"/>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295D08" w:rsidRDefault="00295D08" w:rsidP="003B1B95">
      <w:r>
        <w:separator/>
      </w:r>
    </w:p>
  </w:endnote>
  <w:endnote w:type="continuationSeparator" w:id="0">
    <w:p w14:paraId="1B2A8A80" w14:textId="77777777" w:rsidR="00295D08" w:rsidRDefault="00295D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295D08" w:rsidRPr="00323656" w:rsidRDefault="00295D08"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295D08" w:rsidRPr="007A78C9" w:rsidRDefault="00295D0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295D08" w:rsidRPr="007A78C9" w:rsidRDefault="00295D08"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295D08" w:rsidRDefault="00295D08"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295D08" w:rsidRPr="007A78C9" w:rsidRDefault="00295D0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295D08" w:rsidRPr="007A78C9" w:rsidRDefault="00295D0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295D08" w:rsidRDefault="00295D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295D08" w:rsidRDefault="00295D0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295D08" w:rsidRPr="007A78C9" w:rsidRDefault="00295D0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295D08" w:rsidRPr="007A78C9" w:rsidRDefault="00295D0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295D08" w:rsidRDefault="00295D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295D08" w:rsidRDefault="00295D0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295D08" w:rsidRPr="007A78C9" w:rsidRDefault="00295D0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295D08" w:rsidRPr="007A78C9" w:rsidRDefault="00295D0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295D08" w:rsidRDefault="00295D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295D08" w:rsidRDefault="00295D0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295D08" w:rsidRPr="007A78C9" w:rsidRDefault="00295D0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295D08" w:rsidRPr="007A78C9" w:rsidRDefault="00295D08"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295D08" w:rsidRDefault="00295D08" w:rsidP="003B1B95">
      <w:r>
        <w:separator/>
      </w:r>
    </w:p>
  </w:footnote>
  <w:footnote w:type="continuationSeparator" w:id="0">
    <w:p w14:paraId="6C8B9FA4" w14:textId="77777777" w:rsidR="00295D08" w:rsidRDefault="00295D0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295D08" w:rsidRDefault="00295D08" w:rsidP="00580178">
    <w:pPr>
      <w:pStyle w:val="Header"/>
    </w:pPr>
  </w:p>
  <w:p w14:paraId="1B2FAA66" w14:textId="77777777" w:rsidR="00295D08" w:rsidRDefault="00295D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295D08" w14:paraId="2F00062B" w14:textId="77777777" w:rsidTr="00B738A3">
      <w:trPr>
        <w:trHeight w:val="1943"/>
      </w:trPr>
      <w:tc>
        <w:tcPr>
          <w:tcW w:w="6190" w:type="dxa"/>
        </w:tcPr>
        <w:p w14:paraId="4BE1C2EE" w14:textId="77777777" w:rsidR="00295D08" w:rsidRPr="00A4643D" w:rsidRDefault="00295D08"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295D08" w:rsidRDefault="00295D08" w:rsidP="0003584B">
    <w:pPr>
      <w:pStyle w:val="Header"/>
    </w:pPr>
  </w:p>
  <w:p w14:paraId="32E67EDA" w14:textId="77777777" w:rsidR="00295D08" w:rsidRDefault="00295D08" w:rsidP="0003584B">
    <w:pPr>
      <w:pStyle w:val="Header"/>
    </w:pPr>
  </w:p>
  <w:p w14:paraId="4F9D4065" w14:textId="77777777" w:rsidR="00295D08" w:rsidRDefault="00295D08" w:rsidP="0003584B">
    <w:pPr>
      <w:pStyle w:val="Header"/>
    </w:pPr>
  </w:p>
  <w:p w14:paraId="5EBC3C4E" w14:textId="77777777" w:rsidR="00295D08" w:rsidRDefault="00295D08" w:rsidP="0003584B">
    <w:pPr>
      <w:pStyle w:val="Header"/>
    </w:pPr>
  </w:p>
  <w:p w14:paraId="76625F77" w14:textId="77777777" w:rsidR="00295D08" w:rsidRDefault="00295D08" w:rsidP="0003584B">
    <w:pPr>
      <w:pStyle w:val="Header"/>
    </w:pPr>
  </w:p>
  <w:p w14:paraId="36F53DFC" w14:textId="77777777" w:rsidR="00295D08" w:rsidRDefault="00295D08" w:rsidP="0003584B">
    <w:pPr>
      <w:pStyle w:val="Header"/>
    </w:pPr>
  </w:p>
  <w:p w14:paraId="7957B9CB" w14:textId="77777777" w:rsidR="00295D08" w:rsidRDefault="00295D08" w:rsidP="0003584B">
    <w:pPr>
      <w:pStyle w:val="Header"/>
    </w:pPr>
  </w:p>
  <w:p w14:paraId="357FAB5D" w14:textId="77777777" w:rsidR="00295D08" w:rsidRDefault="00295D08" w:rsidP="0003584B">
    <w:pPr>
      <w:pStyle w:val="Header"/>
    </w:pPr>
  </w:p>
  <w:p w14:paraId="7DDDEA1F" w14:textId="77777777" w:rsidR="00295D08" w:rsidRDefault="00295D08" w:rsidP="0003584B">
    <w:pPr>
      <w:pStyle w:val="Header"/>
    </w:pPr>
  </w:p>
  <w:p w14:paraId="456B9136" w14:textId="77777777" w:rsidR="00295D08" w:rsidRDefault="00295D08" w:rsidP="0003584B">
    <w:pPr>
      <w:pStyle w:val="Header"/>
    </w:pPr>
  </w:p>
  <w:p w14:paraId="4AAE9876" w14:textId="77777777" w:rsidR="00295D08" w:rsidRDefault="00295D08">
    <w:pPr>
      <w:pStyle w:val="Header"/>
    </w:pPr>
  </w:p>
  <w:p w14:paraId="271BCA86" w14:textId="77777777" w:rsidR="00295D08" w:rsidRDefault="00295D08">
    <w:pPr>
      <w:pStyle w:val="Header"/>
    </w:pPr>
  </w:p>
  <w:p w14:paraId="7035407B" w14:textId="77777777" w:rsidR="00295D08" w:rsidRDefault="00295D08">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44FB3"/>
    <w:rsid w:val="0006469D"/>
    <w:rsid w:val="00081B13"/>
    <w:rsid w:val="000C3844"/>
    <w:rsid w:val="000D1041"/>
    <w:rsid w:val="000D42BC"/>
    <w:rsid w:val="0010023A"/>
    <w:rsid w:val="00110B6A"/>
    <w:rsid w:val="00111C12"/>
    <w:rsid w:val="00124C2B"/>
    <w:rsid w:val="00163204"/>
    <w:rsid w:val="001F57DF"/>
    <w:rsid w:val="00227FCF"/>
    <w:rsid w:val="002310C5"/>
    <w:rsid w:val="0024550F"/>
    <w:rsid w:val="002554AE"/>
    <w:rsid w:val="00295704"/>
    <w:rsid w:val="00295D08"/>
    <w:rsid w:val="002B0FE6"/>
    <w:rsid w:val="002C1957"/>
    <w:rsid w:val="002C7D1B"/>
    <w:rsid w:val="002D1C88"/>
    <w:rsid w:val="002D1E23"/>
    <w:rsid w:val="002E6BB3"/>
    <w:rsid w:val="00323656"/>
    <w:rsid w:val="00325394"/>
    <w:rsid w:val="00366E8B"/>
    <w:rsid w:val="003778A7"/>
    <w:rsid w:val="003B1B95"/>
    <w:rsid w:val="003B1C90"/>
    <w:rsid w:val="003D69B7"/>
    <w:rsid w:val="003E31B8"/>
    <w:rsid w:val="004131FD"/>
    <w:rsid w:val="00416417"/>
    <w:rsid w:val="00421C65"/>
    <w:rsid w:val="00436A14"/>
    <w:rsid w:val="00440714"/>
    <w:rsid w:val="0049592D"/>
    <w:rsid w:val="004A6641"/>
    <w:rsid w:val="004B55D4"/>
    <w:rsid w:val="004D606F"/>
    <w:rsid w:val="004E070B"/>
    <w:rsid w:val="004E21FB"/>
    <w:rsid w:val="004F3380"/>
    <w:rsid w:val="00504C76"/>
    <w:rsid w:val="0051775A"/>
    <w:rsid w:val="00580178"/>
    <w:rsid w:val="005A0D52"/>
    <w:rsid w:val="005B301B"/>
    <w:rsid w:val="005C5EE6"/>
    <w:rsid w:val="00602C07"/>
    <w:rsid w:val="00624BEB"/>
    <w:rsid w:val="0066120C"/>
    <w:rsid w:val="00666BB5"/>
    <w:rsid w:val="006C5165"/>
    <w:rsid w:val="006D6756"/>
    <w:rsid w:val="006E1121"/>
    <w:rsid w:val="006E1F2E"/>
    <w:rsid w:val="00754A4B"/>
    <w:rsid w:val="00773040"/>
    <w:rsid w:val="00780D50"/>
    <w:rsid w:val="00783CEA"/>
    <w:rsid w:val="00794C61"/>
    <w:rsid w:val="007A78C9"/>
    <w:rsid w:val="007A7D2F"/>
    <w:rsid w:val="007C6C5A"/>
    <w:rsid w:val="007C7F2F"/>
    <w:rsid w:val="007D04E2"/>
    <w:rsid w:val="00820898"/>
    <w:rsid w:val="00832030"/>
    <w:rsid w:val="00842FC5"/>
    <w:rsid w:val="0085223F"/>
    <w:rsid w:val="00853EB4"/>
    <w:rsid w:val="00861D04"/>
    <w:rsid w:val="008837A9"/>
    <w:rsid w:val="00897388"/>
    <w:rsid w:val="008A0F5F"/>
    <w:rsid w:val="008A56C7"/>
    <w:rsid w:val="008E6805"/>
    <w:rsid w:val="008F11CB"/>
    <w:rsid w:val="00915E6E"/>
    <w:rsid w:val="0093046A"/>
    <w:rsid w:val="0095246A"/>
    <w:rsid w:val="009612EC"/>
    <w:rsid w:val="00965438"/>
    <w:rsid w:val="00967FB8"/>
    <w:rsid w:val="009A13CA"/>
    <w:rsid w:val="009B37B8"/>
    <w:rsid w:val="009F15B7"/>
    <w:rsid w:val="00A3442B"/>
    <w:rsid w:val="00A36091"/>
    <w:rsid w:val="00A4643D"/>
    <w:rsid w:val="00A63022"/>
    <w:rsid w:val="00A73E72"/>
    <w:rsid w:val="00A908E3"/>
    <w:rsid w:val="00AA54D9"/>
    <w:rsid w:val="00AB7169"/>
    <w:rsid w:val="00AE4565"/>
    <w:rsid w:val="00AF5EC2"/>
    <w:rsid w:val="00B02CD4"/>
    <w:rsid w:val="00B322A0"/>
    <w:rsid w:val="00B67F5B"/>
    <w:rsid w:val="00B738A3"/>
    <w:rsid w:val="00B90A54"/>
    <w:rsid w:val="00B960D7"/>
    <w:rsid w:val="00BA4AE0"/>
    <w:rsid w:val="00BB3E98"/>
    <w:rsid w:val="00BF5BC8"/>
    <w:rsid w:val="00C24BEC"/>
    <w:rsid w:val="00C332A7"/>
    <w:rsid w:val="00C37E1F"/>
    <w:rsid w:val="00C70646"/>
    <w:rsid w:val="00CB0986"/>
    <w:rsid w:val="00CC4AF9"/>
    <w:rsid w:val="00CD0AA9"/>
    <w:rsid w:val="00CD4B48"/>
    <w:rsid w:val="00CE72E1"/>
    <w:rsid w:val="00CF7F4F"/>
    <w:rsid w:val="00D30CC0"/>
    <w:rsid w:val="00D4293C"/>
    <w:rsid w:val="00D75CDE"/>
    <w:rsid w:val="00DC43D0"/>
    <w:rsid w:val="00E237B7"/>
    <w:rsid w:val="00E3072A"/>
    <w:rsid w:val="00EA1E4A"/>
    <w:rsid w:val="00EA5293"/>
    <w:rsid w:val="00EB4078"/>
    <w:rsid w:val="00EE6FB7"/>
    <w:rsid w:val="00EF38E7"/>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6E1F2E"/>
    <w:rPr>
      <w:color w:val="808080"/>
      <w:shd w:val="clear" w:color="auto" w:fill="E6E6E6"/>
    </w:rPr>
  </w:style>
  <w:style w:type="paragraph" w:styleId="ListParagraph">
    <w:name w:val="List Paragraph"/>
    <w:basedOn w:val="Normal"/>
    <w:uiPriority w:val="34"/>
    <w:rsid w:val="00B960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519469">
      <w:bodyDiv w:val="1"/>
      <w:marLeft w:val="0"/>
      <w:marRight w:val="0"/>
      <w:marTop w:val="0"/>
      <w:marBottom w:val="0"/>
      <w:divBdr>
        <w:top w:val="none" w:sz="0" w:space="0" w:color="auto"/>
        <w:left w:val="none" w:sz="0" w:space="0" w:color="auto"/>
        <w:bottom w:val="none" w:sz="0" w:space="0" w:color="auto"/>
        <w:right w:val="none" w:sz="0" w:space="0" w:color="auto"/>
      </w:divBdr>
    </w:div>
    <w:div w:id="245917417">
      <w:bodyDiv w:val="1"/>
      <w:marLeft w:val="0"/>
      <w:marRight w:val="0"/>
      <w:marTop w:val="0"/>
      <w:marBottom w:val="0"/>
      <w:divBdr>
        <w:top w:val="none" w:sz="0" w:space="0" w:color="auto"/>
        <w:left w:val="none" w:sz="0" w:space="0" w:color="auto"/>
        <w:bottom w:val="none" w:sz="0" w:space="0" w:color="auto"/>
        <w:right w:val="none" w:sz="0" w:space="0" w:color="auto"/>
      </w:divBdr>
    </w:div>
    <w:div w:id="581915975">
      <w:bodyDiv w:val="1"/>
      <w:marLeft w:val="0"/>
      <w:marRight w:val="0"/>
      <w:marTop w:val="0"/>
      <w:marBottom w:val="0"/>
      <w:divBdr>
        <w:top w:val="none" w:sz="0" w:space="0" w:color="auto"/>
        <w:left w:val="none" w:sz="0" w:space="0" w:color="auto"/>
        <w:bottom w:val="none" w:sz="0" w:space="0" w:color="auto"/>
        <w:right w:val="none" w:sz="0" w:space="0" w:color="auto"/>
      </w:divBdr>
    </w:div>
    <w:div w:id="850684459">
      <w:bodyDiv w:val="1"/>
      <w:marLeft w:val="0"/>
      <w:marRight w:val="0"/>
      <w:marTop w:val="0"/>
      <w:marBottom w:val="0"/>
      <w:divBdr>
        <w:top w:val="none" w:sz="0" w:space="0" w:color="auto"/>
        <w:left w:val="none" w:sz="0" w:space="0" w:color="auto"/>
        <w:bottom w:val="none" w:sz="0" w:space="0" w:color="auto"/>
        <w:right w:val="none" w:sz="0" w:space="0" w:color="auto"/>
      </w:divBdr>
    </w:div>
    <w:div w:id="941768160">
      <w:bodyDiv w:val="1"/>
      <w:marLeft w:val="0"/>
      <w:marRight w:val="0"/>
      <w:marTop w:val="0"/>
      <w:marBottom w:val="0"/>
      <w:divBdr>
        <w:top w:val="none" w:sz="0" w:space="0" w:color="auto"/>
        <w:left w:val="none" w:sz="0" w:space="0" w:color="auto"/>
        <w:bottom w:val="none" w:sz="0" w:space="0" w:color="auto"/>
        <w:right w:val="none" w:sz="0" w:space="0" w:color="auto"/>
      </w:divBdr>
    </w:div>
    <w:div w:id="1613320013">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10849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tel:14127-10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E%20EPR%20Water%20Discharge%20Consents%20PR/Forms/NRW%20Perm-Comp%20Document%20Set/docsethomepage.aspx?ID=3731&amp;FolderCTID=0x0120D52000824C7CCC16790D469B8E16E1874A1471020063E201FB472EA346898F124FE21B1247&amp;List=b67299c9-1600-4d20-976e-ea8f199d05b8&amp;RootFolder=%2Fteams%2FRegulatory%2FPermitting%2FSE%20EPR%20Water%20Discharge%20Consents%20PR%2FEPR%2DAB3294CP&amp;RecSrc=%2Fteams%2FRegulatory%2FPermitting%2FSE%20EPR%20Water%20Discharge%20Consents%20PR%2FEPR%2DAB3294CP"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Nos. 1-6 Lord Russell Close and Nos. 1-8 and 10 Harold Close</Site_x0020_Name>
    <Internal_x002f_External xmlns="859f7ad6-93f6-4205-b62b-a17f28acbbac">Internal document</Internal_x002f_External>
    <Post_x0020_code xmlns="859f7ad6-93f6-4205-b62b-a17f28acbbac">NP25 4UA</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2019-03-29T00:00:00+00:00</Document_x0020_Date>
    <Facility_x0020_Address xmlns="859f7ad6-93f6-4205-b62b-a17f28acbbac">Trellech</Facility_x0020_Address>
    <Environment_x0020_Sub_x0020_Folder xmlns="859f7ad6-93f6-4205-b62b-a17f28acbbac">Licence variation</Environment_x0020_Sub_x0020_Folder>
    <Customer_x0020_Name xmlns="859f7ad6-93f6-4205-b62b-a17f28acbbac">St. Nicholas Residents Management Company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081B6F-6E8B-4862-BA74-F9A28F9D5D53}"/>
</file>

<file path=customXml/itemProps2.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infopath/2007/PartnerControls"/>
    <ds:schemaRef ds:uri="http://purl.org/dc/terms/"/>
    <ds:schemaRef ds:uri="http://schemas.microsoft.com/office/2006/documentManagement/types"/>
    <ds:schemaRef ds:uri="b67299c9-1600-4d20-976e-ea8f199d05b8"/>
    <ds:schemaRef ds:uri="http://schemas.openxmlformats.org/package/2006/metadata/core-properties"/>
    <ds:schemaRef ds:uri="http://purl.org/dc/elements/1.1/"/>
    <ds:schemaRef ds:uri="http://schemas.microsoft.com/office/2006/metadata/properties"/>
    <ds:schemaRef ds:uri="6e121689-de5b-41b9-a751-bfeda7fa2b07"/>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7D22CB27-9E43-4024-8BCD-ED9045A3D6F0}">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Pages>
  <Words>2457</Words>
  <Characters>13319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Eaton, Jennifer</dc:creator>
  <cp:lastModifiedBy>Davies, Edward J.</cp:lastModifiedBy>
  <cp:revision>3</cp:revision>
  <cp:lastPrinted>2013-10-01T08:52:00Z</cp:lastPrinted>
  <dcterms:created xsi:type="dcterms:W3CDTF">2019-04-10T15:18:00Z</dcterms:created>
  <dcterms:modified xsi:type="dcterms:W3CDTF">2019-04-18T13:59:00Z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cf637e0e-ac05-4964-9cf6-a57410c9ff47</vt:lpwstr>
  </property>
  <property fmtid="{D5CDD505-2E9C-101B-9397-08002B2CF9AE}" pid="4" name="AuthorIds_UIVersion_512">
    <vt:lpwstr>524</vt:lpwstr>
  </property>
  <property fmtid="{D5CDD505-2E9C-101B-9397-08002B2CF9AE}" pid="5" name="_dlc_DocId">
    <vt:lpwstr>REGU-184-35692</vt:lpwstr>
  </property>
  <property fmtid="{D5CDD505-2E9C-101B-9397-08002B2CF9AE}" pid="6" name="_dlc_DocIdUrl">
    <vt:lpwstr>https://cyfoethnaturiolcymru.sharepoint.com/teams/Regulatory/Permitting/_layouts/15/DocIdRedir.aspx?ID=REGU-184-35692, REGU-184-35692</vt:lpwstr>
  </property>
  <property fmtid="{D5CDD505-2E9C-101B-9397-08002B2CF9AE}" pid="7" name="AuthorIds_UIVersion_1536">
    <vt:lpwstr>524</vt:lpwstr>
  </property>
  <property fmtid="{D5CDD505-2E9C-101B-9397-08002B2CF9AE}" pid="8" name="AuthorIds_UIVersion_2560">
    <vt:lpwstr>2359</vt:lpwstr>
  </property>
</Properties>
</file>