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E27A4F0" w:rsidR="00D04424" w:rsidRPr="00885EE2" w:rsidRDefault="0014332B" w:rsidP="003719AD">
      <w:pPr>
        <w:pStyle w:val="Heading1"/>
        <w:spacing w:before="0" w:after="0"/>
        <w:jc w:val="left"/>
        <w:rPr>
          <w:bCs/>
          <w:color w:val="auto"/>
          <w:sz w:val="32"/>
        </w:rPr>
      </w:pPr>
      <w:r w:rsidRPr="00885EE2">
        <w:rPr>
          <w:bCs/>
          <w:color w:val="auto"/>
          <w:sz w:val="32"/>
        </w:rPr>
        <w:t>Bespoke p</w:t>
      </w:r>
      <w:r w:rsidR="00D04424" w:rsidRPr="00885EE2">
        <w:rPr>
          <w:bCs/>
          <w:color w:val="auto"/>
          <w:sz w:val="32"/>
        </w:rPr>
        <w:t>ermit</w:t>
      </w:r>
    </w:p>
    <w:p w14:paraId="41AC372F" w14:textId="77777777" w:rsidR="00136717" w:rsidRPr="00885EE2" w:rsidRDefault="00136717" w:rsidP="00136717"/>
    <w:p w14:paraId="0FF15250" w14:textId="132A28E1" w:rsidR="00D04424" w:rsidRPr="00885EE2" w:rsidRDefault="0060457F" w:rsidP="006B0BFB">
      <w:pPr>
        <w:spacing w:after="120"/>
        <w:rPr>
          <w:rFonts w:ascii="Arial" w:hAnsi="Arial" w:cs="Arial"/>
          <w:szCs w:val="24"/>
        </w:rPr>
      </w:pPr>
      <w:r w:rsidRPr="00885EE2">
        <w:rPr>
          <w:rFonts w:ascii="Arial" w:hAnsi="Arial" w:cs="Arial"/>
          <w:szCs w:val="24"/>
        </w:rPr>
        <w:t xml:space="preserve">We have decided to </w:t>
      </w:r>
      <w:r w:rsidR="00D2020E" w:rsidRPr="00885EE2">
        <w:rPr>
          <w:rFonts w:ascii="Arial" w:hAnsi="Arial" w:cs="Arial"/>
          <w:szCs w:val="24"/>
        </w:rPr>
        <w:t xml:space="preserve">grant </w:t>
      </w:r>
      <w:r w:rsidRPr="00885EE2">
        <w:rPr>
          <w:rFonts w:ascii="Arial" w:hAnsi="Arial" w:cs="Arial"/>
          <w:szCs w:val="24"/>
        </w:rPr>
        <w:t xml:space="preserve">the permit for </w:t>
      </w:r>
      <w:proofErr w:type="spellStart"/>
      <w:r w:rsidR="00885EE2" w:rsidRPr="00885EE2">
        <w:rPr>
          <w:rFonts w:ascii="Arial" w:hAnsi="Arial" w:cs="Arial"/>
          <w:szCs w:val="24"/>
        </w:rPr>
        <w:t>Pantydarren</w:t>
      </w:r>
      <w:proofErr w:type="spellEnd"/>
      <w:r w:rsidRPr="00885EE2">
        <w:rPr>
          <w:rFonts w:ascii="Arial" w:hAnsi="Arial" w:cs="Arial"/>
          <w:szCs w:val="24"/>
        </w:rPr>
        <w:t xml:space="preserve"> operated by </w:t>
      </w:r>
      <w:r w:rsidR="00885EE2" w:rsidRPr="00885EE2">
        <w:rPr>
          <w:rFonts w:ascii="Arial" w:hAnsi="Arial" w:cs="Arial"/>
          <w:szCs w:val="24"/>
        </w:rPr>
        <w:t>Helen McGowen</w:t>
      </w:r>
    </w:p>
    <w:p w14:paraId="178F17B4" w14:textId="626E5DA4" w:rsidR="00E907C6" w:rsidRPr="00885EE2" w:rsidRDefault="00E907C6" w:rsidP="006B0BFB">
      <w:pPr>
        <w:tabs>
          <w:tab w:val="left" w:pos="4253"/>
          <w:tab w:val="left" w:pos="6804"/>
        </w:tabs>
        <w:spacing w:after="120"/>
        <w:rPr>
          <w:rFonts w:ascii="Arial" w:hAnsi="Arial"/>
          <w:kern w:val="28"/>
          <w:szCs w:val="24"/>
        </w:rPr>
      </w:pPr>
      <w:bookmarkStart w:id="0" w:name="OLE_LINK1"/>
      <w:bookmarkStart w:id="1" w:name="OLE_LINK2"/>
      <w:r w:rsidRPr="00885EE2">
        <w:rPr>
          <w:rFonts w:ascii="Arial" w:hAnsi="Arial"/>
          <w:kern w:val="28"/>
          <w:szCs w:val="24"/>
        </w:rPr>
        <w:t xml:space="preserve">The application number is </w:t>
      </w:r>
      <w:r w:rsidR="00885EE2" w:rsidRPr="00885EE2">
        <w:rPr>
          <w:rFonts w:ascii="Arial" w:hAnsi="Arial"/>
          <w:szCs w:val="24"/>
        </w:rPr>
        <w:t>PAN-004847</w:t>
      </w:r>
    </w:p>
    <w:p w14:paraId="0FF15251" w14:textId="7E32FC88" w:rsidR="00D04424" w:rsidRPr="00885EE2" w:rsidRDefault="00D04424" w:rsidP="006B0BFB">
      <w:pPr>
        <w:tabs>
          <w:tab w:val="left" w:pos="4253"/>
          <w:tab w:val="left" w:pos="6804"/>
        </w:tabs>
        <w:spacing w:after="120"/>
        <w:rPr>
          <w:rFonts w:ascii="Arial" w:hAnsi="Arial"/>
          <w:szCs w:val="24"/>
        </w:rPr>
      </w:pPr>
      <w:r w:rsidRPr="00885EE2">
        <w:rPr>
          <w:rFonts w:ascii="Arial" w:hAnsi="Arial"/>
          <w:kern w:val="28"/>
          <w:szCs w:val="24"/>
        </w:rPr>
        <w:t>The</w:t>
      </w:r>
      <w:r w:rsidRPr="00885EE2">
        <w:rPr>
          <w:rFonts w:ascii="Arial" w:hAnsi="Arial"/>
          <w:b/>
          <w:kern w:val="28"/>
          <w:szCs w:val="24"/>
        </w:rPr>
        <w:t xml:space="preserve"> </w:t>
      </w:r>
      <w:r w:rsidRPr="00885EE2">
        <w:rPr>
          <w:rFonts w:ascii="Arial" w:hAnsi="Arial"/>
          <w:szCs w:val="24"/>
        </w:rPr>
        <w:t xml:space="preserve">permit number is </w:t>
      </w:r>
      <w:r w:rsidR="00AA00EF">
        <w:rPr>
          <w:rFonts w:ascii="Arial" w:hAnsi="Arial"/>
          <w:szCs w:val="24"/>
        </w:rPr>
        <w:t>EPR/BB3291CR</w:t>
      </w:r>
      <w:bookmarkStart w:id="2" w:name="_GoBack"/>
      <w:bookmarkEnd w:id="2"/>
    </w:p>
    <w:p w14:paraId="0FF15252" w14:textId="609AA64E" w:rsidR="00E244F7" w:rsidRPr="00885EE2" w:rsidRDefault="000225DA" w:rsidP="006B0BFB">
      <w:pPr>
        <w:tabs>
          <w:tab w:val="left" w:pos="4253"/>
          <w:tab w:val="left" w:pos="6804"/>
        </w:tabs>
        <w:spacing w:after="120"/>
        <w:rPr>
          <w:rFonts w:ascii="Arial" w:hAnsi="Arial"/>
        </w:rPr>
      </w:pPr>
      <w:r w:rsidRPr="00885EE2">
        <w:rPr>
          <w:rFonts w:ascii="Arial" w:hAnsi="Arial"/>
        </w:rPr>
        <w:t xml:space="preserve">The </w:t>
      </w:r>
      <w:r w:rsidR="00E244F7" w:rsidRPr="00885EE2">
        <w:rPr>
          <w:rFonts w:ascii="Arial" w:hAnsi="Arial"/>
        </w:rPr>
        <w:t xml:space="preserve">discharge is for </w:t>
      </w:r>
      <w:r w:rsidR="00885EE2" w:rsidRPr="00885EE2">
        <w:rPr>
          <w:rFonts w:ascii="Arial" w:hAnsi="Arial"/>
        </w:rPr>
        <w:t xml:space="preserve">the </w:t>
      </w:r>
      <w:proofErr w:type="gramStart"/>
      <w:r w:rsidR="00885EE2" w:rsidRPr="00885EE2">
        <w:rPr>
          <w:rFonts w:ascii="Arial" w:hAnsi="Arial"/>
        </w:rPr>
        <w:t>first time</w:t>
      </w:r>
      <w:proofErr w:type="gramEnd"/>
      <w:r w:rsidR="00885EE2" w:rsidRPr="00885EE2">
        <w:rPr>
          <w:rFonts w:ascii="Arial" w:hAnsi="Arial"/>
        </w:rPr>
        <w:t xml:space="preserve"> regulation of an existing discharge treated via a septic tank and infiltration system with a maximum daily discharge rate of 1.5 cubic metres. The discharge does not qualify for an exemption as it is located within a Source Protection Zone.</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26D1E29" w14:textId="77777777" w:rsidR="00885EE2" w:rsidRPr="00885EE2" w:rsidRDefault="00885EE2" w:rsidP="00885EE2">
      <w:pPr>
        <w:spacing w:after="60"/>
        <w:ind w:left="1134"/>
        <w:rPr>
          <w:rFonts w:ascii="Arial" w:hAnsi="Arial"/>
        </w:rPr>
      </w:pPr>
    </w:p>
    <w:p w14:paraId="0FF15263" w14:textId="2D2D0031"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38943241"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96BCABF"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C8BC75A" w:rsidR="00885EE2" w:rsidRPr="007820C3" w:rsidRDefault="00885EE2"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8431C1D" w:rsidR="007820C3" w:rsidRPr="00885EE2" w:rsidRDefault="007820C3" w:rsidP="007820C3">
            <w:pPr>
              <w:pStyle w:val="Heading3"/>
              <w:spacing w:before="60"/>
              <w:rPr>
                <w:rFonts w:ascii="Arial" w:hAnsi="Arial" w:cs="Arial"/>
                <w:b w:val="0"/>
                <w:szCs w:val="24"/>
                <w:highlight w:val="red"/>
              </w:rPr>
            </w:pPr>
            <w:r w:rsidRPr="00885EE2">
              <w:rPr>
                <w:rFonts w:ascii="Arial" w:hAnsi="Arial" w:cs="Arial"/>
                <w:b w:val="0"/>
                <w:szCs w:val="24"/>
              </w:rPr>
              <w:t xml:space="preserve">Responses to </w:t>
            </w:r>
            <w:proofErr w:type="gramStart"/>
            <w:r w:rsidR="00885EE2" w:rsidRPr="00885EE2">
              <w:rPr>
                <w:rFonts w:ascii="Arial" w:hAnsi="Arial" w:cs="Arial"/>
                <w:b w:val="0"/>
                <w:szCs w:val="24"/>
              </w:rPr>
              <w:t>consultation  and</w:t>
            </w:r>
            <w:proofErr w:type="gramEnd"/>
            <w:r w:rsidR="00885EE2" w:rsidRPr="00885EE2">
              <w:rPr>
                <w:rFonts w:ascii="Arial" w:hAnsi="Arial" w:cs="Arial"/>
                <w:b w:val="0"/>
                <w:szCs w:val="24"/>
              </w:rPr>
              <w:t xml:space="preserve"> </w:t>
            </w:r>
            <w:r w:rsidRPr="00885EE2">
              <w:rPr>
                <w:rFonts w:ascii="Arial" w:hAnsi="Arial" w:cs="Arial"/>
                <w:b w:val="0"/>
                <w:szCs w:val="24"/>
              </w:rPr>
              <w:t xml:space="preserve">web publicising </w:t>
            </w:r>
          </w:p>
        </w:tc>
        <w:tc>
          <w:tcPr>
            <w:tcW w:w="6266" w:type="dxa"/>
            <w:tcBorders>
              <w:bottom w:val="single" w:sz="4" w:space="0" w:color="auto"/>
            </w:tcBorders>
          </w:tcPr>
          <w:p w14:paraId="0FF1529A" w14:textId="01E4BBD7" w:rsidR="007820C3" w:rsidRPr="00885EE2" w:rsidRDefault="007820C3" w:rsidP="007820C3">
            <w:pPr>
              <w:spacing w:before="60"/>
              <w:rPr>
                <w:rFonts w:ascii="Arial" w:hAnsi="Arial" w:cs="Arial"/>
                <w:szCs w:val="24"/>
              </w:rPr>
            </w:pPr>
            <w:r w:rsidRPr="00885EE2">
              <w:rPr>
                <w:rFonts w:ascii="Arial" w:hAnsi="Arial" w:cs="Arial"/>
                <w:szCs w:val="24"/>
              </w:rPr>
              <w:t xml:space="preserve">The consultation responses (Annex 2) were taken into account in the decision.  </w:t>
            </w:r>
          </w:p>
          <w:p w14:paraId="0FF1529B" w14:textId="019A4461" w:rsidR="007820C3" w:rsidRPr="00885EE2" w:rsidRDefault="007820C3" w:rsidP="007820C3">
            <w:pPr>
              <w:spacing w:before="60"/>
              <w:rPr>
                <w:rFonts w:ascii="Arial" w:hAnsi="Arial" w:cs="Arial"/>
                <w:szCs w:val="24"/>
              </w:rPr>
            </w:pPr>
          </w:p>
          <w:p w14:paraId="163DE76D" w14:textId="1746B76C" w:rsidR="00885EE2" w:rsidRPr="00885EE2" w:rsidRDefault="00885EE2" w:rsidP="007820C3">
            <w:pPr>
              <w:spacing w:before="60"/>
              <w:rPr>
                <w:rFonts w:ascii="Arial" w:hAnsi="Arial" w:cs="Arial"/>
                <w:szCs w:val="24"/>
              </w:rPr>
            </w:pPr>
            <w:r w:rsidRPr="00885EE2">
              <w:rPr>
                <w:rFonts w:ascii="Arial" w:hAnsi="Arial" w:cs="Arial"/>
                <w:szCs w:val="24"/>
              </w:rPr>
              <w:t xml:space="preserve">There were no responses to web publicising. </w:t>
            </w:r>
          </w:p>
          <w:p w14:paraId="0FF1529C" w14:textId="77777777" w:rsidR="007820C3" w:rsidRPr="00885EE2" w:rsidRDefault="007820C3" w:rsidP="007820C3">
            <w:pPr>
              <w:spacing w:before="60"/>
              <w:rPr>
                <w:rFonts w:ascii="Arial" w:hAnsi="Arial" w:cs="Arial"/>
                <w:szCs w:val="24"/>
              </w:rPr>
            </w:pPr>
            <w:r w:rsidRPr="00885EE2">
              <w:rPr>
                <w:rFonts w:ascii="Arial" w:hAnsi="Arial" w:cs="Arial"/>
                <w:szCs w:val="24"/>
              </w:rPr>
              <w:t xml:space="preserve">The decision was taken in accordance with our guidance. </w:t>
            </w:r>
          </w:p>
          <w:p w14:paraId="0FF1529D" w14:textId="77777777" w:rsidR="007820C3" w:rsidRPr="00885EE2"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EF76B6D"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565709E" w:rsidR="00885EE2" w:rsidRPr="007820C3" w:rsidRDefault="00885EE2"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85EE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42F9C2FB" w:rsidR="007820C3" w:rsidRPr="00885EE2"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885EE2" w:rsidRDefault="007820C3" w:rsidP="00A60F17">
            <w:pPr>
              <w:rPr>
                <w:rFonts w:ascii="Arial" w:hAnsi="Arial" w:cs="Arial"/>
                <w:szCs w:val="24"/>
              </w:rPr>
            </w:pPr>
            <w:r w:rsidRPr="00885EE2">
              <w:rPr>
                <w:rFonts w:ascii="Arial" w:hAnsi="Arial" w:cs="Arial"/>
                <w:szCs w:val="24"/>
              </w:rPr>
              <w:t xml:space="preserve">We have carried out a risk assessment on behalf of the operator.  </w:t>
            </w:r>
          </w:p>
          <w:p w14:paraId="0FF152E3" w14:textId="77777777" w:rsidR="00FB30B4" w:rsidRPr="00885EE2" w:rsidRDefault="00FB30B4" w:rsidP="00A60F17">
            <w:pPr>
              <w:rPr>
                <w:rFonts w:ascii="Arial" w:hAnsi="Arial" w:cs="Arial"/>
                <w:szCs w:val="24"/>
              </w:rPr>
            </w:pPr>
          </w:p>
          <w:p w14:paraId="0FF152E5" w14:textId="310951D2" w:rsidR="007820C3" w:rsidRPr="00885EE2" w:rsidRDefault="007820C3" w:rsidP="00A60F17">
            <w:pPr>
              <w:rPr>
                <w:rFonts w:ascii="Arial" w:hAnsi="Arial" w:cs="Arial"/>
                <w:szCs w:val="24"/>
              </w:rPr>
            </w:pPr>
            <w:r w:rsidRPr="00885EE2">
              <w:rPr>
                <w:rFonts w:ascii="Arial" w:hAnsi="Arial" w:cs="Arial"/>
                <w:szCs w:val="24"/>
              </w:rPr>
              <w:t xml:space="preserve">The operator considers this risk assessment is satisfactory. </w:t>
            </w:r>
          </w:p>
          <w:p w14:paraId="0FF152E7" w14:textId="77777777" w:rsidR="007820C3" w:rsidRPr="00885EE2" w:rsidRDefault="007820C3" w:rsidP="00A60F17">
            <w:pPr>
              <w:rPr>
                <w:rFonts w:ascii="Arial" w:hAnsi="Arial" w:cs="Arial"/>
                <w:szCs w:val="24"/>
              </w:rPr>
            </w:pPr>
          </w:p>
          <w:p w14:paraId="0FF152E8" w14:textId="227037FC" w:rsidR="007820C3" w:rsidRPr="00885EE2" w:rsidRDefault="007820C3" w:rsidP="00A60F17">
            <w:pPr>
              <w:pStyle w:val="BodyText"/>
              <w:rPr>
                <w:rFonts w:ascii="Arial" w:hAnsi="Arial" w:cs="Arial"/>
                <w:color w:val="auto"/>
                <w:szCs w:val="24"/>
              </w:rPr>
            </w:pPr>
            <w:r w:rsidRPr="00885EE2">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885EE2"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885EE2" w:rsidRDefault="007820C3" w:rsidP="00792CEE">
            <w:pPr>
              <w:pStyle w:val="BodyText"/>
              <w:rPr>
                <w:rFonts w:ascii="Arial" w:hAnsi="Arial" w:cs="Arial"/>
                <w:color w:val="auto"/>
                <w:szCs w:val="24"/>
              </w:rPr>
            </w:pPr>
            <w:r w:rsidRPr="00885EE2">
              <w:rPr>
                <w:rFonts w:ascii="Arial" w:hAnsi="Arial" w:cs="Arial"/>
                <w:color w:val="auto"/>
                <w:szCs w:val="24"/>
              </w:rPr>
              <w:t xml:space="preserve">We have reviewed the techniques used by the operator and compared these with the relevant guidance notes. </w:t>
            </w:r>
          </w:p>
          <w:p w14:paraId="0FF152EE" w14:textId="316403D1" w:rsidR="007820C3" w:rsidRPr="00885EE2" w:rsidRDefault="00885EE2" w:rsidP="00792CEE">
            <w:pPr>
              <w:pStyle w:val="BodyText"/>
              <w:rPr>
                <w:rFonts w:ascii="Arial" w:hAnsi="Arial" w:cs="Arial"/>
                <w:color w:val="auto"/>
                <w:szCs w:val="24"/>
              </w:rPr>
            </w:pPr>
            <w:r w:rsidRPr="00885EE2">
              <w:rPr>
                <w:rFonts w:ascii="Arial" w:hAnsi="Arial" w:cs="Arial"/>
                <w:color w:val="auto"/>
                <w:szCs w:val="24"/>
              </w:rPr>
              <w:t>T</w:t>
            </w:r>
            <w:r w:rsidR="007820C3" w:rsidRPr="00885EE2">
              <w:rPr>
                <w:rFonts w:ascii="Arial" w:hAnsi="Arial" w:cs="Arial"/>
                <w:color w:val="auto"/>
                <w:szCs w:val="24"/>
              </w:rPr>
              <w:t xml:space="preserve">he key measures proposed </w:t>
            </w:r>
            <w:r w:rsidRPr="00885EE2">
              <w:rPr>
                <w:rFonts w:ascii="Arial" w:hAnsi="Arial" w:cs="Arial"/>
                <w:color w:val="auto"/>
                <w:szCs w:val="24"/>
              </w:rPr>
              <w:t>meet TGN EPR 7.01</w:t>
            </w:r>
          </w:p>
          <w:p w14:paraId="64F33E0B" w14:textId="77777777" w:rsidR="00885EE2" w:rsidRPr="00885EE2" w:rsidRDefault="00885EE2" w:rsidP="00792CEE">
            <w:pPr>
              <w:pStyle w:val="BodyText"/>
              <w:rPr>
                <w:rFonts w:ascii="Arial" w:hAnsi="Arial" w:cs="Arial"/>
                <w:color w:val="auto"/>
                <w:szCs w:val="24"/>
              </w:rPr>
            </w:pPr>
          </w:p>
          <w:p w14:paraId="0FF152EF" w14:textId="62A01305" w:rsidR="007820C3" w:rsidRPr="00885EE2" w:rsidRDefault="007820C3" w:rsidP="00792CEE">
            <w:pPr>
              <w:pStyle w:val="BodyText"/>
              <w:rPr>
                <w:rFonts w:ascii="Arial" w:hAnsi="Arial" w:cs="Arial"/>
                <w:color w:val="auto"/>
                <w:szCs w:val="24"/>
              </w:rPr>
            </w:pPr>
            <w:r w:rsidRPr="00885EE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4BA63D5A" w:rsidR="00FB30B4" w:rsidRPr="00885EE2" w:rsidRDefault="00FB30B4" w:rsidP="00885EE2">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3E4AF939" w:rsidR="00E96702" w:rsidRPr="00885EE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66714E1A" w:rsidR="00FB30B4" w:rsidRPr="00F42026" w:rsidRDefault="006765AE" w:rsidP="00FB30B4">
      <w:pPr>
        <w:pStyle w:val="Heading1"/>
        <w:jc w:val="left"/>
        <w:rPr>
          <w:color w:val="FF0000"/>
          <w:sz w:val="24"/>
        </w:rPr>
      </w:pPr>
      <w:r>
        <w:br w:type="page"/>
      </w:r>
      <w:r w:rsidR="00885EE2" w:rsidRPr="00885EE2">
        <w:rPr>
          <w:color w:val="auto"/>
          <w:sz w:val="24"/>
        </w:rPr>
        <w:t xml:space="preserve">Annex 2: Consultation </w:t>
      </w:r>
      <w:r w:rsidR="00FB30B4" w:rsidRPr="00885EE2">
        <w:rPr>
          <w:color w:val="auto"/>
          <w:sz w:val="24"/>
        </w:rPr>
        <w:t xml:space="preserve">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53E88257" w:rsidR="00FB30B4" w:rsidRPr="00885EE2" w:rsidRDefault="00885EE2" w:rsidP="00FB30B4">
            <w:pPr>
              <w:jc w:val="both"/>
              <w:rPr>
                <w:rFonts w:ascii="Arial" w:hAnsi="Arial" w:cs="Arial"/>
                <w:b/>
              </w:rPr>
            </w:pPr>
            <w:r w:rsidRPr="00885EE2">
              <w:rPr>
                <w:rFonts w:ascii="Arial" w:hAnsi="Arial" w:cs="Arial"/>
                <w:b/>
              </w:rPr>
              <w:t>DCWW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77777777" w:rsidR="00FB30B4" w:rsidRPr="004243F4" w:rsidRDefault="00FB30B4" w:rsidP="00FB30B4">
            <w:pPr>
              <w:jc w:val="both"/>
              <w:rPr>
                <w:rFonts w:ascii="Arial" w:hAnsi="Arial" w:cs="Arial"/>
              </w:rPr>
            </w:pP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26A3B" w14:textId="77777777" w:rsidR="00885EE2" w:rsidRDefault="00885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FA21D" w14:textId="771A017B" w:rsidR="00885EE2" w:rsidRDefault="00885E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B219F" w14:textId="3BB7BB07" w:rsidR="00885EE2" w:rsidRDefault="00885E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61EB7" w14:textId="5BD4359F" w:rsidR="00885EE2" w:rsidRDefault="00885E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5EE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00EF"/>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8"/>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Pantydarren </Site_x0020_Name>
    <Internal_x002f_External xmlns="859f7ad6-93f6-4205-b62b-a17f28acbbac">Internal document</Internal_x002f_External>
    <Post_x0020_code xmlns="859f7ad6-93f6-4205-b62b-a17f28acbbac">NP7 0LW</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Pantydarren, Black Rock Clydach, Abergavenny, Monmouthshire, NP7 0LW</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2019-04-16T23:00:00+00:00</Document_x0020_Date>
    <Facility_x0020_Address xmlns="859f7ad6-93f6-4205-b62b-a17f28acbbac">Black Rock, Clydach, Abergavenny</Facility_x0020_Address>
    <Environment_x0020_Sub_x0020_Folder xmlns="859f7ad6-93f6-4205-b62b-a17f28acbbac">Licences applications</Environment_x0020_Sub_x0020_Folder>
    <Customer_x0020_Name xmlns="859f7ad6-93f6-4205-b62b-a17f28acbbac">Mr Christopher Tutton</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REGU-184-36699</_dlc_DocId>
    <_dlc_DocIdUrl xmlns="9be56660-2c31-41ef-bc00-23e72f632f2a">
      <Url>https://cyfoethnaturiolcymru.sharepoint.com/teams/Regulatory/Permitting/_layouts/15/DocIdRedir.aspx?ID=REGU-184-36699</Url>
      <Description>REGU-184-36699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3c4e86fcda9192d9868788de170f7e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e87a6226ff09a385028f613c335fd23"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6e121689-de5b-41b9-a751-bfeda7fa2b07"/>
    <ds:schemaRef ds:uri="http://purl.org/dc/elements/1.1/"/>
    <ds:schemaRef ds:uri="a84e7805-6a46-4291-b6c6-33e265e5a8c8"/>
    <ds:schemaRef ds:uri="http://www.w3.org/XML/1998/namespace"/>
    <ds:schemaRef ds:uri="http://schemas.microsoft.com/office/infopath/2007/PartnerControls"/>
    <ds:schemaRef ds:uri="http://schemas.microsoft.com/office/2006/metadata/properties"/>
    <ds:schemaRef ds:uri="http://purl.org/dc/terms/"/>
    <ds:schemaRef ds:uri="http://schemas.openxmlformats.org/package/2006/metadata/core-properties"/>
    <ds:schemaRef ds:uri="9be56660-2c31-41ef-bc00-23e72f632f2a"/>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0F69482F-D9D5-4911-A9C7-79C4B877E9BC}"/>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638</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11</cp:revision>
  <cp:lastPrinted>2008-01-30T13:54:00Z</cp:lastPrinted>
  <dcterms:created xsi:type="dcterms:W3CDTF">2016-07-19T10:33:00Z</dcterms:created>
  <dcterms:modified xsi:type="dcterms:W3CDTF">2019-04-17T09:27:00Z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fa75a65a-1849-40ab-97ea-44853bd7d065</vt:lpwstr>
  </property>
  <property fmtid="{D5CDD505-2E9C-101B-9397-08002B2CF9AE}" pid="11" name="SharedWithUsers">
    <vt:lpwstr/>
  </property>
  <property fmtid="{D5CDD505-2E9C-101B-9397-08002B2CF9AE}" pid="12" name="AuthorIds_UIVersion_1024">
    <vt:lpwstr>1543</vt:lpwstr>
  </property>
  <property fmtid="{D5CDD505-2E9C-101B-9397-08002B2CF9AE}" pid="13" name="_dlc_DocId">
    <vt:lpwstr>REGU-184-36699</vt:lpwstr>
  </property>
  <property fmtid="{D5CDD505-2E9C-101B-9397-08002B2CF9AE}" pid="14" name="_dlc_DocIdUrl">
    <vt:lpwstr>https://cyfoethnaturiolcymru.sharepoint.com/teams/Regulatory/Permitting/_layouts/15/DocIdRedir.aspx?ID=REGU-184-36699, REGU-184-36699</vt:lpwstr>
  </property>
  <property fmtid="{D5CDD505-2E9C-101B-9397-08002B2CF9AE}" pid="15" name="_docset_NoMedatataSyncRequired">
    <vt:lpwstr>False</vt:lpwstr>
  </property>
</Properties>
</file>