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B93CFE1" w:rsidR="00D04424" w:rsidRPr="00FC08E9" w:rsidRDefault="0014332B" w:rsidP="003719AD">
      <w:pPr>
        <w:pStyle w:val="Heading1"/>
        <w:spacing w:before="0" w:after="0"/>
        <w:jc w:val="left"/>
        <w:rPr>
          <w:bCs/>
          <w:color w:val="000000" w:themeColor="text1"/>
          <w:sz w:val="32"/>
        </w:rPr>
      </w:pPr>
      <w:r w:rsidRPr="00FC08E9">
        <w:rPr>
          <w:bCs/>
          <w:color w:val="000000" w:themeColor="text1"/>
          <w:sz w:val="32"/>
        </w:rPr>
        <w:t>Bespoke p</w:t>
      </w:r>
      <w:r w:rsidR="00D04424" w:rsidRPr="00FC08E9">
        <w:rPr>
          <w:bCs/>
          <w:color w:val="000000" w:themeColor="text1"/>
          <w:sz w:val="32"/>
        </w:rPr>
        <w:t>ermit</w:t>
      </w:r>
      <w:r w:rsidR="00B73ECB" w:rsidRPr="00FC08E9">
        <w:rPr>
          <w:bCs/>
          <w:color w:val="000000" w:themeColor="text1"/>
          <w:sz w:val="32"/>
        </w:rPr>
        <w:t xml:space="preserve"> </w:t>
      </w:r>
    </w:p>
    <w:p w14:paraId="0FF1524F" w14:textId="77777777" w:rsidR="007820C3" w:rsidRPr="0014332B" w:rsidRDefault="007820C3" w:rsidP="00D04424">
      <w:pPr>
        <w:rPr>
          <w:rFonts w:ascii="Arial" w:hAnsi="Arial" w:cs="Arial"/>
          <w:szCs w:val="24"/>
        </w:rPr>
      </w:pPr>
    </w:p>
    <w:p w14:paraId="0FF15250" w14:textId="2EF07F8E" w:rsidR="00D04424" w:rsidRPr="00FC08E9" w:rsidRDefault="0060457F" w:rsidP="006B0BFB">
      <w:pPr>
        <w:spacing w:after="120"/>
        <w:rPr>
          <w:rFonts w:ascii="Arial" w:hAnsi="Arial" w:cs="Arial"/>
          <w:color w:val="000000" w:themeColor="text1"/>
          <w:szCs w:val="24"/>
        </w:rPr>
      </w:pPr>
      <w:r w:rsidRPr="00FC08E9">
        <w:rPr>
          <w:rFonts w:ascii="Arial" w:hAnsi="Arial" w:cs="Arial"/>
          <w:color w:val="000000" w:themeColor="text1"/>
          <w:szCs w:val="24"/>
        </w:rPr>
        <w:t xml:space="preserve">We have decided to </w:t>
      </w:r>
      <w:r w:rsidR="00D2020E" w:rsidRPr="00FC08E9">
        <w:rPr>
          <w:rFonts w:ascii="Arial" w:hAnsi="Arial" w:cs="Arial"/>
          <w:color w:val="000000" w:themeColor="text1"/>
          <w:szCs w:val="24"/>
        </w:rPr>
        <w:t xml:space="preserve">grant </w:t>
      </w:r>
      <w:r w:rsidRPr="00FC08E9">
        <w:rPr>
          <w:rFonts w:ascii="Arial" w:hAnsi="Arial" w:cs="Arial"/>
          <w:color w:val="000000" w:themeColor="text1"/>
          <w:szCs w:val="24"/>
        </w:rPr>
        <w:t xml:space="preserve">the permit for </w:t>
      </w:r>
      <w:r w:rsidR="00FC08E9" w:rsidRPr="00FC08E9">
        <w:rPr>
          <w:rFonts w:ascii="Arial" w:hAnsi="Arial" w:cs="Arial"/>
          <w:color w:val="000000" w:themeColor="text1"/>
          <w:szCs w:val="24"/>
        </w:rPr>
        <w:t xml:space="preserve">Waun Mary Gunter Farm </w:t>
      </w:r>
      <w:r w:rsidRPr="00FC08E9">
        <w:rPr>
          <w:rFonts w:ascii="Arial" w:hAnsi="Arial" w:cs="Arial"/>
          <w:color w:val="000000" w:themeColor="text1"/>
          <w:szCs w:val="24"/>
        </w:rPr>
        <w:t xml:space="preserve">operated by </w:t>
      </w:r>
      <w:r w:rsidR="00FC08E9" w:rsidRPr="00FC08E9">
        <w:rPr>
          <w:rFonts w:ascii="Arial" w:hAnsi="Arial" w:cs="Arial"/>
          <w:color w:val="000000" w:themeColor="text1"/>
          <w:szCs w:val="24"/>
        </w:rPr>
        <w:t>Mr Roland Phillips.</w:t>
      </w:r>
    </w:p>
    <w:p w14:paraId="178F17B4" w14:textId="6C060E04" w:rsidR="00E907C6" w:rsidRPr="00FC08E9"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FC08E9">
        <w:rPr>
          <w:rFonts w:ascii="Arial" w:hAnsi="Arial"/>
          <w:color w:val="000000" w:themeColor="text1"/>
          <w:kern w:val="28"/>
          <w:szCs w:val="24"/>
        </w:rPr>
        <w:t xml:space="preserve">The application number is </w:t>
      </w:r>
      <w:r w:rsidR="00FC08E9" w:rsidRPr="00FC08E9">
        <w:rPr>
          <w:rFonts w:ascii="Arial" w:hAnsi="Arial"/>
          <w:color w:val="000000" w:themeColor="text1"/>
          <w:szCs w:val="24"/>
        </w:rPr>
        <w:t>PAN-017437</w:t>
      </w:r>
    </w:p>
    <w:p w14:paraId="0FF15251" w14:textId="7DA33072" w:rsidR="00D04424" w:rsidRPr="00FC08E9" w:rsidRDefault="00D04424" w:rsidP="006B0BFB">
      <w:pPr>
        <w:tabs>
          <w:tab w:val="left" w:pos="4253"/>
          <w:tab w:val="left" w:pos="6804"/>
        </w:tabs>
        <w:spacing w:after="120"/>
        <w:rPr>
          <w:rFonts w:ascii="Arial" w:hAnsi="Arial"/>
          <w:color w:val="000000" w:themeColor="text1"/>
          <w:szCs w:val="24"/>
        </w:rPr>
      </w:pPr>
      <w:r w:rsidRPr="00FC08E9">
        <w:rPr>
          <w:rFonts w:ascii="Arial" w:hAnsi="Arial"/>
          <w:color w:val="000000" w:themeColor="text1"/>
          <w:kern w:val="28"/>
          <w:szCs w:val="24"/>
        </w:rPr>
        <w:t>The</w:t>
      </w:r>
      <w:r w:rsidRPr="00FC08E9">
        <w:rPr>
          <w:rFonts w:ascii="Arial" w:hAnsi="Arial"/>
          <w:b/>
          <w:color w:val="000000" w:themeColor="text1"/>
          <w:kern w:val="28"/>
          <w:szCs w:val="24"/>
        </w:rPr>
        <w:t xml:space="preserve"> </w:t>
      </w:r>
      <w:r w:rsidRPr="00FC08E9">
        <w:rPr>
          <w:rFonts w:ascii="Arial" w:hAnsi="Arial"/>
          <w:color w:val="000000" w:themeColor="text1"/>
          <w:szCs w:val="24"/>
        </w:rPr>
        <w:t xml:space="preserve">permit number is </w:t>
      </w:r>
      <w:r w:rsidR="00881418" w:rsidRPr="00881418">
        <w:rPr>
          <w:rFonts w:ascii="Arial" w:hAnsi="Arial"/>
          <w:color w:val="000000" w:themeColor="text1"/>
          <w:szCs w:val="24"/>
        </w:rPr>
        <w:t>EPR-CB3691ZL</w:t>
      </w:r>
    </w:p>
    <w:p w14:paraId="0FF15252" w14:textId="4C1126D1" w:rsidR="00E244F7" w:rsidRPr="00FC08E9" w:rsidRDefault="000225DA" w:rsidP="00FC08E9">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FC08E9" w:rsidRPr="00FC08E9">
        <w:rPr>
          <w:rFonts w:ascii="Arial" w:hAnsi="Arial"/>
          <w:color w:val="000000" w:themeColor="text1"/>
        </w:rPr>
        <w:t>a new surface water discharge at Waun Mary Gunter Farm, Blaenavon, Pontypool, NP4 9SJ.  The package treatment plant system will be serving 1x 3 bedroomed residential property.  The PTP conform to current British Standards BS 12566. The treated effluent is domestic in nature. The discharge is into an unnamed drain of the Afon Lwyd.  The drain is seasonally dry in warm weather, this will be addressed by the addition of a perforated pipe system.  A sewage effluent discharge of a low volume 1 m3/day has been estimated.</w:t>
      </w: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3773C193" w:rsidR="006420BA" w:rsidRPr="00FE3619" w:rsidRDefault="006420BA" w:rsidP="006420BA">
      <w:pPr>
        <w:numPr>
          <w:ilvl w:val="0"/>
          <w:numId w:val="17"/>
        </w:numPr>
        <w:tabs>
          <w:tab w:val="clear" w:pos="1440"/>
          <w:tab w:val="num" w:pos="1134"/>
        </w:tabs>
        <w:spacing w:after="120"/>
        <w:ind w:left="1134" w:hanging="567"/>
        <w:rPr>
          <w:rFonts w:ascii="Arial" w:hAnsi="Arial"/>
          <w:color w:val="000000" w:themeColor="text1"/>
        </w:rPr>
      </w:pPr>
      <w:r w:rsidRPr="00FE3619">
        <w:rPr>
          <w:rFonts w:ascii="Arial" w:hAnsi="Arial"/>
          <w:color w:val="000000" w:themeColor="text1"/>
          <w:szCs w:val="24"/>
        </w:rPr>
        <w:t>Annex 2 the consultation</w:t>
      </w:r>
      <w:r w:rsidR="00FC08E9" w:rsidRPr="00FE3619">
        <w:rPr>
          <w:rFonts w:ascii="Arial" w:hAnsi="Arial"/>
          <w:color w:val="000000" w:themeColor="text1"/>
          <w:szCs w:val="24"/>
        </w:rPr>
        <w:t xml:space="preserve"> </w:t>
      </w:r>
      <w:r w:rsidRPr="00FE3619">
        <w:rPr>
          <w:rFonts w:ascii="Arial" w:hAnsi="Arial"/>
          <w:color w:val="000000" w:themeColor="text1"/>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BC92457" w:rsidR="007820C3" w:rsidRPr="00FE3619" w:rsidRDefault="007820C3" w:rsidP="007820C3">
            <w:pPr>
              <w:pStyle w:val="Heading3"/>
              <w:spacing w:before="60"/>
              <w:rPr>
                <w:rFonts w:ascii="Arial" w:hAnsi="Arial" w:cs="Arial"/>
                <w:b w:val="0"/>
                <w:color w:val="000000" w:themeColor="text1"/>
                <w:szCs w:val="24"/>
                <w:highlight w:val="red"/>
              </w:rPr>
            </w:pPr>
            <w:r w:rsidRPr="00FE3619">
              <w:rPr>
                <w:rFonts w:ascii="Arial" w:hAnsi="Arial" w:cs="Arial"/>
                <w:b w:val="0"/>
                <w:color w:val="000000" w:themeColor="text1"/>
                <w:szCs w:val="24"/>
              </w:rPr>
              <w:t xml:space="preserve">Responses to consultation </w:t>
            </w:r>
            <w:r w:rsidR="00FE3619" w:rsidRPr="00FE3619">
              <w:rPr>
                <w:rFonts w:ascii="Arial" w:hAnsi="Arial" w:cs="Arial"/>
                <w:b w:val="0"/>
                <w:color w:val="000000" w:themeColor="text1"/>
                <w:szCs w:val="24"/>
              </w:rPr>
              <w:t xml:space="preserve">and </w:t>
            </w:r>
            <w:r w:rsidRPr="00FE3619">
              <w:rPr>
                <w:rFonts w:ascii="Arial" w:hAnsi="Arial" w:cs="Arial"/>
                <w:b w:val="0"/>
                <w:color w:val="000000" w:themeColor="text1"/>
                <w:szCs w:val="24"/>
              </w:rPr>
              <w:t xml:space="preserve">web publicising </w:t>
            </w:r>
          </w:p>
        </w:tc>
        <w:tc>
          <w:tcPr>
            <w:tcW w:w="6266" w:type="dxa"/>
            <w:tcBorders>
              <w:bottom w:val="single" w:sz="4" w:space="0" w:color="auto"/>
            </w:tcBorders>
          </w:tcPr>
          <w:p w14:paraId="0FF1529A" w14:textId="24793C1B" w:rsidR="007820C3" w:rsidRPr="00FE3619" w:rsidRDefault="007820C3" w:rsidP="007820C3">
            <w:pPr>
              <w:spacing w:before="60"/>
              <w:rPr>
                <w:rFonts w:ascii="Arial" w:hAnsi="Arial" w:cs="Arial"/>
                <w:color w:val="000000" w:themeColor="text1"/>
                <w:szCs w:val="24"/>
              </w:rPr>
            </w:pPr>
            <w:r w:rsidRPr="00FE3619">
              <w:rPr>
                <w:rFonts w:ascii="Arial" w:hAnsi="Arial" w:cs="Arial"/>
                <w:color w:val="000000" w:themeColor="text1"/>
                <w:szCs w:val="24"/>
              </w:rPr>
              <w:t>The web publicising</w:t>
            </w:r>
            <w:r w:rsidR="00FE3619" w:rsidRPr="00FE3619">
              <w:rPr>
                <w:rFonts w:ascii="Arial" w:hAnsi="Arial" w:cs="Arial"/>
                <w:color w:val="000000" w:themeColor="text1"/>
                <w:szCs w:val="24"/>
              </w:rPr>
              <w:t xml:space="preserve"> and </w:t>
            </w:r>
            <w:r w:rsidRPr="00FE3619">
              <w:rPr>
                <w:rFonts w:ascii="Arial" w:hAnsi="Arial" w:cs="Arial"/>
                <w:color w:val="000000" w:themeColor="text1"/>
                <w:szCs w:val="24"/>
              </w:rPr>
              <w:t xml:space="preserve">consultation responses (Annex 2) were </w:t>
            </w:r>
            <w:proofErr w:type="gramStart"/>
            <w:r w:rsidRPr="00FE3619">
              <w:rPr>
                <w:rFonts w:ascii="Arial" w:hAnsi="Arial" w:cs="Arial"/>
                <w:color w:val="000000" w:themeColor="text1"/>
                <w:szCs w:val="24"/>
              </w:rPr>
              <w:t>taken into account</w:t>
            </w:r>
            <w:proofErr w:type="gramEnd"/>
            <w:r w:rsidRPr="00FE3619">
              <w:rPr>
                <w:rFonts w:ascii="Arial" w:hAnsi="Arial" w:cs="Arial"/>
                <w:color w:val="000000" w:themeColor="text1"/>
                <w:szCs w:val="24"/>
              </w:rPr>
              <w:t xml:space="preserve"> in the decision.  </w:t>
            </w:r>
          </w:p>
          <w:p w14:paraId="0FF1529B" w14:textId="77777777" w:rsidR="007820C3" w:rsidRPr="00FE3619" w:rsidRDefault="007820C3" w:rsidP="007820C3">
            <w:pPr>
              <w:spacing w:before="60"/>
              <w:rPr>
                <w:rFonts w:ascii="Arial" w:hAnsi="Arial" w:cs="Arial"/>
                <w:color w:val="000000" w:themeColor="text1"/>
                <w:szCs w:val="24"/>
              </w:rPr>
            </w:pPr>
          </w:p>
          <w:p w14:paraId="0FF1529C" w14:textId="77777777" w:rsidR="007820C3" w:rsidRPr="00FE3619" w:rsidRDefault="007820C3" w:rsidP="007820C3">
            <w:pPr>
              <w:spacing w:before="60"/>
              <w:rPr>
                <w:rFonts w:ascii="Arial" w:hAnsi="Arial" w:cs="Arial"/>
                <w:color w:val="000000" w:themeColor="text1"/>
                <w:szCs w:val="24"/>
              </w:rPr>
            </w:pPr>
            <w:r w:rsidRPr="00FE3619">
              <w:rPr>
                <w:rFonts w:ascii="Arial" w:hAnsi="Arial" w:cs="Arial"/>
                <w:color w:val="000000" w:themeColor="text1"/>
                <w:szCs w:val="24"/>
              </w:rPr>
              <w:t xml:space="preserve">The decision was taken in accordance with our guidance. </w:t>
            </w:r>
          </w:p>
          <w:p w14:paraId="0FF1529D" w14:textId="77777777" w:rsidR="007820C3" w:rsidRPr="00FE3619"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6DB554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E361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FE361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A3EEE43" w14:textId="77777777" w:rsidR="004D1E92" w:rsidRPr="004D1E92" w:rsidRDefault="004D1E92" w:rsidP="004D1E92">
            <w:pPr>
              <w:spacing w:before="60"/>
              <w:rPr>
                <w:rFonts w:ascii="Arial" w:hAnsi="Arial" w:cs="Arial"/>
                <w:color w:val="000000" w:themeColor="text1"/>
              </w:rPr>
            </w:pPr>
            <w:r w:rsidRPr="004D1E92">
              <w:rPr>
                <w:rFonts w:ascii="Arial" w:hAnsi="Arial" w:cs="Arial"/>
                <w:color w:val="000000" w:themeColor="text1"/>
              </w:rPr>
              <w:t>HRA is not required because there is no conceivable impact pathway to any Natura 2000/Ramsar site Note: From OGN 200 - no conceivable impact on any Natura 2000 site, by virtue of the scale or location or nature of the project.</w:t>
            </w:r>
          </w:p>
          <w:p w14:paraId="0B477FF2" w14:textId="77777777" w:rsidR="004D1E92" w:rsidRPr="004D1E92" w:rsidRDefault="004D1E92" w:rsidP="004D1E92">
            <w:pPr>
              <w:spacing w:before="60"/>
              <w:rPr>
                <w:rFonts w:ascii="Arial" w:hAnsi="Arial" w:cs="Arial"/>
                <w:color w:val="000000" w:themeColor="text1"/>
              </w:rPr>
            </w:pPr>
          </w:p>
          <w:p w14:paraId="78430F49" w14:textId="51042734" w:rsidR="00136717" w:rsidRPr="004D1E92" w:rsidRDefault="004D1E92" w:rsidP="004D1E92">
            <w:pPr>
              <w:spacing w:before="60"/>
              <w:rPr>
                <w:rFonts w:ascii="Arial" w:hAnsi="Arial" w:cs="Arial"/>
                <w:color w:val="000000" w:themeColor="text1"/>
              </w:rPr>
            </w:pPr>
            <w:r w:rsidRPr="004D1E92">
              <w:rPr>
                <w:rFonts w:ascii="Arial" w:hAnsi="Arial" w:cs="Arial"/>
                <w:color w:val="000000" w:themeColor="text1"/>
              </w:rPr>
              <w:t>This proposal has been screened and is outside any Natura 2000/Ramsar sites.</w:t>
            </w:r>
          </w:p>
          <w:p w14:paraId="67AFC2B0" w14:textId="77777777" w:rsidR="00136717" w:rsidRPr="007820C3" w:rsidRDefault="00136717" w:rsidP="00FE3619">
            <w:pPr>
              <w:rPr>
                <w:rFonts w:ascii="Arial" w:hAnsi="Arial" w:cs="Arial"/>
                <w:color w:val="000000"/>
                <w:szCs w:val="24"/>
              </w:rPr>
            </w:pPr>
          </w:p>
        </w:tc>
        <w:tc>
          <w:tcPr>
            <w:tcW w:w="1072" w:type="dxa"/>
          </w:tcPr>
          <w:p w14:paraId="5CCCC72E" w14:textId="55A01481" w:rsidR="00136717" w:rsidRPr="00FB30B4" w:rsidRDefault="00FE3619"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lastRenderedPageBreak/>
              <w:t>Environmental risk</w:t>
            </w:r>
          </w:p>
          <w:p w14:paraId="0FF152E1" w14:textId="5DE0811F"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5" w14:textId="7E8B6FDD" w:rsidR="007820C3" w:rsidRPr="00FE3619" w:rsidRDefault="007820C3" w:rsidP="00A60F17">
            <w:pPr>
              <w:rPr>
                <w:rFonts w:ascii="Arial" w:hAnsi="Arial" w:cs="Arial"/>
                <w:color w:val="000000" w:themeColor="text1"/>
                <w:szCs w:val="24"/>
              </w:rPr>
            </w:pPr>
            <w:r w:rsidRPr="00FE3619">
              <w:rPr>
                <w:rFonts w:ascii="Arial" w:hAnsi="Arial" w:cs="Arial"/>
                <w:color w:val="000000" w:themeColor="text1"/>
                <w:szCs w:val="24"/>
              </w:rPr>
              <w:t xml:space="preserve">The operator considers this risk assessment is satisfactory. </w:t>
            </w:r>
          </w:p>
          <w:p w14:paraId="0FF152E9" w14:textId="77777777" w:rsidR="00FB30B4" w:rsidRPr="007820C3" w:rsidRDefault="00FB30B4" w:rsidP="00FE3619">
            <w:pPr>
              <w:pStyle w:val="BodyText"/>
              <w:rPr>
                <w:rFonts w:ascii="Arial" w:hAnsi="Arial" w:cs="Arial"/>
                <w:szCs w:val="24"/>
              </w:rPr>
            </w:pPr>
          </w:p>
        </w:tc>
        <w:tc>
          <w:tcPr>
            <w:tcW w:w="1072" w:type="dxa"/>
          </w:tcPr>
          <w:p w14:paraId="0FF152EA" w14:textId="3E855143" w:rsidR="007820C3" w:rsidRPr="00FB30B4" w:rsidRDefault="00FE3619"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1FB93B9A" w14:textId="77777777" w:rsidR="00FB30B4" w:rsidRDefault="004D1E92" w:rsidP="004D1E92">
            <w:pPr>
              <w:pStyle w:val="BodyText"/>
              <w:rPr>
                <w:rFonts w:ascii="Arial" w:hAnsi="Arial" w:cs="Arial"/>
                <w:szCs w:val="24"/>
              </w:rPr>
            </w:pPr>
            <w:r w:rsidRPr="004D1E92">
              <w:rPr>
                <w:rFonts w:ascii="Arial" w:hAnsi="Arial" w:cs="Arial"/>
                <w:szCs w:val="24"/>
              </w:rPr>
              <w:t xml:space="preserve">We have reviewed the techniques used by the operator and compared these with the relevant guidance notes according to TGN </w:t>
            </w:r>
            <w:proofErr w:type="gramStart"/>
            <w:r w:rsidRPr="004D1E92">
              <w:rPr>
                <w:rFonts w:ascii="Arial" w:hAnsi="Arial" w:cs="Arial"/>
                <w:szCs w:val="24"/>
              </w:rPr>
              <w:t>7.01 .</w:t>
            </w:r>
            <w:proofErr w:type="gramEnd"/>
            <w:r w:rsidRPr="004D1E92">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57422604" w:rsidR="004D1E92" w:rsidRPr="007820C3" w:rsidRDefault="004D1E92" w:rsidP="004D1E9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E361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748B36B" w:rsidR="0A08D9AA" w:rsidRPr="00C96FC9" w:rsidRDefault="004D1E92" w:rsidP="396B50C7">
            <w:pPr>
              <w:pStyle w:val="NormalWeb"/>
              <w:rPr>
                <w:rFonts w:ascii="Arial" w:eastAsia="Calibri" w:hAnsi="Arial" w:cs="Arial"/>
              </w:rPr>
            </w:pPr>
            <w:r w:rsidRPr="00C96FC9">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C96FC9">
              <w:rPr>
                <w:rFonts w:ascii="Arial" w:eastAsia="Calibri" w:hAnsi="Arial" w:cs="Arial"/>
              </w:rPr>
              <w:t>a  groundwater</w:t>
            </w:r>
            <w:proofErr w:type="gramEnd"/>
            <w:r w:rsidRPr="00C96FC9">
              <w:rPr>
                <w:rFonts w:ascii="Arial" w:eastAsia="Calibri"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4F" w14:textId="34C7B018" w:rsidR="00FB30B4" w:rsidRPr="00F42026" w:rsidRDefault="006765AE" w:rsidP="00FB30B4">
      <w:pPr>
        <w:pStyle w:val="Heading1"/>
        <w:jc w:val="left"/>
        <w:rPr>
          <w:color w:val="FF0000"/>
          <w:sz w:val="24"/>
        </w:rPr>
      </w:pPr>
      <w:r>
        <w:br w:type="page"/>
      </w:r>
      <w:r w:rsidR="00FB30B4" w:rsidRPr="00FE3619">
        <w:rPr>
          <w:color w:val="000000" w:themeColor="text1"/>
          <w:sz w:val="24"/>
        </w:rPr>
        <w:lastRenderedPageBreak/>
        <w:t>Annex 2: Consultation</w:t>
      </w:r>
      <w:r w:rsidR="00FE3619" w:rsidRPr="00FE3619">
        <w:rPr>
          <w:color w:val="000000" w:themeColor="text1"/>
          <w:sz w:val="24"/>
        </w:rPr>
        <w:t xml:space="preserve"> and</w:t>
      </w:r>
      <w:r w:rsidR="00FB30B4" w:rsidRPr="00FE3619">
        <w:rPr>
          <w:color w:val="000000" w:themeColor="text1"/>
          <w:sz w:val="24"/>
        </w:rPr>
        <w:t xml:space="preserve"> web publicising responses </w:t>
      </w:r>
    </w:p>
    <w:p w14:paraId="0FF15350" w14:textId="77777777" w:rsidR="00FB30B4" w:rsidRPr="00F42026" w:rsidRDefault="00FB30B4" w:rsidP="00FB30B4">
      <w:pPr>
        <w:pStyle w:val="Footer"/>
        <w:tabs>
          <w:tab w:val="clear" w:pos="4153"/>
          <w:tab w:val="clear" w:pos="8306"/>
        </w:tabs>
        <w:rPr>
          <w:rFonts w:ascii="Arial" w:hAnsi="Arial"/>
          <w:color w:val="FF0000"/>
        </w:rPr>
      </w:pPr>
    </w:p>
    <w:tbl>
      <w:tblPr>
        <w:tblStyle w:val="TableGrid"/>
        <w:tblW w:w="0" w:type="auto"/>
        <w:tblLook w:val="01E0" w:firstRow="1" w:lastRow="1" w:firstColumn="1" w:lastColumn="1" w:noHBand="0" w:noVBand="0"/>
      </w:tblPr>
      <w:tblGrid>
        <w:gridCol w:w="8296"/>
      </w:tblGrid>
      <w:tr w:rsidR="00FB30B4" w:rsidRPr="004243F4" w14:paraId="0FF15354" w14:textId="77777777" w:rsidTr="00FE3619">
        <w:tc>
          <w:tcPr>
            <w:tcW w:w="8296"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E3619">
        <w:trPr>
          <w:trHeight w:val="656"/>
        </w:trPr>
        <w:tc>
          <w:tcPr>
            <w:tcW w:w="8296" w:type="dxa"/>
            <w:tcBorders>
              <w:bottom w:val="single" w:sz="4" w:space="0" w:color="auto"/>
            </w:tcBorders>
          </w:tcPr>
          <w:p w14:paraId="0FF15355" w14:textId="6C311E24" w:rsidR="00FB30B4" w:rsidRPr="00136717" w:rsidRDefault="00FE3619" w:rsidP="00FB30B4">
            <w:pPr>
              <w:jc w:val="both"/>
              <w:rPr>
                <w:rFonts w:ascii="Arial" w:hAnsi="Arial" w:cs="Arial"/>
                <w:b/>
                <w:color w:val="FFFFFF" w:themeColor="background1"/>
              </w:rPr>
            </w:pPr>
            <w:r w:rsidRPr="00FE3619">
              <w:rPr>
                <w:rFonts w:ascii="Arial" w:hAnsi="Arial" w:cs="Arial"/>
                <w:b/>
                <w:color w:val="000000" w:themeColor="text1"/>
              </w:rPr>
              <w:t>TBC</w:t>
            </w:r>
          </w:p>
        </w:tc>
      </w:tr>
      <w:tr w:rsidR="00FB30B4" w:rsidRPr="004243F4" w14:paraId="0FF15358" w14:textId="77777777" w:rsidTr="00FE3619">
        <w:tc>
          <w:tcPr>
            <w:tcW w:w="8296"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FB30B4" w:rsidRPr="004243F4" w14:paraId="0FF1535A" w14:textId="77777777" w:rsidTr="00FE3619">
        <w:tc>
          <w:tcPr>
            <w:tcW w:w="8296" w:type="dxa"/>
            <w:tcBorders>
              <w:bottom w:val="single" w:sz="4" w:space="0" w:color="auto"/>
            </w:tcBorders>
          </w:tcPr>
          <w:p w14:paraId="0FF15359" w14:textId="67B2A837" w:rsidR="00FB30B4" w:rsidRPr="00FE3619" w:rsidRDefault="00FE3619" w:rsidP="00FB30B4">
            <w:pPr>
              <w:jc w:val="both"/>
              <w:rPr>
                <w:rFonts w:ascii="Arial" w:hAnsi="Arial" w:cs="Arial"/>
                <w:b/>
                <w:bCs/>
                <w:color w:val="FF0000"/>
              </w:rPr>
            </w:pPr>
            <w:r w:rsidRPr="00FE3619">
              <w:rPr>
                <w:rFonts w:ascii="Arial" w:hAnsi="Arial" w:cs="Arial"/>
                <w:b/>
                <w:bCs/>
                <w:color w:val="000000" w:themeColor="text1"/>
              </w:rPr>
              <w:t>TBC</w:t>
            </w:r>
          </w:p>
        </w:tc>
      </w:tr>
      <w:tr w:rsidR="00FB30B4" w:rsidRPr="004243F4" w14:paraId="0FF1535C" w14:textId="77777777" w:rsidTr="00FE3619">
        <w:tc>
          <w:tcPr>
            <w:tcW w:w="8296"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E3619">
        <w:tc>
          <w:tcPr>
            <w:tcW w:w="8296" w:type="dxa"/>
          </w:tcPr>
          <w:p w14:paraId="43CB5748" w14:textId="372261BA" w:rsidR="00FB30B4" w:rsidRPr="00FE3619" w:rsidRDefault="00FE3619" w:rsidP="00FB30B4">
            <w:pPr>
              <w:jc w:val="both"/>
              <w:rPr>
                <w:rFonts w:ascii="Arial" w:hAnsi="Arial" w:cs="Arial"/>
                <w:b/>
                <w:bCs/>
              </w:rPr>
            </w:pPr>
            <w:r w:rsidRPr="00FE3619">
              <w:rPr>
                <w:rFonts w:ascii="Arial" w:hAnsi="Arial" w:cs="Arial"/>
                <w:b/>
                <w:bCs/>
              </w:rPr>
              <w:t>TBC</w:t>
            </w:r>
          </w:p>
          <w:p w14:paraId="38CC2393" w14:textId="77777777" w:rsidR="00FE3619" w:rsidRDefault="00FE3619" w:rsidP="00FB30B4">
            <w:pPr>
              <w:jc w:val="both"/>
              <w:rPr>
                <w:rFonts w:ascii="Arial" w:hAnsi="Arial" w:cs="Arial"/>
              </w:rPr>
            </w:pPr>
          </w:p>
          <w:p w14:paraId="0FB38F49" w14:textId="77777777" w:rsidR="00FE3619" w:rsidRDefault="00FE3619" w:rsidP="00FB30B4">
            <w:pPr>
              <w:jc w:val="both"/>
              <w:rPr>
                <w:rFonts w:ascii="Arial" w:hAnsi="Arial" w:cs="Arial"/>
              </w:rPr>
            </w:pPr>
          </w:p>
          <w:p w14:paraId="0FF1535D" w14:textId="0A7D9B18" w:rsidR="00FE3619" w:rsidRPr="004243F4" w:rsidRDefault="00FE3619" w:rsidP="00FB30B4">
            <w:pPr>
              <w:jc w:val="both"/>
              <w:rPr>
                <w:rFonts w:ascii="Arial" w:hAnsi="Arial" w:cs="Arial"/>
              </w:rPr>
            </w:pPr>
          </w:p>
        </w:tc>
      </w:tr>
    </w:tbl>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1E92"/>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1418"/>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96FC9"/>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08E9"/>
    <w:rsid w:val="00FC29AE"/>
    <w:rsid w:val="00FD235E"/>
    <w:rsid w:val="00FD55E6"/>
    <w:rsid w:val="00FD759F"/>
    <w:rsid w:val="00FE1C38"/>
    <w:rsid w:val="00FE3619"/>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REGU-184-6544623</_dlc_DocId>
    <_dlc_DocIdUrl xmlns="9be56660-2c31-41ef-bc00-23e72f632f2a">
      <Url>https://cyfoethnaturiolcymru.sharepoint.com/teams/Regulatory/Permitting/_layouts/15/DocIdRedir.aspx?ID=REGU-184-6544623</Url>
      <Description>REGU-184-6544623</Description>
    </_dlc_DocIdUrl>
    <License_x002f_Activity_x0020_Type xmlns="859f7ad6-93f6-4205-b62b-a17f28acbbac">4. EPR Water Discharge</License_x002f_Activity_x0020_Type>
    <Site_x0020_Name xmlns="859f7ad6-93f6-4205-b62b-a17f28acbbac">Waun Mary Gunter Farm</Site_x0020_Name>
    <Internal_x002f_External xmlns="859f7ad6-93f6-4205-b62b-a17f28acbbac">Internal document</Internal_x002f_External>
    <Post_x0020_code xmlns="859f7ad6-93f6-4205-b62b-a17f28acbbac">NP4 9SJ</Post_x0020_code>
    <TaxCatchAll xmlns="859f7ad6-93f6-4205-b62b-a17f28acbbac" xsi:nil="tru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Waun Mary Gunter Farm, Blaenavon, Pontypool, NP4 9SJ</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2022-08-04T23:00:00+00:00</Document_x0020_Date>
    <Facility_x0020_Address xmlns="859f7ad6-93f6-4205-b62b-a17f28acbbac">Blaenavon, Pontypool</Facility_x0020_Address>
    <Environment_x0020_Sub_x0020_Folder xmlns="859f7ad6-93f6-4205-b62b-a17f28acbbac">Licences applications</Environment_x0020_Sub_x0020_Folder>
    <Customer_x0020_Name xmlns="859f7ad6-93f6-4205-b62b-a17f28acbbac">R Phillips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documentManagement/types"/>
    <ds:schemaRef ds:uri="b67299c9-1600-4d20-976e-ea8f199d05b8"/>
    <ds:schemaRef ds:uri="859f7ad6-93f6-4205-b62b-a17f28acbbac"/>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16A8C92-11C9-4DD2-96AF-06F2E5FEC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829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2022-03-24T11:28:00Z</dcterms:created>
  <dcterms:modified xsi:type="dcterms:W3CDTF">2022-08-05T15:16:00Z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cda97bba-c089-4bf4-90ee-b8fb261cdb92</vt:lpwstr>
  </property>
  <property fmtid="{D5CDD505-2E9C-101B-9397-08002B2CF9AE}" pid="11" name="SharedWithUsers">
    <vt:lpwstr/>
  </property>
  <property fmtid="{D5CDD505-2E9C-101B-9397-08002B2CF9AE}" pid="12" name="MediaServiceImageTags">
    <vt:lpwstr/>
  </property>
</Properties>
</file>