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A0E406E" w:rsidR="00D04424" w:rsidRPr="00E16A48" w:rsidRDefault="0014332B" w:rsidP="003719AD">
      <w:pPr>
        <w:pStyle w:val="Heading1"/>
        <w:spacing w:before="0" w:after="0"/>
        <w:jc w:val="left"/>
        <w:rPr>
          <w:bCs/>
          <w:color w:val="auto"/>
          <w:sz w:val="32"/>
        </w:rPr>
      </w:pPr>
      <w:r w:rsidRPr="00E16A48">
        <w:rPr>
          <w:bCs/>
          <w:color w:val="auto"/>
          <w:sz w:val="32"/>
        </w:rPr>
        <w:t>Bespoke p</w:t>
      </w:r>
      <w:r w:rsidR="00D04424" w:rsidRPr="00E16A48">
        <w:rPr>
          <w:bCs/>
          <w:color w:val="auto"/>
          <w:sz w:val="32"/>
        </w:rPr>
        <w:t>ermit</w:t>
      </w:r>
      <w:r w:rsidR="00B73ECB" w:rsidRPr="00E16A48">
        <w:rPr>
          <w:bCs/>
          <w:color w:val="auto"/>
          <w:sz w:val="32"/>
        </w:rPr>
        <w:t xml:space="preserve"> </w:t>
      </w:r>
    </w:p>
    <w:p w14:paraId="0FF1524F" w14:textId="77777777" w:rsidR="007820C3" w:rsidRPr="002B6C00" w:rsidRDefault="007820C3" w:rsidP="00D04424">
      <w:pPr>
        <w:rPr>
          <w:rFonts w:ascii="Arial" w:hAnsi="Arial" w:cs="Arial"/>
          <w:szCs w:val="24"/>
        </w:rPr>
      </w:pPr>
    </w:p>
    <w:p w14:paraId="0FF15250" w14:textId="682681AC" w:rsidR="00D04424" w:rsidRPr="002B6C00" w:rsidRDefault="0060457F" w:rsidP="006B0BFB">
      <w:pPr>
        <w:spacing w:after="120"/>
        <w:rPr>
          <w:rFonts w:ascii="Arial" w:hAnsi="Arial" w:cs="Arial"/>
          <w:szCs w:val="24"/>
        </w:rPr>
      </w:pPr>
      <w:r w:rsidRPr="002B6C00">
        <w:rPr>
          <w:rFonts w:ascii="Arial" w:hAnsi="Arial" w:cs="Arial"/>
          <w:szCs w:val="24"/>
        </w:rPr>
        <w:t xml:space="preserve">We have decided to </w:t>
      </w:r>
      <w:r w:rsidR="00D2020E" w:rsidRPr="002B6C00">
        <w:rPr>
          <w:rFonts w:ascii="Arial" w:hAnsi="Arial" w:cs="Arial"/>
          <w:szCs w:val="24"/>
        </w:rPr>
        <w:t>grant</w:t>
      </w:r>
      <w:r w:rsidR="00E16A48" w:rsidRPr="002B6C00">
        <w:rPr>
          <w:rFonts w:ascii="Arial" w:hAnsi="Arial" w:cs="Arial"/>
          <w:szCs w:val="24"/>
        </w:rPr>
        <w:t xml:space="preserve"> </w:t>
      </w:r>
      <w:r w:rsidRPr="002B6C00">
        <w:rPr>
          <w:rFonts w:ascii="Arial" w:hAnsi="Arial" w:cs="Arial"/>
          <w:szCs w:val="24"/>
        </w:rPr>
        <w:t xml:space="preserve">the permit for </w:t>
      </w:r>
      <w:r w:rsidR="00444C6A" w:rsidRPr="002B6C00">
        <w:rPr>
          <w:rFonts w:ascii="Arial" w:hAnsi="Arial" w:cs="Arial"/>
          <w:szCs w:val="24"/>
        </w:rPr>
        <w:t xml:space="preserve">Fairfield </w:t>
      </w:r>
      <w:r w:rsidRPr="002B6C00">
        <w:rPr>
          <w:rFonts w:ascii="Arial" w:hAnsi="Arial" w:cs="Arial"/>
          <w:szCs w:val="24"/>
        </w:rPr>
        <w:t xml:space="preserve">operated by </w:t>
      </w:r>
      <w:r w:rsidR="002B6C00" w:rsidRPr="002B6C00">
        <w:rPr>
          <w:rFonts w:ascii="Arial" w:hAnsi="Arial" w:cs="Arial"/>
          <w:szCs w:val="24"/>
        </w:rPr>
        <w:t>Ms Melanie Higgins</w:t>
      </w:r>
      <w:r w:rsidR="001034AC" w:rsidRPr="002B6C00">
        <w:rPr>
          <w:rFonts w:ascii="Arial" w:hAnsi="Arial" w:cs="Arial"/>
          <w:szCs w:val="24"/>
        </w:rPr>
        <w:t>.</w:t>
      </w:r>
    </w:p>
    <w:p w14:paraId="178F17B4" w14:textId="69EDC228"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2B6C00" w:rsidRPr="002B6C00">
        <w:rPr>
          <w:rFonts w:ascii="Arial" w:hAnsi="Arial"/>
          <w:szCs w:val="24"/>
        </w:rPr>
        <w:t>PAN-017391</w:t>
      </w:r>
    </w:p>
    <w:p w14:paraId="0FF15251" w14:textId="22DFEFD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8D60E2">
        <w:rPr>
          <w:rFonts w:ascii="Arial" w:hAnsi="Arial"/>
          <w:szCs w:val="24"/>
        </w:rPr>
        <w:t xml:space="preserve">number is </w:t>
      </w:r>
      <w:r w:rsidR="008D60E2" w:rsidRPr="008D60E2">
        <w:rPr>
          <w:rFonts w:ascii="Arial" w:hAnsi="Arial"/>
          <w:szCs w:val="24"/>
        </w:rPr>
        <w:t>EPR/CB3696ZZ</w:t>
      </w:r>
    </w:p>
    <w:bookmarkEnd w:id="0"/>
    <w:bookmarkEnd w:id="1"/>
    <w:p w14:paraId="0C6E01C0" w14:textId="77777777" w:rsidR="001A650B" w:rsidRDefault="001A650B" w:rsidP="006B0BFB">
      <w:pPr>
        <w:spacing w:after="120"/>
        <w:rPr>
          <w:rFonts w:ascii="Arial" w:hAnsi="Arial"/>
          <w:color w:val="000000"/>
        </w:rPr>
      </w:pPr>
      <w:r w:rsidRPr="001A650B">
        <w:rPr>
          <w:rFonts w:ascii="Arial" w:hAnsi="Arial"/>
          <w:color w:val="000000"/>
        </w:rPr>
        <w:t>The permit regulates a new water discharge activity permit to surface water. A maximum of 1.5m3/day of secondary treated domestic effluent is to be discharged from a 5-bedroom property into a seasonally dry ditch (Cat Brook). Sewage effluent is to be treated via a British Standard Package Treatment Plant prior to being pumped to a 10-metre-long perforated pipe which terminates at Cat Brook.</w:t>
      </w:r>
    </w:p>
    <w:p w14:paraId="0FF15253" w14:textId="7ACC588D"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66ED3B56" w:rsidR="006420BA" w:rsidRPr="00FA4B3E"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E293E2B" w14:textId="5595F907" w:rsidR="006767CA" w:rsidRPr="00FA4B3E" w:rsidRDefault="00FA4B3E" w:rsidP="00FA4B3E">
      <w:pPr>
        <w:numPr>
          <w:ilvl w:val="0"/>
          <w:numId w:val="17"/>
        </w:numPr>
        <w:tabs>
          <w:tab w:val="clear" w:pos="1440"/>
          <w:tab w:val="num" w:pos="1134"/>
        </w:tabs>
        <w:spacing w:after="60"/>
        <w:ind w:left="1134" w:hanging="567"/>
        <w:rPr>
          <w:rFonts w:ascii="Arial" w:hAnsi="Arial"/>
          <w:szCs w:val="24"/>
        </w:rPr>
      </w:pPr>
      <w:r w:rsidRPr="00FA4B3E">
        <w:rPr>
          <w:rFonts w:ascii="Arial" w:hAnsi="Arial"/>
          <w:szCs w:val="24"/>
        </w:rPr>
        <w:t>Annex 2 the consultation</w:t>
      </w:r>
      <w:r>
        <w:rPr>
          <w:rFonts w:ascii="Arial" w:hAnsi="Arial"/>
          <w:szCs w:val="24"/>
        </w:rPr>
        <w:t xml:space="preserve"> </w:t>
      </w:r>
      <w:r w:rsidRPr="00FA4B3E">
        <w:rPr>
          <w:rFonts w:ascii="Arial" w:hAnsi="Arial"/>
          <w:szCs w:val="24"/>
        </w:rPr>
        <w:t>responses</w:t>
      </w:r>
    </w:p>
    <w:p w14:paraId="048F4968" w14:textId="757F6F63" w:rsidR="006767CA" w:rsidRDefault="006767CA" w:rsidP="005B6A95">
      <w:pPr>
        <w:pStyle w:val="Heading1"/>
        <w:rPr>
          <w:bCs/>
          <w:sz w:val="24"/>
        </w:rPr>
      </w:pPr>
    </w:p>
    <w:p w14:paraId="34E10DBF" w14:textId="77777777" w:rsidR="00FA4B3E" w:rsidRPr="00FA4B3E" w:rsidRDefault="00FA4B3E" w:rsidP="00FA4B3E"/>
    <w:p w14:paraId="7C1FA591" w14:textId="77777777" w:rsidR="006767CA" w:rsidRDefault="006767CA" w:rsidP="005B6A95">
      <w:pPr>
        <w:pStyle w:val="Heading1"/>
        <w:rPr>
          <w:bCs/>
          <w:sz w:val="24"/>
        </w:rPr>
      </w:pPr>
    </w:p>
    <w:p w14:paraId="0AB88C6C" w14:textId="4CFAA103" w:rsidR="006767CA" w:rsidRDefault="006767CA" w:rsidP="005B6A95">
      <w:pPr>
        <w:pStyle w:val="Heading1"/>
        <w:rPr>
          <w:bCs/>
          <w:sz w:val="24"/>
        </w:rPr>
      </w:pPr>
    </w:p>
    <w:p w14:paraId="45FFCA74" w14:textId="77777777" w:rsidR="006767CA" w:rsidRPr="006767CA" w:rsidRDefault="006767CA" w:rsidP="006767CA"/>
    <w:p w14:paraId="0FF15271" w14:textId="651FA98E"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B63D64A" w:rsidR="007820C3" w:rsidRPr="000F4919" w:rsidRDefault="007820C3" w:rsidP="007820C3">
            <w:pPr>
              <w:pStyle w:val="Heading3"/>
              <w:spacing w:before="60"/>
              <w:rPr>
                <w:rFonts w:ascii="Arial" w:hAnsi="Arial" w:cs="Arial"/>
                <w:b w:val="0"/>
                <w:szCs w:val="24"/>
                <w:highlight w:val="red"/>
              </w:rPr>
            </w:pPr>
            <w:r w:rsidRPr="000F4919">
              <w:rPr>
                <w:rFonts w:ascii="Arial" w:hAnsi="Arial" w:cs="Arial"/>
                <w:b w:val="0"/>
                <w:szCs w:val="24"/>
              </w:rPr>
              <w:t xml:space="preserve">Responses to </w:t>
            </w:r>
            <w:r w:rsidR="00FA4B3E">
              <w:rPr>
                <w:rFonts w:ascii="Arial" w:hAnsi="Arial" w:cs="Arial"/>
                <w:b w:val="0"/>
                <w:szCs w:val="24"/>
              </w:rPr>
              <w:t xml:space="preserve">consultation and </w:t>
            </w:r>
            <w:r w:rsidRPr="000F4919">
              <w:rPr>
                <w:rFonts w:ascii="Arial" w:hAnsi="Arial" w:cs="Arial"/>
                <w:b w:val="0"/>
                <w:szCs w:val="24"/>
              </w:rPr>
              <w:t xml:space="preserve">web publicising </w:t>
            </w:r>
          </w:p>
        </w:tc>
        <w:tc>
          <w:tcPr>
            <w:tcW w:w="6266" w:type="dxa"/>
            <w:tcBorders>
              <w:bottom w:val="single" w:sz="4" w:space="0" w:color="auto"/>
            </w:tcBorders>
          </w:tcPr>
          <w:p w14:paraId="0FF1529A" w14:textId="7192EC5E" w:rsidR="007820C3" w:rsidRPr="000F4919" w:rsidRDefault="007820C3" w:rsidP="007820C3">
            <w:pPr>
              <w:spacing w:before="60"/>
              <w:rPr>
                <w:rFonts w:ascii="Arial" w:hAnsi="Arial" w:cs="Arial"/>
                <w:szCs w:val="24"/>
              </w:rPr>
            </w:pPr>
            <w:r w:rsidRPr="000F4919">
              <w:rPr>
                <w:rFonts w:ascii="Arial" w:hAnsi="Arial" w:cs="Arial"/>
                <w:szCs w:val="24"/>
              </w:rPr>
              <w:t xml:space="preserve">The </w:t>
            </w:r>
            <w:r w:rsidR="00FA4B3E">
              <w:rPr>
                <w:rFonts w:ascii="Arial" w:hAnsi="Arial" w:cs="Arial"/>
                <w:szCs w:val="24"/>
              </w:rPr>
              <w:t xml:space="preserve">consultation and </w:t>
            </w:r>
            <w:r w:rsidRPr="000F4919">
              <w:rPr>
                <w:rFonts w:ascii="Arial" w:hAnsi="Arial" w:cs="Arial"/>
                <w:szCs w:val="24"/>
              </w:rPr>
              <w:t>web publicising</w:t>
            </w:r>
            <w:r w:rsidR="000F4919" w:rsidRPr="000F4919">
              <w:rPr>
                <w:rFonts w:ascii="Arial" w:hAnsi="Arial" w:cs="Arial"/>
                <w:szCs w:val="24"/>
              </w:rPr>
              <w:t xml:space="preserve"> </w:t>
            </w:r>
            <w:r w:rsidRPr="000F4919">
              <w:rPr>
                <w:rFonts w:ascii="Arial" w:hAnsi="Arial" w:cs="Arial"/>
                <w:szCs w:val="24"/>
              </w:rPr>
              <w:t xml:space="preserve">responses </w:t>
            </w:r>
            <w:r w:rsidR="00FA4B3E">
              <w:rPr>
                <w:rFonts w:ascii="Arial" w:hAnsi="Arial" w:cs="Arial"/>
                <w:szCs w:val="24"/>
              </w:rPr>
              <w:t xml:space="preserve">(Annex 2) </w:t>
            </w:r>
            <w:r w:rsidRPr="000F4919">
              <w:rPr>
                <w:rFonts w:ascii="Arial" w:hAnsi="Arial" w:cs="Arial"/>
                <w:szCs w:val="24"/>
              </w:rPr>
              <w:t xml:space="preserve">were </w:t>
            </w:r>
            <w:proofErr w:type="gramStart"/>
            <w:r w:rsidRPr="000F4919">
              <w:rPr>
                <w:rFonts w:ascii="Arial" w:hAnsi="Arial" w:cs="Arial"/>
                <w:szCs w:val="24"/>
              </w:rPr>
              <w:t>taken into account</w:t>
            </w:r>
            <w:proofErr w:type="gramEnd"/>
            <w:r w:rsidRPr="000F4919">
              <w:rPr>
                <w:rFonts w:ascii="Arial" w:hAnsi="Arial" w:cs="Arial"/>
                <w:szCs w:val="24"/>
              </w:rPr>
              <w:t xml:space="preserve"> in the decision.  </w:t>
            </w:r>
          </w:p>
          <w:p w14:paraId="0FF1529B" w14:textId="3096F218" w:rsidR="007820C3" w:rsidRPr="000F4919" w:rsidRDefault="007820C3" w:rsidP="007820C3">
            <w:pPr>
              <w:spacing w:before="60"/>
              <w:rPr>
                <w:rFonts w:ascii="Arial" w:hAnsi="Arial" w:cs="Arial"/>
                <w:szCs w:val="24"/>
              </w:rPr>
            </w:pPr>
          </w:p>
          <w:p w14:paraId="29D25E6F" w14:textId="143E85AC" w:rsidR="000F4919" w:rsidRPr="000F4919" w:rsidRDefault="000F4919" w:rsidP="007820C3">
            <w:pPr>
              <w:spacing w:before="60"/>
              <w:rPr>
                <w:rFonts w:ascii="Arial" w:hAnsi="Arial" w:cs="Arial"/>
                <w:szCs w:val="24"/>
              </w:rPr>
            </w:pPr>
            <w:r w:rsidRPr="000F4919">
              <w:rPr>
                <w:rFonts w:ascii="Arial" w:hAnsi="Arial" w:cs="Arial"/>
                <w:szCs w:val="24"/>
              </w:rPr>
              <w:t>No responses were received from web publicising.</w:t>
            </w:r>
          </w:p>
          <w:p w14:paraId="18E6236C" w14:textId="77777777" w:rsidR="000F4919" w:rsidRPr="000F4919" w:rsidRDefault="000F4919" w:rsidP="007820C3">
            <w:pPr>
              <w:spacing w:before="60"/>
              <w:rPr>
                <w:rFonts w:ascii="Arial" w:hAnsi="Arial" w:cs="Arial"/>
                <w:szCs w:val="24"/>
              </w:rPr>
            </w:pPr>
          </w:p>
          <w:p w14:paraId="0FF1529C" w14:textId="77777777" w:rsidR="007820C3" w:rsidRPr="000F4919" w:rsidRDefault="007820C3" w:rsidP="007820C3">
            <w:pPr>
              <w:spacing w:before="60"/>
              <w:rPr>
                <w:rFonts w:ascii="Arial" w:hAnsi="Arial" w:cs="Arial"/>
                <w:szCs w:val="24"/>
              </w:rPr>
            </w:pPr>
            <w:r w:rsidRPr="000F4919">
              <w:rPr>
                <w:rFonts w:ascii="Arial" w:hAnsi="Arial" w:cs="Arial"/>
                <w:szCs w:val="24"/>
              </w:rPr>
              <w:t xml:space="preserve">The decision was taken in accordance with our guidance. </w:t>
            </w:r>
          </w:p>
          <w:p w14:paraId="0FF1529D" w14:textId="77777777" w:rsidR="007820C3" w:rsidRPr="000F4919"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AE7E57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0F4919" w:rsidRDefault="00AF4C00" w:rsidP="0016775A">
            <w:pPr>
              <w:rPr>
                <w:rFonts w:ascii="Arial" w:hAnsi="Arial" w:cs="Arial"/>
              </w:rPr>
            </w:pPr>
            <w:r w:rsidRPr="000F4919">
              <w:rPr>
                <w:rFonts w:ascii="Arial" w:hAnsi="Arial" w:cs="Arial"/>
                <w:szCs w:val="24"/>
              </w:rPr>
              <w:t xml:space="preserve">The </w:t>
            </w:r>
            <w:r w:rsidR="00EC6B7A" w:rsidRPr="000F4919">
              <w:rPr>
                <w:rFonts w:ascii="Arial" w:hAnsi="Arial" w:cs="Arial"/>
                <w:szCs w:val="24"/>
              </w:rPr>
              <w:t>discharge</w:t>
            </w:r>
            <w:r w:rsidR="003A1935" w:rsidRPr="000F4919">
              <w:rPr>
                <w:rFonts w:ascii="Arial" w:hAnsi="Arial" w:cs="Arial"/>
                <w:szCs w:val="24"/>
              </w:rPr>
              <w:t xml:space="preserve"> activity</w:t>
            </w:r>
            <w:r w:rsidR="00EC6B7A" w:rsidRPr="000F4919">
              <w:rPr>
                <w:rFonts w:ascii="Arial" w:hAnsi="Arial" w:cs="Arial"/>
                <w:szCs w:val="24"/>
              </w:rPr>
              <w:t xml:space="preserve"> screens out from needing further assessment under WFD as it is not in </w:t>
            </w:r>
            <w:r w:rsidR="009A341D" w:rsidRPr="000F4919">
              <w:rPr>
                <w:rFonts w:ascii="Arial" w:hAnsi="Arial" w:cs="Arial"/>
              </w:rPr>
              <w:t xml:space="preserve">a </w:t>
            </w:r>
            <w:r w:rsidR="00930E1C" w:rsidRPr="000F4919">
              <w:rPr>
                <w:rFonts w:ascii="Arial" w:hAnsi="Arial" w:cs="Arial"/>
              </w:rPr>
              <w:t>water body at high status or high status for morphology</w:t>
            </w:r>
            <w:r w:rsidR="00B13426" w:rsidRPr="000F4919">
              <w:rPr>
                <w:rFonts w:ascii="Arial" w:hAnsi="Arial" w:cs="Arial"/>
              </w:rPr>
              <w:t>,</w:t>
            </w:r>
            <w:r w:rsidR="001B000A" w:rsidRPr="000F4919">
              <w:rPr>
                <w:rFonts w:ascii="Arial" w:hAnsi="Arial" w:cs="Arial"/>
              </w:rPr>
              <w:t xml:space="preserve"> and it</w:t>
            </w:r>
            <w:r w:rsidR="00B13426" w:rsidRPr="000F4919">
              <w:rPr>
                <w:rFonts w:ascii="Arial" w:hAnsi="Arial" w:cs="Arial"/>
              </w:rPr>
              <w:t xml:space="preserve"> is </w:t>
            </w:r>
            <w:r w:rsidR="004709A1" w:rsidRPr="000F4919">
              <w:rPr>
                <w:rFonts w:ascii="Arial" w:hAnsi="Arial" w:cs="Arial"/>
              </w:rPr>
              <w:t xml:space="preserve">listed in Annex D as a low risk activity </w:t>
            </w:r>
            <w:r w:rsidR="001B000A" w:rsidRPr="000F4919">
              <w:rPr>
                <w:rFonts w:ascii="Arial" w:hAnsi="Arial" w:cs="Arial"/>
              </w:rPr>
              <w:t>plus</w:t>
            </w:r>
            <w:r w:rsidR="004709A1" w:rsidRPr="000F4919">
              <w:rPr>
                <w:rFonts w:ascii="Arial" w:hAnsi="Arial" w:cs="Arial"/>
              </w:rPr>
              <w:t xml:space="preserve"> there is no in combination </w:t>
            </w:r>
            <w:r w:rsidR="0040420C" w:rsidRPr="000F4919">
              <w:rPr>
                <w:rFonts w:ascii="Arial" w:hAnsi="Arial" w:cs="Arial"/>
              </w:rPr>
              <w:t>impact</w:t>
            </w:r>
            <w:r w:rsidR="00C920B9" w:rsidRPr="000F4919">
              <w:rPr>
                <w:rFonts w:ascii="Arial" w:hAnsi="Arial" w:cs="Arial"/>
              </w:rPr>
              <w:t>.</w:t>
            </w:r>
          </w:p>
          <w:p w14:paraId="1A914022" w14:textId="77777777" w:rsidR="007676FA" w:rsidRPr="000F4919" w:rsidRDefault="007676FA" w:rsidP="0016775A">
            <w:pPr>
              <w:rPr>
                <w:rFonts w:ascii="Arial" w:hAnsi="Arial" w:cs="Arial"/>
              </w:rPr>
            </w:pPr>
          </w:p>
          <w:p w14:paraId="71AE0088" w14:textId="3225927F" w:rsidR="007676FA" w:rsidRPr="000F4919" w:rsidRDefault="00B31727" w:rsidP="0016775A">
            <w:pPr>
              <w:rPr>
                <w:rFonts w:ascii="Arial" w:hAnsi="Arial" w:cs="Arial"/>
                <w:szCs w:val="24"/>
              </w:rPr>
            </w:pPr>
            <w:r w:rsidRPr="000F4919">
              <w:rPr>
                <w:rFonts w:ascii="Arial" w:hAnsi="Arial" w:cs="Arial"/>
              </w:rPr>
              <w:t xml:space="preserve">WFD stage 1 screening has been completed and the activity/project have been ruled out as not requiring any further WFD Regulations 2017 assessment. </w:t>
            </w:r>
            <w:proofErr w:type="gramStart"/>
            <w:r w:rsidRPr="000F4919">
              <w:rPr>
                <w:rFonts w:ascii="Arial" w:hAnsi="Arial" w:cs="Arial"/>
              </w:rPr>
              <w:t>Or,</w:t>
            </w:r>
            <w:proofErr w:type="gramEnd"/>
            <w:r w:rsidRPr="000F4919">
              <w:rPr>
                <w:rFonts w:ascii="Arial" w:hAnsi="Arial" w:cs="Arial"/>
              </w:rPr>
              <w:t xml:space="preserve"> further assessment is </w:t>
            </w:r>
            <w:r w:rsidRPr="000F4919">
              <w:rPr>
                <w:rFonts w:ascii="Arial" w:hAnsi="Arial" w:cs="Arial"/>
                <w:b/>
                <w:bCs/>
              </w:rPr>
              <w:t>not required</w:t>
            </w:r>
            <w:r w:rsidRPr="000F4919">
              <w:rPr>
                <w:rFonts w:ascii="Arial" w:hAnsi="Arial" w:cs="Arial"/>
              </w:rPr>
              <w:t xml:space="preserve"> because there is </w:t>
            </w:r>
            <w:r w:rsidRPr="000F4919">
              <w:rPr>
                <w:rFonts w:ascii="Arial" w:hAnsi="Arial" w:cs="Arial"/>
                <w:b/>
                <w:bCs/>
              </w:rPr>
              <w:t>no conceivable impact pathway</w:t>
            </w:r>
            <w:r w:rsidRPr="000F4919">
              <w:rPr>
                <w:rFonts w:ascii="Arial" w:hAnsi="Arial" w:cs="Arial"/>
              </w:rPr>
              <w:t xml:space="preserve"> to any water body or Protected Area.</w:t>
            </w:r>
          </w:p>
          <w:p w14:paraId="7DEDFFF1" w14:textId="0D00EA93" w:rsidR="002967CA" w:rsidRPr="000F4919" w:rsidRDefault="002967CA" w:rsidP="000F4919">
            <w:pPr>
              <w:spacing w:before="60"/>
              <w:rPr>
                <w:rFonts w:ascii="Arial" w:hAnsi="Arial" w:cs="Arial"/>
                <w:color w:val="FF00FF"/>
                <w:szCs w:val="24"/>
              </w:rPr>
            </w:pPr>
          </w:p>
        </w:tc>
        <w:tc>
          <w:tcPr>
            <w:tcW w:w="1072" w:type="dxa"/>
          </w:tcPr>
          <w:p w14:paraId="2E80C0FB" w14:textId="3798B49C" w:rsidR="00D512DF" w:rsidRPr="00FB30B4" w:rsidRDefault="000F4919"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4CF8FA37" w:rsidR="007820C3" w:rsidRPr="000F4919"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0F4919" w:rsidRDefault="00136717" w:rsidP="00136717">
            <w:pPr>
              <w:rPr>
                <w:rFonts w:ascii="Arial" w:hAnsi="Arial" w:cs="Arial"/>
                <w:szCs w:val="24"/>
              </w:rPr>
            </w:pPr>
            <w:r w:rsidRPr="000F4919">
              <w:rPr>
                <w:rFonts w:ascii="Arial" w:hAnsi="Arial" w:cs="Arial"/>
                <w:szCs w:val="24"/>
              </w:rPr>
              <w:t>Habitat Regulation Assessment for a designated site under the EU Habitats Directive</w:t>
            </w:r>
          </w:p>
        </w:tc>
        <w:tc>
          <w:tcPr>
            <w:tcW w:w="6266" w:type="dxa"/>
          </w:tcPr>
          <w:p w14:paraId="7D987494" w14:textId="77777777" w:rsidR="00136717" w:rsidRPr="000F4919" w:rsidRDefault="00136717" w:rsidP="00136717">
            <w:pPr>
              <w:spacing w:before="60"/>
              <w:rPr>
                <w:rFonts w:ascii="Arial" w:hAnsi="Arial" w:cs="Arial"/>
                <w:szCs w:val="24"/>
              </w:rPr>
            </w:pPr>
            <w:r w:rsidRPr="000F4919">
              <w:rPr>
                <w:rFonts w:ascii="Arial" w:hAnsi="Arial" w:cs="Arial"/>
                <w:szCs w:val="24"/>
              </w:rPr>
              <w:t>No FORM 1 completed:</w:t>
            </w:r>
          </w:p>
          <w:p w14:paraId="5CBD4E4C" w14:textId="77777777" w:rsidR="00136717" w:rsidRPr="000F4919" w:rsidRDefault="00136717" w:rsidP="00136717">
            <w:pPr>
              <w:spacing w:before="60"/>
              <w:rPr>
                <w:rFonts w:ascii="Arial" w:hAnsi="Arial" w:cs="Arial"/>
                <w:szCs w:val="24"/>
              </w:rPr>
            </w:pPr>
          </w:p>
          <w:p w14:paraId="26EEC7D5" w14:textId="474593F5" w:rsidR="00136717" w:rsidRPr="00FA4B3E" w:rsidRDefault="00136717" w:rsidP="000F4919">
            <w:pPr>
              <w:spacing w:before="60"/>
              <w:rPr>
                <w:rFonts w:ascii="Arial" w:hAnsi="Arial" w:cs="Arial"/>
                <w:szCs w:val="24"/>
              </w:rPr>
            </w:pPr>
            <w:r w:rsidRPr="000F4919">
              <w:rPr>
                <w:rFonts w:ascii="Arial" w:hAnsi="Arial" w:cs="Arial"/>
                <w:szCs w:val="24"/>
              </w:rPr>
              <w:t xml:space="preserve">HRA is not required because there is no conceivable impact pathway to any Natura 2000/Ramsar site </w:t>
            </w:r>
            <w:r w:rsidRPr="000F4919">
              <w:rPr>
                <w:rFonts w:ascii="Arial" w:hAnsi="Arial" w:cs="Arial"/>
              </w:rPr>
              <w:t>by virtue of the scale or location or nature of the project.</w:t>
            </w:r>
          </w:p>
          <w:p w14:paraId="67AFC2B0" w14:textId="0C36A1ED" w:rsidR="000F4919" w:rsidRPr="000F4919" w:rsidRDefault="000F4919" w:rsidP="000F4919">
            <w:pPr>
              <w:spacing w:before="60"/>
              <w:rPr>
                <w:rFonts w:ascii="Arial" w:hAnsi="Arial" w:cs="Arial"/>
              </w:rPr>
            </w:pPr>
          </w:p>
        </w:tc>
        <w:tc>
          <w:tcPr>
            <w:tcW w:w="1072" w:type="dxa"/>
          </w:tcPr>
          <w:p w14:paraId="5CCCC72E" w14:textId="5E546C30" w:rsidR="00136717" w:rsidRPr="00FB30B4" w:rsidRDefault="000F491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A502B6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0F4919" w:rsidRDefault="00FB30B4" w:rsidP="00A60F17">
            <w:pPr>
              <w:rPr>
                <w:rFonts w:ascii="Arial" w:hAnsi="Arial" w:cs="Arial"/>
                <w:szCs w:val="24"/>
              </w:rPr>
            </w:pPr>
          </w:p>
          <w:p w14:paraId="0FF152E4" w14:textId="77777777" w:rsidR="007820C3" w:rsidRPr="000F4919" w:rsidRDefault="007820C3" w:rsidP="00A60F17">
            <w:pPr>
              <w:rPr>
                <w:rFonts w:ascii="Arial" w:hAnsi="Arial" w:cs="Arial"/>
                <w:szCs w:val="24"/>
              </w:rPr>
            </w:pPr>
            <w:r w:rsidRPr="000F4919">
              <w:rPr>
                <w:rFonts w:ascii="Arial" w:hAnsi="Arial" w:cs="Arial"/>
                <w:szCs w:val="24"/>
              </w:rPr>
              <w:t xml:space="preserve">The operator considers this risk assessment is satisfactory. </w:t>
            </w:r>
          </w:p>
          <w:p w14:paraId="0FF152E7" w14:textId="77777777" w:rsidR="007820C3" w:rsidRPr="000F4919" w:rsidRDefault="007820C3" w:rsidP="00A60F17">
            <w:pPr>
              <w:rPr>
                <w:rFonts w:ascii="Arial" w:hAnsi="Arial" w:cs="Arial"/>
                <w:szCs w:val="24"/>
              </w:rPr>
            </w:pPr>
          </w:p>
          <w:p w14:paraId="0FF152E8" w14:textId="7C63E78C" w:rsidR="007820C3" w:rsidRPr="000F4919" w:rsidRDefault="007820C3" w:rsidP="00A60F17">
            <w:pPr>
              <w:pStyle w:val="BodyText"/>
              <w:rPr>
                <w:rFonts w:ascii="Arial" w:hAnsi="Arial" w:cs="Arial"/>
                <w:color w:val="auto"/>
                <w:szCs w:val="24"/>
              </w:rPr>
            </w:pPr>
            <w:r w:rsidRPr="000F4919">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CD14636" w:rsidR="007820C3" w:rsidRPr="00FB30B4" w:rsidRDefault="000F4919"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0180041" w:rsidR="007820C3" w:rsidRPr="007820C3" w:rsidRDefault="007820C3" w:rsidP="00792CEE">
            <w:pPr>
              <w:pStyle w:val="BodyText"/>
              <w:rPr>
                <w:rFonts w:ascii="Arial" w:hAnsi="Arial" w:cs="Arial"/>
                <w:color w:val="FF00FF"/>
                <w:szCs w:val="24"/>
              </w:rPr>
            </w:pPr>
          </w:p>
          <w:p w14:paraId="0FF152EF" w14:textId="2E54A2E2" w:rsidR="007820C3" w:rsidRPr="000F4919" w:rsidRDefault="007820C3" w:rsidP="00792CEE">
            <w:pPr>
              <w:pStyle w:val="BodyText"/>
              <w:rPr>
                <w:rFonts w:ascii="Arial" w:hAnsi="Arial" w:cs="Arial"/>
                <w:color w:val="auto"/>
                <w:szCs w:val="24"/>
              </w:rPr>
            </w:pPr>
            <w:r w:rsidRPr="000F4919">
              <w:rPr>
                <w:rFonts w:ascii="Arial" w:hAnsi="Arial" w:cs="Arial"/>
                <w:color w:val="auto"/>
                <w:szCs w:val="24"/>
              </w:rPr>
              <w:t xml:space="preserve">The proposed techniques / emission levels for priorities for control are in line with the benchmark levels contained in the TGN </w:t>
            </w:r>
            <w:r w:rsidR="000F4919" w:rsidRPr="000F4919">
              <w:rPr>
                <w:rFonts w:ascii="Arial" w:hAnsi="Arial" w:cs="Arial"/>
                <w:color w:val="auto"/>
                <w:szCs w:val="24"/>
              </w:rPr>
              <w:t xml:space="preserve">(EPR 7.01) </w:t>
            </w:r>
            <w:r w:rsidRPr="000F4919">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0F491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0464E702" w14:textId="11D7D240" w:rsidR="00E96702" w:rsidRPr="000F4919"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E4A49F4"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396B50C7">
              <w:rPr>
                <w:rFonts w:ascii="Arial" w:eastAsia="Arial" w:hAnsi="Arial" w:cs="Arial"/>
                <w:color w:val="FF0000"/>
              </w:rPr>
              <w:t xml:space="preserve"> </w:t>
            </w:r>
            <w:r w:rsidRPr="396B50C7">
              <w:rPr>
                <w:rFonts w:ascii="Arial" w:eastAsia="Arial" w:hAnsi="Arial" w:cs="Arial"/>
              </w:rPr>
              <w:t xml:space="preserve">we have taken into account and had due regard to this duty in so far as it is consistent </w:t>
            </w:r>
            <w:r w:rsidRPr="000F4919">
              <w:rPr>
                <w:rFonts w:ascii="Arial" w:eastAsia="Arial" w:hAnsi="Arial" w:cs="Arial"/>
              </w:rPr>
              <w:t xml:space="preserve">with the function of determining an application for a </w:t>
            </w:r>
            <w:proofErr w:type="spellStart"/>
            <w:r w:rsidRPr="000F4919">
              <w:rPr>
                <w:rFonts w:ascii="Arial" w:eastAsia="Arial" w:hAnsi="Arial" w:cs="Arial"/>
              </w:rPr>
              <w:t>stand alone</w:t>
            </w:r>
            <w:proofErr w:type="spellEnd"/>
            <w:r w:rsidRPr="000F4919">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67EEB81" w:rsidR="00C44B7E" w:rsidRDefault="00C44B7E">
      <w:pPr>
        <w:rPr>
          <w:rFonts w:ascii="Arial" w:hAnsi="Arial"/>
          <w:b/>
          <w:sz w:val="28"/>
        </w:rPr>
      </w:pPr>
    </w:p>
    <w:p w14:paraId="1E1D7341" w14:textId="3F7B2FF9" w:rsidR="00FA4B3E" w:rsidRDefault="00FA4B3E">
      <w:pPr>
        <w:rPr>
          <w:rFonts w:ascii="Arial" w:hAnsi="Arial"/>
          <w:b/>
          <w:sz w:val="28"/>
        </w:rPr>
      </w:pPr>
    </w:p>
    <w:p w14:paraId="73EC4BFB" w14:textId="4B2BC4EF" w:rsidR="00FA4B3E" w:rsidRDefault="00FA4B3E">
      <w:pPr>
        <w:rPr>
          <w:rFonts w:ascii="Arial" w:hAnsi="Arial"/>
          <w:b/>
          <w:sz w:val="28"/>
        </w:rPr>
      </w:pPr>
    </w:p>
    <w:p w14:paraId="692EDC43" w14:textId="45C4F591" w:rsidR="00FA4B3E" w:rsidRDefault="00FA4B3E">
      <w:pPr>
        <w:rPr>
          <w:rFonts w:ascii="Arial" w:hAnsi="Arial"/>
          <w:b/>
          <w:sz w:val="28"/>
        </w:rPr>
      </w:pPr>
    </w:p>
    <w:p w14:paraId="300DA5DA" w14:textId="16A05E6F" w:rsidR="00FA4B3E" w:rsidRDefault="00FA4B3E">
      <w:pPr>
        <w:rPr>
          <w:rFonts w:ascii="Arial" w:hAnsi="Arial"/>
          <w:b/>
          <w:sz w:val="28"/>
        </w:rPr>
      </w:pPr>
    </w:p>
    <w:p w14:paraId="215391AE" w14:textId="1E089362" w:rsidR="00FA4B3E" w:rsidRDefault="00FA4B3E">
      <w:pPr>
        <w:rPr>
          <w:rFonts w:ascii="Arial" w:hAnsi="Arial"/>
          <w:b/>
          <w:sz w:val="28"/>
        </w:rPr>
      </w:pPr>
    </w:p>
    <w:p w14:paraId="4A0AE1E7" w14:textId="1E8949D0" w:rsidR="00FA4B3E" w:rsidRDefault="00FA4B3E">
      <w:pPr>
        <w:rPr>
          <w:rFonts w:ascii="Arial" w:hAnsi="Arial"/>
          <w:b/>
          <w:sz w:val="28"/>
        </w:rPr>
      </w:pPr>
    </w:p>
    <w:p w14:paraId="13E183D0" w14:textId="4D8A6E78" w:rsidR="00FA4B3E" w:rsidRDefault="00FA4B3E">
      <w:pPr>
        <w:rPr>
          <w:rFonts w:ascii="Arial" w:hAnsi="Arial"/>
          <w:b/>
          <w:sz w:val="28"/>
        </w:rPr>
      </w:pPr>
    </w:p>
    <w:p w14:paraId="52BCDC5E" w14:textId="325ED5C5" w:rsidR="00FA4B3E" w:rsidRDefault="00FA4B3E">
      <w:pPr>
        <w:rPr>
          <w:rFonts w:ascii="Arial" w:hAnsi="Arial"/>
          <w:b/>
          <w:sz w:val="28"/>
        </w:rPr>
      </w:pPr>
    </w:p>
    <w:p w14:paraId="7B3BB550" w14:textId="3CA7BA98" w:rsidR="00FA4B3E" w:rsidRDefault="00FA4B3E">
      <w:pPr>
        <w:rPr>
          <w:rFonts w:ascii="Arial" w:hAnsi="Arial"/>
          <w:b/>
          <w:sz w:val="28"/>
        </w:rPr>
      </w:pPr>
    </w:p>
    <w:p w14:paraId="09AE2EDE" w14:textId="7A489F5C" w:rsidR="00FA4B3E" w:rsidRDefault="00FA4B3E">
      <w:pPr>
        <w:rPr>
          <w:rFonts w:ascii="Arial" w:hAnsi="Arial"/>
          <w:b/>
          <w:sz w:val="28"/>
        </w:rPr>
      </w:pPr>
    </w:p>
    <w:p w14:paraId="4F168CC6" w14:textId="2F23679D" w:rsidR="00FA4B3E" w:rsidRDefault="00FA4B3E">
      <w:pPr>
        <w:rPr>
          <w:rFonts w:ascii="Arial" w:hAnsi="Arial"/>
          <w:b/>
          <w:sz w:val="28"/>
        </w:rPr>
      </w:pPr>
    </w:p>
    <w:p w14:paraId="7C4ACA26" w14:textId="5C3A0505" w:rsidR="00FA4B3E" w:rsidRDefault="00FA4B3E">
      <w:pPr>
        <w:rPr>
          <w:rFonts w:ascii="Arial" w:hAnsi="Arial"/>
          <w:b/>
          <w:sz w:val="28"/>
        </w:rPr>
      </w:pPr>
    </w:p>
    <w:p w14:paraId="38DF7C57" w14:textId="70B1E22E" w:rsidR="00FA4B3E" w:rsidRDefault="00FA4B3E">
      <w:pPr>
        <w:rPr>
          <w:rFonts w:ascii="Arial" w:hAnsi="Arial"/>
          <w:b/>
          <w:sz w:val="28"/>
        </w:rPr>
      </w:pPr>
    </w:p>
    <w:p w14:paraId="733EF0F9" w14:textId="50AF80CF" w:rsidR="00FA4B3E" w:rsidRDefault="00FA4B3E">
      <w:pPr>
        <w:rPr>
          <w:rFonts w:ascii="Arial" w:hAnsi="Arial"/>
          <w:b/>
          <w:sz w:val="28"/>
        </w:rPr>
      </w:pPr>
    </w:p>
    <w:p w14:paraId="77ED64E1" w14:textId="69440A37" w:rsidR="00FA4B3E" w:rsidRDefault="00FA4B3E">
      <w:pPr>
        <w:rPr>
          <w:rFonts w:ascii="Arial" w:hAnsi="Arial"/>
          <w:b/>
          <w:sz w:val="28"/>
        </w:rPr>
      </w:pPr>
    </w:p>
    <w:p w14:paraId="7248D132" w14:textId="6E8E569C" w:rsidR="00FA4B3E" w:rsidRDefault="00FA4B3E">
      <w:pPr>
        <w:rPr>
          <w:rFonts w:ascii="Arial" w:hAnsi="Arial"/>
          <w:b/>
          <w:sz w:val="28"/>
        </w:rPr>
      </w:pPr>
    </w:p>
    <w:p w14:paraId="659D8ACB" w14:textId="67E26BC7" w:rsidR="00FA4B3E" w:rsidRDefault="00FA4B3E">
      <w:pPr>
        <w:rPr>
          <w:rFonts w:ascii="Arial" w:hAnsi="Arial"/>
          <w:b/>
          <w:sz w:val="28"/>
        </w:rPr>
      </w:pPr>
    </w:p>
    <w:p w14:paraId="744DAFEB" w14:textId="6362C986" w:rsidR="00FA4B3E" w:rsidRDefault="00FA4B3E">
      <w:pPr>
        <w:rPr>
          <w:rFonts w:ascii="Arial" w:hAnsi="Arial"/>
          <w:b/>
          <w:sz w:val="28"/>
        </w:rPr>
      </w:pPr>
    </w:p>
    <w:p w14:paraId="5FD9FCF5" w14:textId="48CA36B1" w:rsidR="00FA4B3E" w:rsidRDefault="00FA4B3E">
      <w:pPr>
        <w:rPr>
          <w:rFonts w:ascii="Arial" w:hAnsi="Arial"/>
          <w:b/>
          <w:sz w:val="28"/>
        </w:rPr>
      </w:pPr>
    </w:p>
    <w:p w14:paraId="10A10F87" w14:textId="0DDD5EC0" w:rsidR="00FA4B3E" w:rsidRDefault="00FA4B3E">
      <w:pPr>
        <w:rPr>
          <w:rFonts w:ascii="Arial" w:hAnsi="Arial"/>
          <w:b/>
          <w:sz w:val="28"/>
        </w:rPr>
      </w:pPr>
    </w:p>
    <w:p w14:paraId="0088A1C7" w14:textId="14B30159" w:rsidR="00FA4B3E" w:rsidRDefault="00FA4B3E">
      <w:pPr>
        <w:rPr>
          <w:rFonts w:ascii="Arial" w:hAnsi="Arial"/>
          <w:b/>
          <w:sz w:val="28"/>
        </w:rPr>
      </w:pPr>
    </w:p>
    <w:p w14:paraId="324773B3" w14:textId="7A2E5A20" w:rsidR="00FA4B3E" w:rsidRDefault="00FA4B3E">
      <w:pPr>
        <w:rPr>
          <w:rFonts w:ascii="Arial" w:hAnsi="Arial"/>
          <w:b/>
          <w:sz w:val="28"/>
        </w:rPr>
      </w:pPr>
    </w:p>
    <w:p w14:paraId="5F4479BE" w14:textId="60FF56D9" w:rsidR="00FA4B3E" w:rsidRDefault="00FA4B3E">
      <w:pPr>
        <w:rPr>
          <w:rFonts w:ascii="Arial" w:hAnsi="Arial"/>
          <w:b/>
          <w:sz w:val="28"/>
        </w:rPr>
      </w:pPr>
    </w:p>
    <w:p w14:paraId="3EB3A118" w14:textId="0C37DC88" w:rsidR="00FA4B3E" w:rsidRDefault="00FA4B3E">
      <w:pPr>
        <w:rPr>
          <w:rFonts w:ascii="Arial" w:hAnsi="Arial"/>
          <w:b/>
          <w:sz w:val="28"/>
        </w:rPr>
      </w:pPr>
    </w:p>
    <w:p w14:paraId="5613F378" w14:textId="567026EC" w:rsidR="00FA4B3E" w:rsidRDefault="00FA4B3E">
      <w:pPr>
        <w:rPr>
          <w:rFonts w:ascii="Arial" w:hAnsi="Arial"/>
          <w:b/>
          <w:sz w:val="28"/>
        </w:rPr>
      </w:pPr>
    </w:p>
    <w:p w14:paraId="27920DE4" w14:textId="77777777" w:rsidR="00FA4B3E" w:rsidRDefault="00FA4B3E">
      <w:pPr>
        <w:rPr>
          <w:rFonts w:ascii="Arial" w:hAnsi="Arial"/>
          <w:b/>
          <w:sz w:val="28"/>
        </w:rPr>
      </w:pPr>
    </w:p>
    <w:p w14:paraId="3297088A" w14:textId="7A17728F" w:rsidR="00FA4B3E" w:rsidRPr="00FA4B3E" w:rsidRDefault="00FA4B3E" w:rsidP="00FA4B3E">
      <w:pPr>
        <w:pStyle w:val="Heading1"/>
        <w:jc w:val="left"/>
        <w:rPr>
          <w:color w:val="auto"/>
          <w:sz w:val="24"/>
        </w:rPr>
      </w:pPr>
      <w:r w:rsidRPr="00FA4B3E">
        <w:rPr>
          <w:color w:val="auto"/>
          <w:sz w:val="24"/>
        </w:rPr>
        <w:lastRenderedPageBreak/>
        <w:t xml:space="preserve">Annex 2: Consultation responses </w:t>
      </w:r>
    </w:p>
    <w:p w14:paraId="672F7178" w14:textId="77777777" w:rsidR="00FA4B3E" w:rsidRPr="00FA4B3E" w:rsidRDefault="00FA4B3E" w:rsidP="00FA4B3E">
      <w:pPr>
        <w:pStyle w:val="Footer"/>
        <w:tabs>
          <w:tab w:val="clear" w:pos="4153"/>
          <w:tab w:val="clear" w:pos="8306"/>
        </w:tabs>
        <w:rPr>
          <w:rFonts w:ascii="Arial" w:hAnsi="Arial"/>
        </w:rPr>
      </w:pPr>
    </w:p>
    <w:p w14:paraId="2220F28B" w14:textId="247F25E7" w:rsidR="00FA4B3E" w:rsidRPr="00FA4B3E" w:rsidRDefault="00FA4B3E" w:rsidP="00FA4B3E">
      <w:pPr>
        <w:rPr>
          <w:rFonts w:ascii="Arial" w:hAnsi="Arial"/>
        </w:rPr>
      </w:pPr>
      <w:r w:rsidRPr="00FA4B3E">
        <w:rPr>
          <w:rFonts w:ascii="Arial" w:hAnsi="Arial"/>
        </w:rPr>
        <w:t xml:space="preserve">Summary of responses to consultation and the way in which we have taken these into account in the determination process.  </w:t>
      </w:r>
    </w:p>
    <w:p w14:paraId="65059230" w14:textId="77777777" w:rsidR="00FA4B3E" w:rsidRDefault="00FA4B3E" w:rsidP="00FA4B3E">
      <w:pPr>
        <w:jc w:val="both"/>
        <w:rPr>
          <w:rFonts w:ascii="Arial" w:hAnsi="Arial"/>
        </w:rPr>
      </w:pPr>
    </w:p>
    <w:tbl>
      <w:tblPr>
        <w:tblStyle w:val="TableGrid"/>
        <w:tblW w:w="0" w:type="auto"/>
        <w:tblLook w:val="01E0" w:firstRow="1" w:lastRow="1" w:firstColumn="1" w:lastColumn="1" w:noHBand="0" w:noVBand="0"/>
      </w:tblPr>
      <w:tblGrid>
        <w:gridCol w:w="8296"/>
      </w:tblGrid>
      <w:tr w:rsidR="00FA4B3E" w:rsidRPr="004243F4" w14:paraId="4C4CBB5D" w14:textId="77777777" w:rsidTr="00CB7812">
        <w:tc>
          <w:tcPr>
            <w:tcW w:w="8522" w:type="dxa"/>
            <w:shd w:val="clear" w:color="auto" w:fill="0070C0"/>
          </w:tcPr>
          <w:p w14:paraId="21C63785" w14:textId="77777777" w:rsidR="00FA4B3E" w:rsidRPr="00136717" w:rsidRDefault="00FA4B3E" w:rsidP="00CB7812">
            <w:pPr>
              <w:jc w:val="both"/>
              <w:rPr>
                <w:rFonts w:ascii="Arial" w:hAnsi="Arial" w:cs="Arial"/>
                <w:b/>
                <w:color w:val="FF0000"/>
              </w:rPr>
            </w:pPr>
            <w:r w:rsidRPr="00136717">
              <w:rPr>
                <w:rFonts w:ascii="Arial" w:hAnsi="Arial" w:cs="Arial"/>
                <w:b/>
                <w:color w:val="FFFFFF" w:themeColor="background1"/>
              </w:rPr>
              <w:t>Response received from</w:t>
            </w:r>
          </w:p>
        </w:tc>
      </w:tr>
      <w:tr w:rsidR="00FA4B3E" w:rsidRPr="004243F4" w14:paraId="006B4AA8" w14:textId="77777777" w:rsidTr="00CB7812">
        <w:tc>
          <w:tcPr>
            <w:tcW w:w="8522" w:type="dxa"/>
            <w:tcBorders>
              <w:bottom w:val="single" w:sz="4" w:space="0" w:color="auto"/>
            </w:tcBorders>
          </w:tcPr>
          <w:p w14:paraId="36BCB4A7" w14:textId="03060E61" w:rsidR="00FA4B3E" w:rsidRPr="00FA4B3E" w:rsidRDefault="00FA4B3E" w:rsidP="00CB7812">
            <w:pPr>
              <w:jc w:val="both"/>
              <w:rPr>
                <w:rFonts w:ascii="Arial" w:hAnsi="Arial" w:cs="Arial"/>
                <w:bCs/>
                <w:color w:val="FFFFFF" w:themeColor="background1"/>
              </w:rPr>
            </w:pPr>
            <w:proofErr w:type="spellStart"/>
            <w:r w:rsidRPr="00FA4B3E">
              <w:rPr>
                <w:rFonts w:ascii="Arial" w:hAnsi="Arial" w:cs="Arial"/>
                <w:bCs/>
              </w:rPr>
              <w:t>Dŵr</w:t>
            </w:r>
            <w:proofErr w:type="spellEnd"/>
            <w:r w:rsidRPr="00FA4B3E">
              <w:rPr>
                <w:rFonts w:ascii="Arial" w:hAnsi="Arial" w:cs="Arial"/>
                <w:bCs/>
              </w:rPr>
              <w:t xml:space="preserve"> Cymru Welsh Water</w:t>
            </w:r>
          </w:p>
        </w:tc>
      </w:tr>
      <w:tr w:rsidR="00FA4B3E" w:rsidRPr="004243F4" w14:paraId="552D3BFB" w14:textId="77777777" w:rsidTr="00CB7812">
        <w:tc>
          <w:tcPr>
            <w:tcW w:w="8522" w:type="dxa"/>
            <w:shd w:val="clear" w:color="auto" w:fill="0070C0"/>
          </w:tcPr>
          <w:p w14:paraId="2F1BB64C" w14:textId="77777777" w:rsidR="00FA4B3E" w:rsidRPr="00136717" w:rsidRDefault="00FA4B3E" w:rsidP="00CB7812">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FA4B3E" w:rsidRPr="004243F4" w14:paraId="42F5C333" w14:textId="77777777" w:rsidTr="00CB7812">
        <w:tc>
          <w:tcPr>
            <w:tcW w:w="8522" w:type="dxa"/>
            <w:tcBorders>
              <w:bottom w:val="single" w:sz="4" w:space="0" w:color="auto"/>
            </w:tcBorders>
          </w:tcPr>
          <w:p w14:paraId="4362DE45" w14:textId="69D6FFA0" w:rsidR="00FA4B3E" w:rsidRPr="00FA4B3E" w:rsidRDefault="00FA4B3E" w:rsidP="00FA4B3E">
            <w:pPr>
              <w:rPr>
                <w:sz w:val="22"/>
              </w:rPr>
            </w:pPr>
            <w:r>
              <w:rPr>
                <w:rFonts w:ascii="Arial" w:hAnsi="Arial" w:cs="Arial"/>
              </w:rPr>
              <w:t xml:space="preserve">None - </w:t>
            </w:r>
            <w:r w:rsidRPr="00FA4B3E">
              <w:rPr>
                <w:rFonts w:ascii="Arial" w:hAnsi="Arial" w:cs="Arial"/>
              </w:rPr>
              <w:t>This application does not fall within a drinking water catchment. No further comments from catchment.</w:t>
            </w:r>
            <w:r>
              <w:t xml:space="preserve"> </w:t>
            </w:r>
          </w:p>
        </w:tc>
      </w:tr>
      <w:tr w:rsidR="00FA4B3E" w:rsidRPr="004243F4" w14:paraId="7D44C7C8" w14:textId="77777777" w:rsidTr="00CB7812">
        <w:tc>
          <w:tcPr>
            <w:tcW w:w="8522" w:type="dxa"/>
            <w:shd w:val="clear" w:color="auto" w:fill="0070C0"/>
          </w:tcPr>
          <w:p w14:paraId="694E55F7" w14:textId="77777777" w:rsidR="00FA4B3E" w:rsidRPr="004243F4" w:rsidRDefault="00FA4B3E" w:rsidP="00CB7812">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A4B3E" w:rsidRPr="004243F4" w14:paraId="7642D821" w14:textId="77777777" w:rsidTr="00CB7812">
        <w:tc>
          <w:tcPr>
            <w:tcW w:w="8522" w:type="dxa"/>
          </w:tcPr>
          <w:p w14:paraId="52B148CE" w14:textId="36655E14" w:rsidR="00FA4B3E" w:rsidRPr="004243F4" w:rsidRDefault="00FA4B3E" w:rsidP="00CB7812">
            <w:pPr>
              <w:jc w:val="both"/>
              <w:rPr>
                <w:rFonts w:ascii="Arial" w:hAnsi="Arial" w:cs="Arial"/>
              </w:rPr>
            </w:pPr>
            <w:r>
              <w:rPr>
                <w:rFonts w:ascii="Arial" w:hAnsi="Arial" w:cs="Arial"/>
              </w:rPr>
              <w:t>N/A</w:t>
            </w:r>
          </w:p>
        </w:tc>
      </w:tr>
    </w:tbl>
    <w:p w14:paraId="7D6A6D42" w14:textId="41A0E8F5" w:rsidR="00FA4B3E" w:rsidRPr="004243F4" w:rsidRDefault="00FA4B3E" w:rsidP="00FA4B3E">
      <w:pPr>
        <w:jc w:val="both"/>
        <w:rPr>
          <w:rFonts w:ascii="Arial" w:hAnsi="Arial" w:cs="Arial"/>
          <w:color w:val="FF00FF"/>
          <w:szCs w:val="24"/>
        </w:rPr>
      </w:pPr>
    </w:p>
    <w:p w14:paraId="7ADAAFCB" w14:textId="77777777" w:rsidR="00FA4B3E" w:rsidRDefault="00FA4B3E">
      <w:pPr>
        <w:rPr>
          <w:rFonts w:ascii="Arial" w:hAnsi="Arial"/>
          <w:b/>
          <w:sz w:val="28"/>
        </w:rPr>
      </w:pPr>
    </w:p>
    <w:sectPr w:rsidR="00FA4B3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9B763" w14:textId="77777777" w:rsidR="00AB3610" w:rsidRDefault="00AB3610">
      <w:r>
        <w:separator/>
      </w:r>
    </w:p>
  </w:endnote>
  <w:endnote w:type="continuationSeparator" w:id="0">
    <w:p w14:paraId="31EF9B7D" w14:textId="77777777" w:rsidR="00AB3610" w:rsidRDefault="00AB3610">
      <w:r>
        <w:continuationSeparator/>
      </w:r>
    </w:p>
  </w:endnote>
  <w:endnote w:type="continuationNotice" w:id="1">
    <w:p w14:paraId="6479C5B7" w14:textId="77777777" w:rsidR="00AB3610" w:rsidRDefault="00AB36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DA145" w14:textId="77777777" w:rsidR="00AB3610" w:rsidRDefault="00AB3610">
      <w:r>
        <w:separator/>
      </w:r>
    </w:p>
  </w:footnote>
  <w:footnote w:type="continuationSeparator" w:id="0">
    <w:p w14:paraId="3EBD064A" w14:textId="77777777" w:rsidR="00AB3610" w:rsidRDefault="00AB3610">
      <w:r>
        <w:continuationSeparator/>
      </w:r>
    </w:p>
  </w:footnote>
  <w:footnote w:type="continuationNotice" w:id="1">
    <w:p w14:paraId="491EDEB7" w14:textId="77777777" w:rsidR="00AB3610" w:rsidRDefault="00AB36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0F4919"/>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650B"/>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B6C00"/>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C6A"/>
    <w:rsid w:val="00444D3F"/>
    <w:rsid w:val="00455E3C"/>
    <w:rsid w:val="004709A1"/>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767CA"/>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342F9"/>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D67EF"/>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D60E2"/>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16A48"/>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A4B3E"/>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24386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6efba9f29d9bdd7d84638eb9d0ca76f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4bea807ad98835676e0a1c3169a0eb2"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REGU-184-6546806</_dlc_DocId>
    <_dlc_DocIdUrl xmlns="9be56660-2c31-41ef-bc00-23e72f632f2a">
      <Url>https://cyfoethnaturiolcymru.sharepoint.com/teams/Regulatory/Permitting/_layouts/15/DocIdRedir.aspx?ID=REGU-184-6546806</Url>
      <Description>REGU-184-6546806</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Fairfield</Site_x0020_Name>
    <Internal_x002f_External xmlns="859f7ad6-93f6-4205-b62b-a17f28acbbac">Outgoing document</Internal_x002f_External>
    <Post_x0020_code xmlns="859f7ad6-93f6-4205-b62b-a17f28acbbac">NP16 6NA</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Fairfield, Back Road, Catbrook, Chepstow, NP16 6NA</Addressee>
    <Process_x0020_Type xmlns="859f7ad6-93f6-4205-b62b-a17f28acbbac">Application</Process_x0020_Type>
    <Surrendered_x002f_Expired xmlns="859f7ad6-93f6-4205-b62b-a17f28acbbac" xsi:nil="true"/>
    <Document_x0020_Date xmlns="859f7ad6-93f6-4205-b62b-a17f28acbbac">2022-09-14T23:00:00+00:00</Document_x0020_Date>
    <Facility_x0020_Address xmlns="859f7ad6-93f6-4205-b62b-a17f28acbbac">Back Road, Catbrook, Chepstow</Facility_x0020_Address>
    <Environment_x0020_Sub_x0020_Folder xmlns="859f7ad6-93f6-4205-b62b-a17f28acbbac">Licences applications</Environment_x0020_Sub_x0020_Folder>
    <Customer_x0020_Name xmlns="859f7ad6-93f6-4205-b62b-a17f28acbbac">Melanie Higgins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96136656-D179-490C-BEB5-D9E311102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b67299c9-1600-4d20-976e-ea8f199d05b8"/>
    <ds:schemaRef ds:uri="http://purl.org/dc/elements/1.1/"/>
    <ds:schemaRef ds:uri="859f7ad6-93f6-4205-b62b-a17f28acbbac"/>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933</Words>
  <Characters>5117</Characters>
  <Application>Microsoft Office Word</Application>
  <DocSecurity>0</DocSecurity>
  <Lines>42</Lines>
  <Paragraphs>12</Paragraphs>
  <ScaleCrop>false</ScaleCrop>
  <Company>Environment Agency</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11</cp:revision>
  <cp:lastPrinted>2008-01-30T13:54:00Z</cp:lastPrinted>
  <dcterms:created xsi:type="dcterms:W3CDTF">2022-09-08T09:09:00Z</dcterms:created>
  <dcterms:modified xsi:type="dcterms:W3CDTF">2022-09-15T08:14:00Z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56069f74-e3ec-458f-b950-5fa97eabb64b</vt:lpwstr>
  </property>
  <property fmtid="{D5CDD505-2E9C-101B-9397-08002B2CF9AE}" pid="11" name="SharedWithUsers">
    <vt:lpwstr/>
  </property>
  <property fmtid="{D5CDD505-2E9C-101B-9397-08002B2CF9AE}" pid="12" name="MediaServiceImageTags">
    <vt:lpwstr/>
  </property>
</Properties>
</file>