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REGU-193-13530482</_dlc_DocId>
    <_dlc_DocIdUrl xmlns="9be56660-2c31-41ef-bc00-23e72f632f2a">
      <Url>https://cyfoethnaturiolcymru.sharepoint.com/teams/Regulatory/Permitting/_layouts/15/DocIdRedir.aspx?ID=REGU-193-13530482</Url>
      <Description>REGU-193-13530482</Description>
    </_dlc_DocIdUrl>
    <Site_x0020_Name xmlns="859f7ad6-93f6-4205-b62b-a17f28acbbac">Baglan Sewage Pumping Station</Site_x0020_Name>
    <Internal_x002f_External xmlns="859f7ad6-93f6-4205-b62b-a17f28acbbac">Incoming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Briton Ferry, Neath</Facility_x0020_Address>
    <Environment_x0020_Sub_x0020_Folder xmlns="859f7ad6-93f6-4205-b62b-a17f28acbbac">Licences applications</Environment_x0020_Sub_x0020_Folder>
    <Customer_x0020_Name xmlns="859f7ad6-93f6-4205-b62b-a17f28acbbac">Dwr Cymru Cyf.</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9543F20-B349-45C6-9547-DCF28982E7A3}"/>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4716B81E-331B-405A-B2CB-4C55B5F93619}"/>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39eb31a2-faeb-4c5c-93a7-66c8cec942ef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