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4C4B2D3" w:rsidR="00D04424" w:rsidRPr="0050181C" w:rsidRDefault="0014332B" w:rsidP="003719AD">
      <w:pPr>
        <w:pStyle w:val="Heading1"/>
        <w:spacing w:before="0" w:after="0"/>
        <w:jc w:val="left"/>
        <w:rPr>
          <w:bCs/>
          <w:color w:val="000000" w:themeColor="text1"/>
          <w:sz w:val="32"/>
        </w:rPr>
      </w:pPr>
      <w:r w:rsidRPr="0050181C">
        <w:rPr>
          <w:bCs/>
          <w:color w:val="000000" w:themeColor="text1"/>
          <w:sz w:val="32"/>
        </w:rPr>
        <w:t>Bespoke p</w:t>
      </w:r>
      <w:r w:rsidR="00D04424" w:rsidRPr="0050181C">
        <w:rPr>
          <w:bCs/>
          <w:color w:val="000000" w:themeColor="text1"/>
          <w:sz w:val="32"/>
        </w:rPr>
        <w:t>ermit</w:t>
      </w:r>
      <w:r w:rsidR="00B73ECB" w:rsidRPr="0050181C">
        <w:rPr>
          <w:bCs/>
          <w:color w:val="000000" w:themeColor="text1"/>
          <w:sz w:val="32"/>
        </w:rPr>
        <w:t xml:space="preserve"> </w:t>
      </w:r>
    </w:p>
    <w:p w14:paraId="0FF1524F" w14:textId="77777777" w:rsidR="007820C3" w:rsidRPr="0014332B" w:rsidRDefault="007820C3" w:rsidP="00D04424">
      <w:pPr>
        <w:rPr>
          <w:rFonts w:ascii="Arial" w:hAnsi="Arial" w:cs="Arial"/>
          <w:szCs w:val="24"/>
        </w:rPr>
      </w:pPr>
    </w:p>
    <w:p w14:paraId="0FF15250" w14:textId="525997A0" w:rsidR="00D04424" w:rsidRPr="0050181C" w:rsidRDefault="0060457F" w:rsidP="006B0BFB">
      <w:pPr>
        <w:spacing w:after="120"/>
        <w:rPr>
          <w:rFonts w:ascii="Arial" w:hAnsi="Arial" w:cs="Arial"/>
          <w:color w:val="000000" w:themeColor="text1"/>
          <w:szCs w:val="24"/>
        </w:rPr>
      </w:pPr>
      <w:r w:rsidRPr="0050181C">
        <w:rPr>
          <w:rFonts w:ascii="Arial" w:hAnsi="Arial" w:cs="Arial"/>
          <w:color w:val="000000" w:themeColor="text1"/>
          <w:szCs w:val="24"/>
        </w:rPr>
        <w:t xml:space="preserve">We have decided to </w:t>
      </w:r>
      <w:r w:rsidR="00D2020E" w:rsidRPr="0050181C">
        <w:rPr>
          <w:rFonts w:ascii="Arial" w:hAnsi="Arial" w:cs="Arial"/>
          <w:color w:val="000000" w:themeColor="text1"/>
          <w:szCs w:val="24"/>
        </w:rPr>
        <w:t xml:space="preserve">grant </w:t>
      </w:r>
      <w:r w:rsidRPr="0050181C">
        <w:rPr>
          <w:rFonts w:ascii="Arial" w:hAnsi="Arial" w:cs="Arial"/>
          <w:color w:val="000000" w:themeColor="text1"/>
          <w:szCs w:val="24"/>
        </w:rPr>
        <w:t xml:space="preserve">the permit for </w:t>
      </w:r>
      <w:r w:rsidR="0050181C" w:rsidRPr="0050181C">
        <w:rPr>
          <w:rFonts w:ascii="Arial" w:hAnsi="Arial" w:cs="Arial"/>
          <w:color w:val="000000" w:themeColor="text1"/>
          <w:szCs w:val="24"/>
        </w:rPr>
        <w:t>Kites Nest</w:t>
      </w:r>
      <w:r w:rsidRPr="0050181C">
        <w:rPr>
          <w:rFonts w:ascii="Arial" w:hAnsi="Arial" w:cs="Arial"/>
          <w:color w:val="000000" w:themeColor="text1"/>
          <w:szCs w:val="24"/>
        </w:rPr>
        <w:t xml:space="preserve"> operated by </w:t>
      </w:r>
      <w:r w:rsidR="0050181C" w:rsidRPr="0050181C">
        <w:rPr>
          <w:rFonts w:ascii="Arial" w:hAnsi="Arial" w:cs="Arial"/>
          <w:color w:val="000000" w:themeColor="text1"/>
          <w:szCs w:val="24"/>
        </w:rPr>
        <w:t>Mr Keith Hazen.</w:t>
      </w:r>
    </w:p>
    <w:p w14:paraId="178F17B4" w14:textId="32A3CC44" w:rsidR="00E907C6" w:rsidRPr="0050181C"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Pr>
          <w:rFonts w:ascii="Arial" w:hAnsi="Arial"/>
          <w:color w:val="000000"/>
          <w:kern w:val="28"/>
          <w:szCs w:val="24"/>
        </w:rPr>
        <w:t xml:space="preserve">The application </w:t>
      </w:r>
      <w:r w:rsidRPr="0050181C">
        <w:rPr>
          <w:rFonts w:ascii="Arial" w:hAnsi="Arial"/>
          <w:color w:val="000000" w:themeColor="text1"/>
          <w:kern w:val="28"/>
          <w:szCs w:val="24"/>
        </w:rPr>
        <w:t xml:space="preserve">number is </w:t>
      </w:r>
      <w:r w:rsidR="0050181C" w:rsidRPr="0050181C">
        <w:rPr>
          <w:rFonts w:ascii="Arial" w:hAnsi="Arial"/>
          <w:color w:val="000000" w:themeColor="text1"/>
          <w:szCs w:val="24"/>
        </w:rPr>
        <w:t>PAN-019195.</w:t>
      </w:r>
    </w:p>
    <w:p w14:paraId="0FF15251" w14:textId="3AFFDC16" w:rsidR="00D04424" w:rsidRPr="0050181C" w:rsidRDefault="00D04424" w:rsidP="006B0BFB">
      <w:pPr>
        <w:tabs>
          <w:tab w:val="left" w:pos="4253"/>
          <w:tab w:val="left" w:pos="6804"/>
        </w:tabs>
        <w:spacing w:after="120"/>
        <w:rPr>
          <w:rFonts w:ascii="Arial" w:hAnsi="Arial"/>
          <w:color w:val="000000" w:themeColor="text1"/>
          <w:szCs w:val="24"/>
        </w:rPr>
      </w:pPr>
      <w:r w:rsidRPr="0050181C">
        <w:rPr>
          <w:rFonts w:ascii="Arial" w:hAnsi="Arial"/>
          <w:color w:val="000000" w:themeColor="text1"/>
          <w:kern w:val="28"/>
          <w:szCs w:val="24"/>
        </w:rPr>
        <w:t>The</w:t>
      </w:r>
      <w:r w:rsidRPr="0050181C">
        <w:rPr>
          <w:rFonts w:ascii="Arial" w:hAnsi="Arial"/>
          <w:b/>
          <w:color w:val="000000" w:themeColor="text1"/>
          <w:kern w:val="28"/>
          <w:szCs w:val="24"/>
        </w:rPr>
        <w:t xml:space="preserve"> </w:t>
      </w:r>
      <w:r w:rsidRPr="0050181C">
        <w:rPr>
          <w:rFonts w:ascii="Arial" w:hAnsi="Arial"/>
          <w:color w:val="000000" w:themeColor="text1"/>
          <w:szCs w:val="24"/>
        </w:rPr>
        <w:t xml:space="preserve">permit number is </w:t>
      </w:r>
      <w:r w:rsidR="007A2080">
        <w:rPr>
          <w:rFonts w:ascii="Arial" w:hAnsi="Arial"/>
          <w:color w:val="000000" w:themeColor="text1"/>
          <w:szCs w:val="24"/>
        </w:rPr>
        <w:t>EPR-</w:t>
      </w:r>
      <w:r w:rsidR="007A2080" w:rsidRPr="007A2080">
        <w:rPr>
          <w:rFonts w:ascii="Arial" w:hAnsi="Arial"/>
          <w:color w:val="000000" w:themeColor="text1"/>
          <w:szCs w:val="24"/>
        </w:rPr>
        <w:t>CB3797ZW</w:t>
      </w:r>
      <w:r w:rsidR="007A2080">
        <w:rPr>
          <w:rFonts w:ascii="Arial" w:hAnsi="Arial"/>
          <w:color w:val="000000" w:themeColor="text1"/>
          <w:szCs w:val="24"/>
        </w:rPr>
        <w:t>.</w:t>
      </w:r>
    </w:p>
    <w:p w14:paraId="0FF15252" w14:textId="58B03EBD" w:rsidR="00E244F7" w:rsidRPr="0050181C" w:rsidRDefault="000225DA" w:rsidP="0050181C">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50181C" w:rsidRPr="0050181C">
        <w:rPr>
          <w:rFonts w:ascii="Arial" w:hAnsi="Arial"/>
          <w:color w:val="000000" w:themeColor="text1"/>
        </w:rPr>
        <w:t>an existing groundwater discharge at Kites Nest, Crick, Caldicot, NP26 5UW. The discharge location NGR is ST 48824 90130.  The Septic Tank system serves 1x 5 bedroomed residential property.  The tank was installed in November 1991 which met criteria and regulations in force at that time.  No percolation tests have been provided.  As this is an existing proposal there is no requirement for them to be provided.  The applicant has previously applied for and been refused an Exemption due to being within a SPZ.  A sewage effluent discharge of a low volume 1.5 m3/day has been estimated. The treated effluent is domestic in nature.</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7C5EF64" w:rsidR="007820C3" w:rsidRPr="0050181C" w:rsidRDefault="007820C3" w:rsidP="007820C3">
            <w:pPr>
              <w:pStyle w:val="Heading3"/>
              <w:spacing w:before="60"/>
              <w:rPr>
                <w:rFonts w:ascii="Arial" w:hAnsi="Arial" w:cs="Arial"/>
                <w:b w:val="0"/>
                <w:color w:val="000000" w:themeColor="text1"/>
                <w:szCs w:val="24"/>
                <w:highlight w:val="red"/>
              </w:rPr>
            </w:pPr>
            <w:r w:rsidRPr="0050181C">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FF1529A" w14:textId="2963FCED" w:rsidR="007820C3" w:rsidRPr="0050181C" w:rsidRDefault="007820C3" w:rsidP="007820C3">
            <w:pPr>
              <w:spacing w:before="60"/>
              <w:rPr>
                <w:rFonts w:ascii="Arial" w:hAnsi="Arial" w:cs="Arial"/>
                <w:color w:val="000000" w:themeColor="text1"/>
                <w:szCs w:val="24"/>
              </w:rPr>
            </w:pPr>
            <w:commentRangeStart w:id="2"/>
            <w:r w:rsidRPr="0050181C">
              <w:rPr>
                <w:rFonts w:ascii="Arial" w:hAnsi="Arial" w:cs="Arial"/>
                <w:color w:val="000000" w:themeColor="text1"/>
                <w:szCs w:val="24"/>
              </w:rPr>
              <w:t xml:space="preserve">The web publicising, responses were </w:t>
            </w:r>
            <w:proofErr w:type="gramStart"/>
            <w:r w:rsidRPr="0050181C">
              <w:rPr>
                <w:rFonts w:ascii="Arial" w:hAnsi="Arial" w:cs="Arial"/>
                <w:color w:val="000000" w:themeColor="text1"/>
                <w:szCs w:val="24"/>
              </w:rPr>
              <w:t>taken into account</w:t>
            </w:r>
            <w:proofErr w:type="gramEnd"/>
            <w:r w:rsidRPr="0050181C">
              <w:rPr>
                <w:rFonts w:ascii="Arial" w:hAnsi="Arial" w:cs="Arial"/>
                <w:color w:val="000000" w:themeColor="text1"/>
                <w:szCs w:val="24"/>
              </w:rPr>
              <w:t xml:space="preserve"> in the decision.  </w:t>
            </w:r>
            <w:commentRangeEnd w:id="2"/>
            <w:r w:rsidR="001174AE">
              <w:rPr>
                <w:rStyle w:val="CommentReference"/>
              </w:rPr>
              <w:commentReference w:id="2"/>
            </w:r>
          </w:p>
          <w:p w14:paraId="0FF1529B" w14:textId="77777777" w:rsidR="007820C3" w:rsidRPr="0050181C" w:rsidRDefault="007820C3" w:rsidP="007820C3">
            <w:pPr>
              <w:spacing w:before="60"/>
              <w:rPr>
                <w:rFonts w:ascii="Arial" w:hAnsi="Arial" w:cs="Arial"/>
                <w:color w:val="000000" w:themeColor="text1"/>
                <w:szCs w:val="24"/>
              </w:rPr>
            </w:pPr>
          </w:p>
          <w:p w14:paraId="0FF1529C" w14:textId="1AC584E5" w:rsidR="007820C3" w:rsidRPr="0050181C" w:rsidRDefault="007820C3" w:rsidP="007820C3">
            <w:pPr>
              <w:spacing w:before="60"/>
              <w:rPr>
                <w:rFonts w:ascii="Arial" w:hAnsi="Arial" w:cs="Arial"/>
                <w:color w:val="000000" w:themeColor="text1"/>
                <w:szCs w:val="24"/>
              </w:rPr>
            </w:pPr>
            <w:r w:rsidRPr="0050181C">
              <w:rPr>
                <w:rFonts w:ascii="Arial" w:hAnsi="Arial" w:cs="Arial"/>
                <w:color w:val="000000" w:themeColor="text1"/>
                <w:szCs w:val="24"/>
              </w:rPr>
              <w:t xml:space="preserve">The decision was taken in accordance with our guidance. </w:t>
            </w:r>
          </w:p>
          <w:p w14:paraId="2687F4EC" w14:textId="48CBD042" w:rsidR="0050181C" w:rsidRPr="0050181C" w:rsidRDefault="0050181C" w:rsidP="007820C3">
            <w:pPr>
              <w:spacing w:before="60"/>
              <w:rPr>
                <w:rFonts w:ascii="Arial" w:hAnsi="Arial" w:cs="Arial"/>
                <w:color w:val="000000" w:themeColor="text1"/>
                <w:szCs w:val="24"/>
              </w:rPr>
            </w:pPr>
          </w:p>
          <w:p w14:paraId="4E015B9A" w14:textId="5467841A" w:rsidR="0050181C" w:rsidRPr="0050181C" w:rsidRDefault="0050181C" w:rsidP="007820C3">
            <w:pPr>
              <w:spacing w:before="60"/>
              <w:rPr>
                <w:rFonts w:ascii="Arial" w:hAnsi="Arial" w:cs="Arial"/>
                <w:color w:val="000000" w:themeColor="text1"/>
                <w:szCs w:val="24"/>
              </w:rPr>
            </w:pPr>
            <w:r w:rsidRPr="0050181C">
              <w:rPr>
                <w:rFonts w:ascii="Arial" w:hAnsi="Arial" w:cs="Arial"/>
                <w:color w:val="000000" w:themeColor="text1"/>
                <w:szCs w:val="24"/>
              </w:rPr>
              <w:t>No responses were received.</w:t>
            </w:r>
          </w:p>
          <w:p w14:paraId="0FF1529D" w14:textId="77777777" w:rsidR="007820C3" w:rsidRPr="0050181C"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CC785C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50181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033C58" w:rsidRPr="007820C3" w14:paraId="528E8E12" w14:textId="77777777" w:rsidTr="396B50C7">
        <w:trPr>
          <w:gridAfter w:val="1"/>
          <w:wAfter w:w="13" w:type="dxa"/>
        </w:trPr>
        <w:tc>
          <w:tcPr>
            <w:tcW w:w="1951" w:type="dxa"/>
          </w:tcPr>
          <w:p w14:paraId="54F82164" w14:textId="052BD1FF" w:rsidR="00033C58" w:rsidRPr="007820C3" w:rsidRDefault="00033C58" w:rsidP="0016775A">
            <w:pPr>
              <w:rPr>
                <w:rFonts w:ascii="Arial" w:hAnsi="Arial" w:cs="Arial"/>
                <w:szCs w:val="24"/>
              </w:rPr>
            </w:pPr>
            <w:r>
              <w:rPr>
                <w:rFonts w:ascii="Arial" w:hAnsi="Arial" w:cs="Arial"/>
                <w:szCs w:val="24"/>
              </w:rPr>
              <w:t>WFD</w:t>
            </w:r>
          </w:p>
        </w:tc>
        <w:tc>
          <w:tcPr>
            <w:tcW w:w="6266" w:type="dxa"/>
          </w:tcPr>
          <w:p w14:paraId="2B1FB12F" w14:textId="77777777" w:rsidR="00033C58" w:rsidRPr="00033C58" w:rsidRDefault="00033C58" w:rsidP="00033C58">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79DD15F6" w14:textId="77777777" w:rsidR="00033C58" w:rsidRPr="00033C58" w:rsidRDefault="00033C58" w:rsidP="00033C58">
            <w:pPr>
              <w:rPr>
                <w:rFonts w:ascii="Arial" w:hAnsi="Arial" w:cs="Arial"/>
                <w:szCs w:val="24"/>
              </w:rPr>
            </w:pPr>
          </w:p>
          <w:p w14:paraId="62F1E5DA" w14:textId="77777777" w:rsidR="00033C58" w:rsidRDefault="00033C58" w:rsidP="00033C58">
            <w:pPr>
              <w:rPr>
                <w:rFonts w:ascii="Arial" w:hAnsi="Arial" w:cs="Arial"/>
                <w:szCs w:val="24"/>
              </w:rPr>
            </w:pPr>
            <w:r w:rsidRPr="00033C58">
              <w:rPr>
                <w:rFonts w:ascii="Arial" w:hAnsi="Arial" w:cs="Arial"/>
                <w:szCs w:val="24"/>
              </w:rPr>
              <w:t xml:space="preserve">WFD stage 1 screening has been completed and the activity/project have been ruled out as not requiring any further WFD Regulations 2017 assessment. </w:t>
            </w:r>
            <w:proofErr w:type="gramStart"/>
            <w:r w:rsidRPr="00033C58">
              <w:rPr>
                <w:rFonts w:ascii="Arial" w:hAnsi="Arial" w:cs="Arial"/>
                <w:szCs w:val="24"/>
              </w:rPr>
              <w:t>Or,</w:t>
            </w:r>
            <w:proofErr w:type="gramEnd"/>
            <w:r w:rsidRPr="00033C58">
              <w:rPr>
                <w:rFonts w:ascii="Arial" w:hAnsi="Arial" w:cs="Arial"/>
                <w:szCs w:val="24"/>
              </w:rPr>
              <w:t xml:space="preserve"> further assessment is not required because there is no conceivable impact pathway to any water body or Protected Area.</w:t>
            </w:r>
          </w:p>
          <w:p w14:paraId="4E25EEF7" w14:textId="7D23D6BC" w:rsidR="00033C58" w:rsidRPr="007820C3" w:rsidRDefault="00033C58" w:rsidP="00033C58">
            <w:pPr>
              <w:rPr>
                <w:rFonts w:ascii="Arial" w:hAnsi="Arial" w:cs="Arial"/>
                <w:szCs w:val="24"/>
              </w:rPr>
            </w:pPr>
          </w:p>
        </w:tc>
        <w:tc>
          <w:tcPr>
            <w:tcW w:w="1072" w:type="dxa"/>
          </w:tcPr>
          <w:p w14:paraId="204D5A51" w14:textId="5EF1948F" w:rsidR="00033C58" w:rsidRPr="00FB30B4" w:rsidRDefault="00D906B2"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50181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FCDDADD" w14:textId="77777777" w:rsidR="0050181C" w:rsidRPr="0050181C" w:rsidRDefault="0050181C" w:rsidP="0050181C">
            <w:pPr>
              <w:spacing w:before="60"/>
              <w:rPr>
                <w:rFonts w:ascii="Arial" w:hAnsi="Arial" w:cs="Arial"/>
                <w:color w:val="000000" w:themeColor="text1"/>
                <w:szCs w:val="24"/>
              </w:rPr>
            </w:pPr>
            <w:r w:rsidRPr="0050181C">
              <w:rPr>
                <w:rFonts w:ascii="Arial" w:hAnsi="Arial" w:cs="Arial"/>
                <w:color w:val="000000" w:themeColor="text1"/>
                <w:szCs w:val="24"/>
              </w:rPr>
              <w:t>No FORM 1 completed:</w:t>
            </w:r>
          </w:p>
          <w:p w14:paraId="47524087" w14:textId="77777777" w:rsidR="0050181C" w:rsidRPr="0050181C" w:rsidRDefault="0050181C" w:rsidP="0050181C">
            <w:pPr>
              <w:spacing w:before="60"/>
              <w:rPr>
                <w:rFonts w:ascii="Arial" w:hAnsi="Arial" w:cs="Arial"/>
                <w:color w:val="000000" w:themeColor="text1"/>
                <w:szCs w:val="24"/>
              </w:rPr>
            </w:pPr>
          </w:p>
          <w:p w14:paraId="398258C7" w14:textId="77777777" w:rsidR="0050181C" w:rsidRPr="0050181C" w:rsidRDefault="0050181C" w:rsidP="0050181C">
            <w:pPr>
              <w:spacing w:before="60"/>
              <w:rPr>
                <w:rFonts w:ascii="Arial" w:hAnsi="Arial" w:cs="Arial"/>
                <w:color w:val="000000" w:themeColor="text1"/>
                <w:szCs w:val="24"/>
              </w:rPr>
            </w:pPr>
            <w:r w:rsidRPr="0050181C">
              <w:rPr>
                <w:rFonts w:ascii="Arial" w:hAnsi="Arial" w:cs="Arial"/>
                <w:color w:val="000000" w:themeColor="text1"/>
                <w:szCs w:val="24"/>
              </w:rPr>
              <w:t>HRA is not required because there is no conceivable impact pathway to any Natura 2000/Ramsar site.</w:t>
            </w:r>
          </w:p>
          <w:p w14:paraId="5894AD0C" w14:textId="77777777" w:rsidR="0050181C" w:rsidRPr="0050181C" w:rsidRDefault="0050181C" w:rsidP="0050181C">
            <w:pPr>
              <w:spacing w:before="60"/>
              <w:rPr>
                <w:rFonts w:ascii="Arial" w:hAnsi="Arial" w:cs="Arial"/>
                <w:color w:val="000000" w:themeColor="text1"/>
                <w:szCs w:val="24"/>
              </w:rPr>
            </w:pPr>
          </w:p>
          <w:p w14:paraId="52C692F0" w14:textId="0C48FD3B" w:rsidR="00D906B2" w:rsidRDefault="00D906B2" w:rsidP="00D906B2">
            <w:pPr>
              <w:spacing w:before="60"/>
              <w:rPr>
                <w:rFonts w:ascii="Arial" w:hAnsi="Arial" w:cs="Arial"/>
                <w:color w:val="000000" w:themeColor="text1"/>
                <w:szCs w:val="24"/>
              </w:rPr>
            </w:pPr>
            <w:r w:rsidRPr="00AF3BA8">
              <w:rPr>
                <w:rFonts w:ascii="Arial" w:hAnsi="Arial" w:cs="Arial"/>
                <w:color w:val="000000" w:themeColor="text1"/>
                <w:szCs w:val="24"/>
              </w:rPr>
              <w:t xml:space="preserve">An appropriate risk screening has been undertaken “Existing Sewage equal to or less than 2 m3/d to </w:t>
            </w:r>
            <w:r>
              <w:rPr>
                <w:rFonts w:ascii="Arial" w:hAnsi="Arial" w:cs="Arial"/>
                <w:color w:val="000000" w:themeColor="text1"/>
                <w:szCs w:val="24"/>
              </w:rPr>
              <w:t>GW</w:t>
            </w:r>
            <w:r w:rsidRPr="00AF3BA8">
              <w:rPr>
                <w:rFonts w:ascii="Arial" w:hAnsi="Arial" w:cs="Arial"/>
                <w:color w:val="000000" w:themeColor="text1"/>
                <w:szCs w:val="24"/>
              </w:rPr>
              <w:t>”</w:t>
            </w:r>
            <w:r>
              <w:rPr>
                <w:rFonts w:ascii="Arial" w:hAnsi="Arial" w:cs="Arial"/>
                <w:color w:val="000000" w:themeColor="text1"/>
                <w:szCs w:val="24"/>
              </w:rPr>
              <w:t xml:space="preserve"> screening</w:t>
            </w:r>
            <w:r w:rsidRPr="00AF3BA8">
              <w:rPr>
                <w:rFonts w:ascii="Arial" w:hAnsi="Arial" w:cs="Arial"/>
                <w:color w:val="000000" w:themeColor="text1"/>
                <w:szCs w:val="24"/>
              </w:rPr>
              <w:t xml:space="preserve"> to a radius of 500m from the proposed discharge</w:t>
            </w:r>
            <w:r>
              <w:rPr>
                <w:rFonts w:ascii="Arial" w:hAnsi="Arial" w:cs="Arial"/>
                <w:color w:val="000000" w:themeColor="text1"/>
                <w:szCs w:val="24"/>
              </w:rPr>
              <w:t xml:space="preserve"> point</w:t>
            </w:r>
            <w:r w:rsidRPr="00AF3BA8">
              <w:rPr>
                <w:rFonts w:ascii="Arial" w:hAnsi="Arial" w:cs="Arial"/>
                <w:color w:val="000000" w:themeColor="text1"/>
                <w:szCs w:val="24"/>
              </w:rPr>
              <w:t xml:space="preserve">.  The proposed discharge is </w:t>
            </w:r>
            <w:r>
              <w:rPr>
                <w:rFonts w:ascii="Arial" w:hAnsi="Arial" w:cs="Arial"/>
                <w:color w:val="000000" w:themeColor="text1"/>
                <w:szCs w:val="24"/>
              </w:rPr>
              <w:t xml:space="preserve">deemed </w:t>
            </w:r>
            <w:r w:rsidRPr="00AF3BA8">
              <w:rPr>
                <w:rFonts w:ascii="Arial" w:hAnsi="Arial" w:cs="Arial"/>
                <w:color w:val="000000" w:themeColor="text1"/>
                <w:szCs w:val="24"/>
              </w:rPr>
              <w:t>outside of any Natura 2000/Ramsar site</w:t>
            </w:r>
            <w:r>
              <w:rPr>
                <w:rFonts w:ascii="Arial" w:hAnsi="Arial" w:cs="Arial"/>
                <w:color w:val="000000" w:themeColor="text1"/>
                <w:szCs w:val="24"/>
              </w:rPr>
              <w:t>s for this screening assessment.</w:t>
            </w:r>
          </w:p>
          <w:p w14:paraId="67AFC2B0" w14:textId="5A88371B" w:rsidR="00136717" w:rsidRPr="00033C58" w:rsidRDefault="00136717" w:rsidP="0050181C">
            <w:pPr>
              <w:spacing w:before="60"/>
              <w:rPr>
                <w:rFonts w:ascii="Arial" w:hAnsi="Arial" w:cs="Arial"/>
                <w:color w:val="FF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282807B" w:rsidR="007820C3" w:rsidRPr="00FB30B4" w:rsidRDefault="007820C3" w:rsidP="00A26EA6">
            <w:pPr>
              <w:rPr>
                <w:rFonts w:ascii="Arial" w:hAnsi="Arial" w:cs="Arial"/>
                <w:color w:val="FF00FF"/>
                <w:szCs w:val="24"/>
              </w:rPr>
            </w:pPr>
          </w:p>
        </w:tc>
        <w:tc>
          <w:tcPr>
            <w:tcW w:w="6266" w:type="dxa"/>
          </w:tcPr>
          <w:p w14:paraId="2429794A" w14:textId="77777777" w:rsidR="0050181C" w:rsidRPr="0050181C" w:rsidRDefault="0050181C" w:rsidP="0050181C">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661ED23D" w14:textId="77777777" w:rsidR="0050181C" w:rsidRPr="0050181C" w:rsidRDefault="0050181C" w:rsidP="0050181C">
            <w:pPr>
              <w:pStyle w:val="BodyText"/>
              <w:rPr>
                <w:rFonts w:ascii="Arial" w:hAnsi="Arial" w:cs="Arial"/>
                <w:szCs w:val="24"/>
              </w:rPr>
            </w:pPr>
          </w:p>
          <w:p w14:paraId="47745D81" w14:textId="77777777" w:rsidR="0050181C" w:rsidRPr="0050181C" w:rsidRDefault="0050181C" w:rsidP="0050181C">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5633F48E" w14:textId="77777777" w:rsidR="0050181C" w:rsidRPr="0050181C" w:rsidRDefault="0050181C" w:rsidP="0050181C">
            <w:pPr>
              <w:pStyle w:val="BodyText"/>
              <w:rPr>
                <w:rFonts w:ascii="Arial" w:hAnsi="Arial" w:cs="Arial"/>
                <w:szCs w:val="24"/>
              </w:rPr>
            </w:pPr>
          </w:p>
          <w:p w14:paraId="2D8C899A" w14:textId="77777777" w:rsidR="00FB30B4" w:rsidRDefault="0050181C" w:rsidP="0050181C">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1E408DCC" w:rsidR="0050181C" w:rsidRPr="007820C3" w:rsidRDefault="0050181C" w:rsidP="0050181C">
            <w:pPr>
              <w:pStyle w:val="BodyText"/>
              <w:rPr>
                <w:rFonts w:ascii="Arial" w:hAnsi="Arial" w:cs="Arial"/>
                <w:szCs w:val="24"/>
              </w:rPr>
            </w:pPr>
          </w:p>
        </w:tc>
        <w:tc>
          <w:tcPr>
            <w:tcW w:w="1072" w:type="dxa"/>
          </w:tcPr>
          <w:p w14:paraId="0FF152EA" w14:textId="27AD0793" w:rsidR="007820C3" w:rsidRPr="00FB30B4" w:rsidRDefault="005B6FB6"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742F4C46" w14:textId="77777777" w:rsidR="00FB30B4" w:rsidRDefault="0050181C" w:rsidP="0050181C">
            <w:pPr>
              <w:pStyle w:val="BodyText"/>
              <w:rPr>
                <w:rFonts w:ascii="Arial" w:hAnsi="Arial" w:cs="Arial"/>
                <w:szCs w:val="24"/>
              </w:rPr>
            </w:pPr>
            <w:r w:rsidRPr="0050181C">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0FF152F4" w14:textId="55CB52AB" w:rsidR="0050181C" w:rsidRPr="007820C3" w:rsidRDefault="0050181C" w:rsidP="0050181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0181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D5B7EFD" w:rsidR="0A08D9AA" w:rsidRPr="0050181C" w:rsidRDefault="0050181C" w:rsidP="396B50C7">
            <w:pPr>
              <w:pStyle w:val="NormalWeb"/>
              <w:rPr>
                <w:rFonts w:ascii="Arial" w:eastAsia="Calibri" w:hAnsi="Arial" w:cs="Arial"/>
              </w:rPr>
            </w:pPr>
            <w:r w:rsidRPr="0050181C">
              <w:rPr>
                <w:rFonts w:ascii="Arial" w:eastAsia="Calibri"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5F44B3CB" w:rsidR="00C44B7E" w:rsidRDefault="00C44B7E" w:rsidP="0050181C">
      <w:pPr>
        <w:pStyle w:val="Heading1"/>
        <w:jc w:val="left"/>
        <w:rPr>
          <w:b w:val="0"/>
        </w:rPr>
      </w:pPr>
    </w:p>
    <w:sectPr w:rsidR="00C44B7E" w:rsidSect="003F4346">
      <w:footerReference w:type="even" r:id="rId16"/>
      <w:footerReference w:type="default" r:id="rId17"/>
      <w:pgSz w:w="11906" w:h="16838"/>
      <w:pgMar w:top="1440" w:right="1800" w:bottom="1440" w:left="1800" w:header="720" w:footer="19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Wakeford, James" w:date="2023-02-02T12:41:00Z" w:initials="WJ">
    <w:p w14:paraId="42E5ACC2" w14:textId="1ABA7379" w:rsidR="001174AE" w:rsidRDefault="001174AE">
      <w:pPr>
        <w:pStyle w:val="CommentText"/>
      </w:pPr>
      <w:r>
        <w:rPr>
          <w:rStyle w:val="CommentReference"/>
        </w:rPr>
        <w:annotationRef/>
      </w:r>
      <w:r>
        <w:t>Delete ref to annex 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2E5ACC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62E00" w16cex:dateUtc="2023-02-02T12: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E5ACC2" w16cid:durableId="27862E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3C58"/>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174AE"/>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6C0B"/>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0181C"/>
    <w:rsid w:val="0053399B"/>
    <w:rsid w:val="0053589C"/>
    <w:rsid w:val="00564C6D"/>
    <w:rsid w:val="005761B2"/>
    <w:rsid w:val="005910D1"/>
    <w:rsid w:val="00591847"/>
    <w:rsid w:val="00591E64"/>
    <w:rsid w:val="005B36D9"/>
    <w:rsid w:val="005B6A95"/>
    <w:rsid w:val="005B6FB6"/>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075D"/>
    <w:rsid w:val="007676FA"/>
    <w:rsid w:val="00771574"/>
    <w:rsid w:val="00773847"/>
    <w:rsid w:val="00775165"/>
    <w:rsid w:val="007755AF"/>
    <w:rsid w:val="007820C3"/>
    <w:rsid w:val="00792990"/>
    <w:rsid w:val="00792CEE"/>
    <w:rsid w:val="007A055E"/>
    <w:rsid w:val="007A1244"/>
    <w:rsid w:val="007A2080"/>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06B2"/>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REGU-184-6557806</_dlc_DocId>
    <_dlc_DocIdUrl xmlns="9be56660-2c31-41ef-bc00-23e72f632f2a">
      <Url>https://cyfoethnaturiolcymru.sharepoint.com/teams/Regulatory/Permitting/_layouts/15/DocIdRedir.aspx?ID=REGU-184-6557806</Url>
      <Description>REGU-184-6557806</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Kites Nest</Site_x0020_Name>
    <Internal_x002f_External xmlns="859f7ad6-93f6-4205-b62b-a17f28acbbac">Internal document</Internal_x002f_External>
    <Post_x0020_code xmlns="859f7ad6-93f6-4205-b62b-a17f28acbbac">NP26 5UW</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Kites Nest, Crick, Caldicot, NP26 5UW</Addressee>
    <Process_x0020_Type xmlns="859f7ad6-93f6-4205-b62b-a17f28acbbac">Application</Process_x0020_Type>
    <Surrendered_x002f_Expired xmlns="859f7ad6-93f6-4205-b62b-a17f28acbbac" xsi:nil="true"/>
    <Document_x0020_Date xmlns="859f7ad6-93f6-4205-b62b-a17f28acbbac">2023-01-25T00:00:00+00:00</Document_x0020_Date>
    <Facility_x0020_Address xmlns="859f7ad6-93f6-4205-b62b-a17f28acbbac">Crick, Caldicot</Facility_x0020_Address>
    <Environment_x0020_Sub_x0020_Folder xmlns="859f7ad6-93f6-4205-b62b-a17f28acbbac">Licences applications</Environment_x0020_Sub_x0020_Folder>
    <Customer_x0020_Name xmlns="859f7ad6-93f6-4205-b62b-a17f28acbbac">Mr Keith Hazen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D2D0624D-0974-4E73-A1DB-6E2E6BC538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9be56660-2c31-41ef-bc00-23e72f632f2a"/>
    <ds:schemaRef ds:uri="http://purl.org/dc/terms/"/>
    <ds:schemaRef ds:uri="http://purl.org/dc/dcmitype/"/>
    <ds:schemaRef ds:uri="http://schemas.microsoft.com/office/2006/metadata/properties"/>
    <ds:schemaRef ds:uri="b67299c9-1600-4d20-976e-ea8f199d05b8"/>
    <ds:schemaRef ds:uri="http://purl.org/dc/elements/1.1/"/>
    <ds:schemaRef ds:uri="859f7ad6-93f6-4205-b62b-a17f28acbbac"/>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932</Words>
  <Characters>5047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2023-01-25T10:39:00Z</dcterms:created>
  <dcterms:modified xsi:type="dcterms:W3CDTF">2023-02-16T10:15:00Z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32583203-f514-4ae2-812e-ab916bf206b7</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