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REGU-369-2748500</_dlc_DocId>
    <_dlc_DocIdUrl xmlns="9be56660-2c31-41ef-bc00-23e72f632f2a">
      <Url>https://cyfoethnaturiolcymru.sharepoint.com/teams/Regulatory/Permitting/_layouts/15/DocIdRedir.aspx?ID=REGU-369-2748500</Url>
      <Description>REGU-369-2748500</Description>
    </_dlc_DocIdUrl>
    <Site_x0020_Name xmlns="859f7ad6-93f6-4205-b62b-a17f28acbbac">Treuddyn WwTW</Site_x0020_Name>
    <Internal_x002f_External xmlns="859f7ad6-93f6-4205-b62b-a17f28acbbac">Incoming document</Internal_x002f_External>
    <Post_x0020_code xmlns="859f7ad6-93f6-4205-b62b-a17f28acbbac">CH7 4LE</Post_x0020_code>
    <TaxCatchAll xmlns="859f7ad6-93f6-4205-b62b-a17f28acbbac"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Fford Corwen, Treuddyn, Mold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56C82159-E06C-4C39-B02A-9E5D04FF1D85}"/>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279A929B-FB03-435E-99FD-FB1AE2B57CA2}"/>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fc1cdc77-af43-4b4e-b173-19b4c973fc0c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