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CC1687" w14:textId="77777777" w:rsidR="00DC6BF1" w:rsidRPr="00AE29AF" w:rsidRDefault="00DC6BF1" w:rsidP="00DC6BF1">
      <w:pPr>
        <w:pStyle w:val="AgencyStdParagraph"/>
        <w:rPr>
          <w:color w:val="auto"/>
          <w:sz w:val="20"/>
        </w:rPr>
      </w:pPr>
      <w:r w:rsidRPr="00AE29AF">
        <w:rPr>
          <w:color w:val="auto"/>
          <w:sz w:val="20"/>
        </w:rPr>
        <w:t xml:space="preserve">Permit Number: </w:t>
      </w:r>
      <w:r w:rsidRPr="00AE29AF">
        <w:rPr>
          <w:color w:val="auto"/>
          <w:sz w:val="20"/>
        </w:rPr>
        <w:tab/>
        <w:t>PAN-021140</w:t>
      </w:r>
      <w:r w:rsidRPr="00AE29AF">
        <w:rPr>
          <w:color w:val="auto"/>
          <w:sz w:val="20"/>
        </w:rPr>
        <w:tab/>
      </w:r>
      <w:r w:rsidRPr="00AE29AF">
        <w:rPr>
          <w:color w:val="auto"/>
          <w:sz w:val="20"/>
        </w:rPr>
        <w:tab/>
      </w:r>
      <w:r w:rsidRPr="00AE29AF">
        <w:rPr>
          <w:color w:val="auto"/>
          <w:sz w:val="20"/>
        </w:rPr>
        <w:tab/>
        <w:t xml:space="preserve">Operator: </w:t>
      </w:r>
      <w:r w:rsidRPr="00AE29AF">
        <w:rPr>
          <w:color w:val="auto"/>
          <w:sz w:val="20"/>
        </w:rPr>
        <w:tab/>
      </w:r>
      <w:r w:rsidRPr="00AE29AF">
        <w:rPr>
          <w:color w:val="auto"/>
          <w:sz w:val="20"/>
        </w:rPr>
        <w:tab/>
      </w:r>
      <w:r>
        <w:rPr>
          <w:color w:val="auto"/>
          <w:sz w:val="20"/>
        </w:rPr>
        <w:t>SEDG (Miners) Limited</w:t>
      </w:r>
    </w:p>
    <w:p w14:paraId="2F88ED32" w14:textId="77777777" w:rsidR="00DC6BF1" w:rsidRPr="00AE29AF" w:rsidRDefault="00DC6BF1" w:rsidP="00DC6BF1">
      <w:pPr>
        <w:pStyle w:val="Header"/>
        <w:rPr>
          <w:rFonts w:ascii="Arial" w:hAnsi="Arial"/>
          <w:sz w:val="20"/>
          <w:szCs w:val="20"/>
        </w:rPr>
      </w:pPr>
    </w:p>
    <w:p w14:paraId="33005AD3" w14:textId="77777777" w:rsidR="00DC6BF1" w:rsidRDefault="00DC6BF1" w:rsidP="00DC6BF1">
      <w:pPr>
        <w:rPr>
          <w:rFonts w:ascii="Arial" w:hAnsi="Arial"/>
          <w:color w:val="0000FF"/>
          <w:szCs w:val="20"/>
        </w:rPr>
      </w:pPr>
      <w:r w:rsidRPr="00AE29AF">
        <w:rPr>
          <w:rFonts w:ascii="Arial" w:hAnsi="Arial"/>
          <w:szCs w:val="20"/>
        </w:rPr>
        <w:t>Facility:</w:t>
      </w:r>
      <w:r w:rsidRPr="00AE29AF">
        <w:rPr>
          <w:rFonts w:ascii="Arial" w:hAnsi="Arial"/>
          <w:szCs w:val="20"/>
        </w:rPr>
        <w:tab/>
      </w:r>
      <w:r w:rsidRPr="00AE29AF">
        <w:rPr>
          <w:rFonts w:ascii="Arial" w:hAnsi="Arial"/>
          <w:szCs w:val="20"/>
        </w:rPr>
        <w:tab/>
        <w:t>Miners Road Peaking Plant</w:t>
      </w:r>
      <w:r w:rsidRPr="009605B7">
        <w:rPr>
          <w:rFonts w:ascii="Arial" w:hAnsi="Arial"/>
          <w:color w:val="0000FF"/>
          <w:szCs w:val="20"/>
        </w:rPr>
        <w:tab/>
      </w:r>
      <w:r w:rsidRPr="009605B7">
        <w:rPr>
          <w:rFonts w:ascii="Arial" w:hAnsi="Arial"/>
          <w:szCs w:val="20"/>
        </w:rPr>
        <w:tab/>
        <w:t xml:space="preserve">Form Number: </w:t>
      </w:r>
      <w:r w:rsidRPr="009605B7">
        <w:rPr>
          <w:rFonts w:ascii="Arial" w:hAnsi="Arial"/>
          <w:szCs w:val="20"/>
        </w:rPr>
        <w:tab/>
      </w:r>
      <w:r w:rsidRPr="009605B7">
        <w:rPr>
          <w:rFonts w:ascii="Arial" w:hAnsi="Arial"/>
          <w:color w:val="FF0000"/>
          <w:szCs w:val="20"/>
        </w:rPr>
        <w:t xml:space="preserve"> </w:t>
      </w:r>
      <w:r>
        <w:rPr>
          <w:rFonts w:ascii="Arial" w:hAnsi="Arial"/>
          <w:color w:val="FF0000"/>
          <w:szCs w:val="20"/>
        </w:rPr>
        <w:tab/>
      </w:r>
      <w:r w:rsidRPr="00AE29AF">
        <w:rPr>
          <w:rFonts w:ascii="Arial" w:hAnsi="Arial"/>
          <w:szCs w:val="20"/>
        </w:rPr>
        <w:t xml:space="preserve">Air1 / </w:t>
      </w:r>
      <w:r w:rsidRPr="0027592D">
        <w:rPr>
          <w:rFonts w:ascii="Arial" w:hAnsi="Arial"/>
          <w:szCs w:val="20"/>
        </w:rPr>
        <w:t>0</w:t>
      </w:r>
      <w:r>
        <w:rPr>
          <w:rFonts w:ascii="Arial" w:hAnsi="Arial"/>
          <w:szCs w:val="20"/>
        </w:rPr>
        <w:t>5</w:t>
      </w:r>
      <w:r w:rsidRPr="0027592D">
        <w:rPr>
          <w:rFonts w:ascii="Arial" w:hAnsi="Arial"/>
          <w:szCs w:val="20"/>
        </w:rPr>
        <w:t>/05/2023</w:t>
      </w:r>
    </w:p>
    <w:p w14:paraId="2FA92B51" w14:textId="77777777" w:rsidR="00DC6BF1" w:rsidRPr="009605B7" w:rsidRDefault="00DC6BF1" w:rsidP="00DC6BF1">
      <w:pPr>
        <w:rPr>
          <w:rFonts w:ascii="Arial" w:hAnsi="Arial"/>
          <w:i/>
          <w:szCs w:val="20"/>
        </w:rPr>
      </w:pPr>
    </w:p>
    <w:p w14:paraId="07EF9407" w14:textId="77777777" w:rsidR="00DC6BF1" w:rsidRPr="009605B7" w:rsidRDefault="00DC6BF1" w:rsidP="00DC6BF1">
      <w:pPr>
        <w:pStyle w:val="Heading1"/>
        <w:jc w:val="both"/>
        <w:rPr>
          <w:b w:val="0"/>
          <w:i/>
          <w:color w:val="FF00FF"/>
          <w:sz w:val="20"/>
          <w:szCs w:val="20"/>
        </w:rPr>
      </w:pPr>
      <w:r w:rsidRPr="009605B7">
        <w:rPr>
          <w:sz w:val="20"/>
          <w:szCs w:val="20"/>
        </w:rPr>
        <w:t xml:space="preserve">Reporting of emissions to air for the period from </w:t>
      </w:r>
      <w:r>
        <w:rPr>
          <w:sz w:val="20"/>
          <w:szCs w:val="20"/>
        </w:rPr>
        <w:tab/>
      </w:r>
      <w:r>
        <w:rPr>
          <w:sz w:val="20"/>
          <w:szCs w:val="20"/>
        </w:rPr>
        <w:tab/>
      </w:r>
      <w:r w:rsidRPr="009605B7">
        <w:rPr>
          <w:sz w:val="20"/>
          <w:szCs w:val="20"/>
        </w:rPr>
        <w:t xml:space="preserve">to </w:t>
      </w:r>
      <w:r>
        <w:rPr>
          <w:b w:val="0"/>
          <w:color w:val="FF0000"/>
          <w:sz w:val="20"/>
          <w:szCs w:val="20"/>
        </w:rPr>
        <w:tab/>
      </w:r>
      <w:r w:rsidRPr="009605B7">
        <w:rPr>
          <w:b w:val="0"/>
          <w:i/>
          <w:color w:val="FF00FF"/>
          <w:sz w:val="20"/>
          <w:szCs w:val="20"/>
        </w:rPr>
        <w:t xml:space="preserve"> </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DC6BF1" w:rsidRPr="009605B7" w14:paraId="5681F9E6" w14:textId="77777777" w:rsidTr="00847754">
        <w:trPr>
          <w:tblHeader/>
          <w:jc w:val="center"/>
        </w:trPr>
        <w:tc>
          <w:tcPr>
            <w:tcW w:w="1242" w:type="dxa"/>
            <w:shd w:val="solid" w:color="auto" w:fill="auto"/>
            <w:vAlign w:val="center"/>
          </w:tcPr>
          <w:p w14:paraId="0D0E7C9B" w14:textId="77777777" w:rsidR="00DC6BF1" w:rsidRPr="009605B7" w:rsidRDefault="00DC6BF1" w:rsidP="00847754">
            <w:pPr>
              <w:jc w:val="center"/>
              <w:rPr>
                <w:rFonts w:ascii="Arial" w:hAnsi="Arial"/>
                <w:b/>
                <w:szCs w:val="20"/>
              </w:rPr>
            </w:pPr>
            <w:r w:rsidRPr="009605B7">
              <w:rPr>
                <w:rFonts w:ascii="Arial" w:hAnsi="Arial"/>
                <w:b/>
                <w:szCs w:val="20"/>
              </w:rPr>
              <w:t>Emission</w:t>
            </w:r>
          </w:p>
          <w:p w14:paraId="7FCEF24A" w14:textId="77777777" w:rsidR="00DC6BF1" w:rsidRPr="009605B7" w:rsidRDefault="00DC6BF1" w:rsidP="00847754">
            <w:pPr>
              <w:jc w:val="center"/>
              <w:rPr>
                <w:rFonts w:ascii="Arial" w:hAnsi="Arial"/>
                <w:b/>
                <w:szCs w:val="20"/>
              </w:rPr>
            </w:pPr>
            <w:r w:rsidRPr="009605B7">
              <w:rPr>
                <w:rFonts w:ascii="Arial" w:hAnsi="Arial"/>
                <w:b/>
                <w:szCs w:val="20"/>
              </w:rPr>
              <w:t>Point</w:t>
            </w:r>
          </w:p>
        </w:tc>
        <w:tc>
          <w:tcPr>
            <w:tcW w:w="1826" w:type="dxa"/>
            <w:shd w:val="solid" w:color="auto" w:fill="auto"/>
            <w:vAlign w:val="center"/>
          </w:tcPr>
          <w:p w14:paraId="4131F2A0" w14:textId="77777777" w:rsidR="00DC6BF1" w:rsidRPr="009605B7" w:rsidRDefault="00DC6BF1" w:rsidP="00847754">
            <w:pPr>
              <w:jc w:val="center"/>
              <w:rPr>
                <w:rFonts w:ascii="Arial" w:hAnsi="Arial"/>
                <w:b/>
                <w:szCs w:val="20"/>
              </w:rPr>
            </w:pPr>
            <w:r w:rsidRPr="009605B7">
              <w:rPr>
                <w:rFonts w:ascii="Arial" w:hAnsi="Arial"/>
                <w:b/>
                <w:szCs w:val="20"/>
              </w:rPr>
              <w:t>Substance /</w:t>
            </w:r>
          </w:p>
          <w:p w14:paraId="3435B3C6" w14:textId="77777777" w:rsidR="00DC6BF1" w:rsidRPr="009605B7" w:rsidRDefault="00DC6BF1" w:rsidP="00847754">
            <w:pPr>
              <w:jc w:val="center"/>
              <w:rPr>
                <w:rFonts w:ascii="Arial" w:hAnsi="Arial"/>
                <w:b/>
                <w:szCs w:val="20"/>
              </w:rPr>
            </w:pPr>
            <w:r w:rsidRPr="009605B7">
              <w:rPr>
                <w:rFonts w:ascii="Arial" w:hAnsi="Arial"/>
                <w:b/>
                <w:szCs w:val="20"/>
              </w:rPr>
              <w:t>Parameter</w:t>
            </w:r>
          </w:p>
        </w:tc>
        <w:tc>
          <w:tcPr>
            <w:tcW w:w="1559" w:type="dxa"/>
            <w:shd w:val="solid" w:color="auto" w:fill="auto"/>
            <w:vAlign w:val="center"/>
          </w:tcPr>
          <w:p w14:paraId="0B3E8FFF" w14:textId="77777777" w:rsidR="00DC6BF1" w:rsidRPr="009605B7" w:rsidRDefault="00DC6BF1" w:rsidP="00847754">
            <w:pPr>
              <w:jc w:val="center"/>
              <w:rPr>
                <w:rFonts w:ascii="Arial" w:hAnsi="Arial"/>
                <w:b/>
                <w:szCs w:val="20"/>
              </w:rPr>
            </w:pPr>
            <w:r w:rsidRPr="009605B7">
              <w:rPr>
                <w:rFonts w:ascii="Arial" w:hAnsi="Arial"/>
                <w:b/>
                <w:szCs w:val="20"/>
              </w:rPr>
              <w:t>Emission</w:t>
            </w:r>
          </w:p>
          <w:p w14:paraId="7A26CDAD" w14:textId="77777777" w:rsidR="00DC6BF1" w:rsidRPr="009605B7" w:rsidRDefault="00DC6BF1" w:rsidP="00847754">
            <w:pPr>
              <w:pStyle w:val="Heading1"/>
              <w:rPr>
                <w:sz w:val="20"/>
                <w:szCs w:val="20"/>
              </w:rPr>
            </w:pPr>
            <w:r w:rsidRPr="009605B7">
              <w:rPr>
                <w:sz w:val="20"/>
                <w:szCs w:val="20"/>
              </w:rPr>
              <w:t>Limit Value</w:t>
            </w:r>
          </w:p>
        </w:tc>
        <w:tc>
          <w:tcPr>
            <w:tcW w:w="2552" w:type="dxa"/>
            <w:tcBorders>
              <w:bottom w:val="single" w:sz="4" w:space="0" w:color="auto"/>
            </w:tcBorders>
            <w:shd w:val="solid" w:color="auto" w:fill="auto"/>
            <w:vAlign w:val="center"/>
          </w:tcPr>
          <w:p w14:paraId="3DAD4DD9" w14:textId="77777777" w:rsidR="00DC6BF1" w:rsidRPr="009605B7" w:rsidRDefault="00DC6BF1" w:rsidP="00847754">
            <w:pPr>
              <w:jc w:val="center"/>
              <w:rPr>
                <w:rFonts w:ascii="Arial" w:hAnsi="Arial"/>
                <w:b/>
                <w:szCs w:val="20"/>
              </w:rPr>
            </w:pPr>
            <w:r w:rsidRPr="009605B7">
              <w:rPr>
                <w:rFonts w:ascii="Arial" w:hAnsi="Arial"/>
                <w:b/>
                <w:szCs w:val="20"/>
              </w:rPr>
              <w:t>Reference Period</w:t>
            </w:r>
          </w:p>
        </w:tc>
        <w:tc>
          <w:tcPr>
            <w:tcW w:w="1984" w:type="dxa"/>
            <w:tcBorders>
              <w:bottom w:val="single" w:sz="4" w:space="0" w:color="auto"/>
            </w:tcBorders>
            <w:shd w:val="solid" w:color="auto" w:fill="auto"/>
            <w:vAlign w:val="center"/>
          </w:tcPr>
          <w:p w14:paraId="3C905C2B" w14:textId="77777777" w:rsidR="00DC6BF1" w:rsidRPr="009605B7" w:rsidRDefault="00DC6BF1" w:rsidP="00847754">
            <w:pPr>
              <w:jc w:val="center"/>
              <w:rPr>
                <w:rFonts w:ascii="Arial" w:hAnsi="Arial"/>
                <w:b/>
                <w:szCs w:val="20"/>
              </w:rPr>
            </w:pPr>
            <w:r w:rsidRPr="009605B7">
              <w:rPr>
                <w:rFonts w:ascii="Arial" w:hAnsi="Arial"/>
                <w:b/>
                <w:szCs w:val="20"/>
              </w:rPr>
              <w:t xml:space="preserve">Result </w:t>
            </w:r>
            <w:r w:rsidRPr="009605B7">
              <w:rPr>
                <w:rFonts w:ascii="Arial" w:hAnsi="Arial"/>
                <w:b/>
                <w:szCs w:val="20"/>
                <w:vertAlign w:val="superscript"/>
              </w:rPr>
              <w:t>[1]</w:t>
            </w:r>
          </w:p>
        </w:tc>
        <w:tc>
          <w:tcPr>
            <w:tcW w:w="1560" w:type="dxa"/>
            <w:shd w:val="solid" w:color="auto" w:fill="auto"/>
            <w:vAlign w:val="center"/>
          </w:tcPr>
          <w:p w14:paraId="092CAB66" w14:textId="77777777" w:rsidR="00DC6BF1" w:rsidRPr="009605B7" w:rsidRDefault="00DC6BF1" w:rsidP="00847754">
            <w:pPr>
              <w:jc w:val="center"/>
              <w:rPr>
                <w:rFonts w:ascii="Arial" w:hAnsi="Arial"/>
                <w:b/>
                <w:szCs w:val="20"/>
              </w:rPr>
            </w:pPr>
            <w:r w:rsidRPr="009605B7">
              <w:rPr>
                <w:rFonts w:ascii="Arial" w:hAnsi="Arial"/>
                <w:b/>
                <w:szCs w:val="20"/>
              </w:rPr>
              <w:t>Test</w:t>
            </w:r>
          </w:p>
          <w:p w14:paraId="11B8305D" w14:textId="77777777" w:rsidR="00DC6BF1" w:rsidRPr="009605B7" w:rsidRDefault="00DC6BF1" w:rsidP="00847754">
            <w:pPr>
              <w:jc w:val="center"/>
              <w:rPr>
                <w:rFonts w:ascii="Arial" w:hAnsi="Arial"/>
                <w:b/>
                <w:szCs w:val="20"/>
              </w:rPr>
            </w:pPr>
            <w:r w:rsidRPr="009605B7">
              <w:rPr>
                <w:rFonts w:ascii="Arial" w:hAnsi="Arial"/>
                <w:b/>
                <w:szCs w:val="20"/>
              </w:rPr>
              <w:t xml:space="preserve">Method </w:t>
            </w:r>
            <w:r w:rsidRPr="009605B7">
              <w:rPr>
                <w:rFonts w:ascii="Arial" w:hAnsi="Arial"/>
                <w:b/>
                <w:szCs w:val="20"/>
                <w:vertAlign w:val="superscript"/>
              </w:rPr>
              <w:t>[2]</w:t>
            </w:r>
            <w:r>
              <w:rPr>
                <w:rFonts w:ascii="Arial" w:hAnsi="Arial"/>
                <w:b/>
                <w:szCs w:val="20"/>
                <w:vertAlign w:val="superscript"/>
              </w:rPr>
              <w:t>[5]</w:t>
            </w:r>
          </w:p>
        </w:tc>
        <w:tc>
          <w:tcPr>
            <w:tcW w:w="1984" w:type="dxa"/>
            <w:shd w:val="solid" w:color="auto" w:fill="auto"/>
            <w:vAlign w:val="center"/>
          </w:tcPr>
          <w:p w14:paraId="62241E20" w14:textId="77777777" w:rsidR="00DC6BF1" w:rsidRPr="009605B7" w:rsidRDefault="00DC6BF1" w:rsidP="00847754">
            <w:pPr>
              <w:jc w:val="center"/>
              <w:rPr>
                <w:rFonts w:ascii="Arial" w:hAnsi="Arial"/>
                <w:b/>
                <w:szCs w:val="20"/>
              </w:rPr>
            </w:pPr>
            <w:r w:rsidRPr="009605B7">
              <w:rPr>
                <w:rFonts w:ascii="Arial" w:hAnsi="Arial"/>
                <w:b/>
                <w:szCs w:val="20"/>
              </w:rPr>
              <w:t>Sample</w:t>
            </w:r>
          </w:p>
          <w:p w14:paraId="1EA49043" w14:textId="77777777" w:rsidR="00DC6BF1" w:rsidRPr="009605B7" w:rsidRDefault="00DC6BF1" w:rsidP="00847754">
            <w:pPr>
              <w:jc w:val="center"/>
              <w:rPr>
                <w:rFonts w:ascii="Arial" w:hAnsi="Arial"/>
                <w:b/>
                <w:szCs w:val="20"/>
              </w:rPr>
            </w:pPr>
            <w:r w:rsidRPr="009605B7">
              <w:rPr>
                <w:rFonts w:ascii="Arial" w:hAnsi="Arial"/>
                <w:b/>
                <w:szCs w:val="20"/>
              </w:rPr>
              <w:t xml:space="preserve">Date and Times </w:t>
            </w:r>
            <w:r w:rsidRPr="009605B7">
              <w:rPr>
                <w:rFonts w:ascii="Arial" w:hAnsi="Arial"/>
                <w:b/>
                <w:szCs w:val="20"/>
                <w:vertAlign w:val="superscript"/>
              </w:rPr>
              <w:t>[3]</w:t>
            </w:r>
          </w:p>
        </w:tc>
        <w:tc>
          <w:tcPr>
            <w:tcW w:w="1435" w:type="dxa"/>
            <w:shd w:val="solid" w:color="auto" w:fill="auto"/>
            <w:vAlign w:val="center"/>
          </w:tcPr>
          <w:p w14:paraId="2A3F1DA1" w14:textId="77777777" w:rsidR="00DC6BF1" w:rsidRPr="009605B7" w:rsidRDefault="00DC6BF1" w:rsidP="00847754">
            <w:pPr>
              <w:jc w:val="center"/>
              <w:rPr>
                <w:rFonts w:ascii="Arial" w:hAnsi="Arial"/>
                <w:b/>
                <w:szCs w:val="20"/>
              </w:rPr>
            </w:pPr>
            <w:r w:rsidRPr="009605B7">
              <w:rPr>
                <w:rFonts w:ascii="Arial" w:hAnsi="Arial"/>
                <w:b/>
                <w:szCs w:val="20"/>
              </w:rPr>
              <w:t>Uncertainty</w:t>
            </w:r>
          </w:p>
          <w:p w14:paraId="5260614F" w14:textId="77777777" w:rsidR="00DC6BF1" w:rsidRPr="009605B7" w:rsidRDefault="00DC6BF1" w:rsidP="00847754">
            <w:pPr>
              <w:jc w:val="center"/>
              <w:rPr>
                <w:rFonts w:ascii="Arial" w:hAnsi="Arial"/>
                <w:b/>
                <w:szCs w:val="20"/>
              </w:rPr>
            </w:pPr>
            <w:r w:rsidRPr="009605B7">
              <w:rPr>
                <w:rFonts w:ascii="Arial" w:hAnsi="Arial"/>
                <w:b/>
                <w:szCs w:val="20"/>
                <w:vertAlign w:val="superscript"/>
              </w:rPr>
              <w:t>[4]</w:t>
            </w:r>
          </w:p>
        </w:tc>
      </w:tr>
      <w:tr w:rsidR="00DC6BF1" w:rsidRPr="00AE29AF" w14:paraId="43B20B80" w14:textId="77777777" w:rsidTr="00847754">
        <w:trPr>
          <w:cantSplit/>
          <w:trHeight w:val="459"/>
          <w:jc w:val="center"/>
        </w:trPr>
        <w:tc>
          <w:tcPr>
            <w:tcW w:w="1242" w:type="dxa"/>
            <w:vMerge w:val="restart"/>
            <w:vAlign w:val="center"/>
          </w:tcPr>
          <w:p w14:paraId="535CE377" w14:textId="77777777" w:rsidR="00DC6BF1" w:rsidRPr="00AE29AF" w:rsidRDefault="00DC6BF1" w:rsidP="00847754">
            <w:pPr>
              <w:pStyle w:val="Filename"/>
              <w:jc w:val="center"/>
              <w:rPr>
                <w:rFonts w:ascii="Arial" w:hAnsi="Arial" w:cs="Arial"/>
              </w:rPr>
            </w:pPr>
            <w:r w:rsidRPr="00AE29AF">
              <w:rPr>
                <w:rFonts w:ascii="Arial" w:hAnsi="Arial" w:cs="Arial"/>
              </w:rPr>
              <w:t>A1, A2, A3, A4, A5, A6, A7, A8, A9</w:t>
            </w:r>
          </w:p>
        </w:tc>
        <w:tc>
          <w:tcPr>
            <w:tcW w:w="1826" w:type="dxa"/>
            <w:vAlign w:val="center"/>
          </w:tcPr>
          <w:p w14:paraId="2D8F3030" w14:textId="77777777" w:rsidR="00DC6BF1" w:rsidRPr="00AE29AF" w:rsidRDefault="00DC6BF1" w:rsidP="00847754">
            <w:pPr>
              <w:pStyle w:val="Tableexamples"/>
              <w:rPr>
                <w:rFonts w:cs="Arial"/>
                <w:i w:val="0"/>
                <w:color w:val="auto"/>
                <w:sz w:val="20"/>
              </w:rPr>
            </w:pPr>
            <w:r w:rsidRPr="00AE29AF">
              <w:rPr>
                <w:rFonts w:cs="Arial"/>
                <w:i w:val="0"/>
                <w:color w:val="auto"/>
                <w:sz w:val="20"/>
              </w:rPr>
              <w:t>Oxides of Nitrogen (NO and NO</w:t>
            </w:r>
            <w:r w:rsidRPr="00AE29AF">
              <w:rPr>
                <w:rFonts w:cs="Arial"/>
                <w:i w:val="0"/>
                <w:color w:val="auto"/>
                <w:sz w:val="20"/>
                <w:vertAlign w:val="subscript"/>
              </w:rPr>
              <w:t>2</w:t>
            </w:r>
            <w:r w:rsidRPr="00AE29AF">
              <w:rPr>
                <w:rFonts w:cs="Arial"/>
                <w:i w:val="0"/>
                <w:color w:val="auto"/>
                <w:sz w:val="20"/>
              </w:rPr>
              <w:t xml:space="preserve"> expressed as NO</w:t>
            </w:r>
            <w:r w:rsidRPr="00AE29AF">
              <w:rPr>
                <w:rFonts w:cs="Arial"/>
                <w:i w:val="0"/>
                <w:color w:val="auto"/>
                <w:sz w:val="20"/>
                <w:vertAlign w:val="subscript"/>
              </w:rPr>
              <w:t>2</w:t>
            </w:r>
            <w:r w:rsidRPr="00AE29AF">
              <w:rPr>
                <w:rFonts w:cs="Arial"/>
                <w:i w:val="0"/>
                <w:color w:val="auto"/>
                <w:sz w:val="20"/>
              </w:rPr>
              <w:t>)</w:t>
            </w:r>
          </w:p>
        </w:tc>
        <w:tc>
          <w:tcPr>
            <w:tcW w:w="1559" w:type="dxa"/>
            <w:vAlign w:val="center"/>
          </w:tcPr>
          <w:p w14:paraId="693860C0" w14:textId="77777777" w:rsidR="00DC6BF1" w:rsidRPr="00AE29AF" w:rsidRDefault="00DC6BF1" w:rsidP="00847754">
            <w:pPr>
              <w:jc w:val="center"/>
              <w:rPr>
                <w:rFonts w:ascii="Arial" w:hAnsi="Arial" w:cs="Arial"/>
                <w:szCs w:val="20"/>
              </w:rPr>
            </w:pPr>
            <w:r w:rsidRPr="00AE29AF">
              <w:rPr>
                <w:rFonts w:ascii="Arial" w:hAnsi="Arial" w:cs="Arial"/>
                <w:szCs w:val="20"/>
              </w:rPr>
              <w:t>95 mg/Nm</w:t>
            </w:r>
            <w:r w:rsidRPr="00AE29AF">
              <w:rPr>
                <w:rFonts w:ascii="Arial" w:hAnsi="Arial" w:cs="Arial"/>
                <w:szCs w:val="20"/>
                <w:vertAlign w:val="superscript"/>
              </w:rPr>
              <w:t>3</w:t>
            </w:r>
          </w:p>
        </w:tc>
        <w:tc>
          <w:tcPr>
            <w:tcW w:w="2552" w:type="dxa"/>
            <w:vAlign w:val="center"/>
          </w:tcPr>
          <w:p w14:paraId="32E4923F" w14:textId="77777777" w:rsidR="00DC6BF1" w:rsidRPr="00AE29AF" w:rsidRDefault="00DC6BF1" w:rsidP="00847754">
            <w:pPr>
              <w:rPr>
                <w:rFonts w:ascii="Arial" w:hAnsi="Arial" w:cs="Arial"/>
                <w:szCs w:val="20"/>
              </w:rPr>
            </w:pPr>
            <w:r w:rsidRPr="00AE29AF">
              <w:rPr>
                <w:rFonts w:ascii="Arial" w:hAnsi="Arial" w:cs="Arial"/>
                <w:szCs w:val="20"/>
              </w:rPr>
              <w:t>Periodic</w:t>
            </w:r>
          </w:p>
        </w:tc>
        <w:tc>
          <w:tcPr>
            <w:tcW w:w="1984" w:type="dxa"/>
            <w:vAlign w:val="center"/>
          </w:tcPr>
          <w:p w14:paraId="05CB5554" w14:textId="77777777" w:rsidR="00DC6BF1" w:rsidRPr="00AE29AF" w:rsidRDefault="00DC6BF1" w:rsidP="00847754">
            <w:pPr>
              <w:jc w:val="center"/>
              <w:rPr>
                <w:rFonts w:ascii="Arial" w:hAnsi="Arial" w:cs="Arial"/>
                <w:szCs w:val="20"/>
              </w:rPr>
            </w:pPr>
          </w:p>
        </w:tc>
        <w:tc>
          <w:tcPr>
            <w:tcW w:w="1560" w:type="dxa"/>
            <w:vAlign w:val="center"/>
          </w:tcPr>
          <w:p w14:paraId="64953435" w14:textId="77777777" w:rsidR="00DC6BF1" w:rsidRPr="00AE29AF" w:rsidRDefault="00DC6BF1" w:rsidP="00847754">
            <w:pPr>
              <w:jc w:val="center"/>
              <w:rPr>
                <w:rFonts w:ascii="Arial" w:hAnsi="Arial" w:cs="Arial"/>
                <w:szCs w:val="20"/>
              </w:rPr>
            </w:pPr>
            <w:r w:rsidRPr="00AE29AF">
              <w:rPr>
                <w:rFonts w:ascii="Arial" w:hAnsi="Arial" w:cs="Arial"/>
                <w:szCs w:val="20"/>
              </w:rPr>
              <w:t>BS EN 14792</w:t>
            </w:r>
          </w:p>
        </w:tc>
        <w:tc>
          <w:tcPr>
            <w:tcW w:w="1984" w:type="dxa"/>
            <w:vAlign w:val="center"/>
          </w:tcPr>
          <w:p w14:paraId="4B00B40A" w14:textId="77777777" w:rsidR="00DC6BF1" w:rsidRPr="00AE29AF" w:rsidRDefault="00DC6BF1" w:rsidP="00847754">
            <w:pPr>
              <w:jc w:val="center"/>
              <w:rPr>
                <w:rFonts w:ascii="Arial Narrow" w:hAnsi="Arial Narrow"/>
                <w:szCs w:val="20"/>
              </w:rPr>
            </w:pPr>
          </w:p>
        </w:tc>
        <w:tc>
          <w:tcPr>
            <w:tcW w:w="1435" w:type="dxa"/>
            <w:vAlign w:val="center"/>
          </w:tcPr>
          <w:p w14:paraId="7507B4DA" w14:textId="77777777" w:rsidR="00DC6BF1" w:rsidRPr="00AE29AF" w:rsidRDefault="00DC6BF1" w:rsidP="00847754">
            <w:pPr>
              <w:jc w:val="center"/>
              <w:rPr>
                <w:rFonts w:ascii="Arial Narrow" w:hAnsi="Arial Narrow"/>
                <w:szCs w:val="20"/>
              </w:rPr>
            </w:pPr>
          </w:p>
        </w:tc>
      </w:tr>
      <w:tr w:rsidR="00DC6BF1" w:rsidRPr="00AE29AF" w14:paraId="17B01F79" w14:textId="77777777" w:rsidTr="00847754">
        <w:trPr>
          <w:cantSplit/>
          <w:jc w:val="center"/>
        </w:trPr>
        <w:tc>
          <w:tcPr>
            <w:tcW w:w="1242" w:type="dxa"/>
            <w:vMerge/>
            <w:vAlign w:val="center"/>
          </w:tcPr>
          <w:p w14:paraId="20701487" w14:textId="77777777" w:rsidR="00DC6BF1" w:rsidRPr="00AE29AF" w:rsidRDefault="00DC6BF1" w:rsidP="00847754">
            <w:pPr>
              <w:pStyle w:val="Filename"/>
              <w:jc w:val="center"/>
              <w:rPr>
                <w:rFonts w:ascii="Arial" w:hAnsi="Arial" w:cs="Arial"/>
              </w:rPr>
            </w:pPr>
          </w:p>
        </w:tc>
        <w:tc>
          <w:tcPr>
            <w:tcW w:w="1826" w:type="dxa"/>
            <w:vAlign w:val="center"/>
          </w:tcPr>
          <w:p w14:paraId="06D04F85" w14:textId="77777777" w:rsidR="00DC6BF1" w:rsidRPr="00AE29AF" w:rsidRDefault="00DC6BF1" w:rsidP="00847754">
            <w:pPr>
              <w:pStyle w:val="Tableexamples"/>
              <w:rPr>
                <w:rFonts w:cs="Arial"/>
                <w:i w:val="0"/>
                <w:color w:val="auto"/>
                <w:sz w:val="20"/>
              </w:rPr>
            </w:pPr>
            <w:r w:rsidRPr="00AE29AF">
              <w:rPr>
                <w:rFonts w:cs="Arial"/>
                <w:i w:val="0"/>
                <w:color w:val="auto"/>
                <w:sz w:val="20"/>
              </w:rPr>
              <w:t>Carbon monoxide</w:t>
            </w:r>
          </w:p>
        </w:tc>
        <w:tc>
          <w:tcPr>
            <w:tcW w:w="1559" w:type="dxa"/>
            <w:vAlign w:val="center"/>
          </w:tcPr>
          <w:p w14:paraId="008757F1" w14:textId="77777777" w:rsidR="00DC6BF1" w:rsidRPr="00AE29AF" w:rsidRDefault="00DC6BF1" w:rsidP="00847754">
            <w:pPr>
              <w:jc w:val="center"/>
              <w:rPr>
                <w:rFonts w:ascii="Arial" w:hAnsi="Arial" w:cs="Arial"/>
                <w:szCs w:val="20"/>
              </w:rPr>
            </w:pPr>
            <w:r w:rsidRPr="00AE29AF">
              <w:rPr>
                <w:rFonts w:ascii="Arial" w:hAnsi="Arial" w:cs="Arial"/>
                <w:szCs w:val="20"/>
              </w:rPr>
              <w:t>No limit set</w:t>
            </w:r>
          </w:p>
        </w:tc>
        <w:tc>
          <w:tcPr>
            <w:tcW w:w="2552" w:type="dxa"/>
            <w:vAlign w:val="center"/>
          </w:tcPr>
          <w:p w14:paraId="63457BFC" w14:textId="77777777" w:rsidR="00DC6BF1" w:rsidRPr="00AE29AF" w:rsidRDefault="00DC6BF1" w:rsidP="00847754">
            <w:pPr>
              <w:rPr>
                <w:rFonts w:ascii="Arial" w:hAnsi="Arial" w:cs="Arial"/>
                <w:szCs w:val="20"/>
              </w:rPr>
            </w:pPr>
            <w:r w:rsidRPr="00AE29AF">
              <w:rPr>
                <w:rFonts w:ascii="Arial" w:hAnsi="Arial" w:cs="Arial"/>
                <w:szCs w:val="20"/>
              </w:rPr>
              <w:t>Periodic</w:t>
            </w:r>
          </w:p>
        </w:tc>
        <w:tc>
          <w:tcPr>
            <w:tcW w:w="1984" w:type="dxa"/>
            <w:vAlign w:val="center"/>
          </w:tcPr>
          <w:p w14:paraId="7BB25EAB" w14:textId="77777777" w:rsidR="00DC6BF1" w:rsidRPr="00AE29AF" w:rsidRDefault="00DC6BF1" w:rsidP="00847754">
            <w:pPr>
              <w:jc w:val="center"/>
              <w:rPr>
                <w:rFonts w:ascii="Arial" w:hAnsi="Arial" w:cs="Arial"/>
                <w:szCs w:val="20"/>
              </w:rPr>
            </w:pPr>
          </w:p>
        </w:tc>
        <w:tc>
          <w:tcPr>
            <w:tcW w:w="1560" w:type="dxa"/>
            <w:vAlign w:val="center"/>
          </w:tcPr>
          <w:p w14:paraId="04E6AF8D" w14:textId="77777777" w:rsidR="00DC6BF1" w:rsidRPr="00AE29AF" w:rsidRDefault="00DC6BF1" w:rsidP="00847754">
            <w:pPr>
              <w:jc w:val="center"/>
              <w:rPr>
                <w:rFonts w:ascii="Arial" w:hAnsi="Arial" w:cs="Arial"/>
                <w:szCs w:val="20"/>
              </w:rPr>
            </w:pPr>
            <w:r w:rsidRPr="00AE29AF">
              <w:rPr>
                <w:rFonts w:ascii="Arial" w:hAnsi="Arial" w:cs="Arial"/>
                <w:szCs w:val="20"/>
              </w:rPr>
              <w:t>BS EN 15058</w:t>
            </w:r>
          </w:p>
        </w:tc>
        <w:tc>
          <w:tcPr>
            <w:tcW w:w="1984" w:type="dxa"/>
            <w:vAlign w:val="center"/>
          </w:tcPr>
          <w:p w14:paraId="20E95737" w14:textId="77777777" w:rsidR="00DC6BF1" w:rsidRPr="00AE29AF" w:rsidRDefault="00DC6BF1" w:rsidP="00847754">
            <w:pPr>
              <w:jc w:val="center"/>
              <w:rPr>
                <w:rFonts w:ascii="Arial Narrow" w:hAnsi="Arial Narrow"/>
                <w:szCs w:val="20"/>
              </w:rPr>
            </w:pPr>
          </w:p>
        </w:tc>
        <w:tc>
          <w:tcPr>
            <w:tcW w:w="1435" w:type="dxa"/>
            <w:vAlign w:val="center"/>
          </w:tcPr>
          <w:p w14:paraId="32C3AC27" w14:textId="77777777" w:rsidR="00DC6BF1" w:rsidRPr="00AE29AF" w:rsidRDefault="00DC6BF1" w:rsidP="00847754">
            <w:pPr>
              <w:jc w:val="center"/>
              <w:rPr>
                <w:rFonts w:ascii="Arial Narrow" w:hAnsi="Arial Narrow"/>
                <w:szCs w:val="20"/>
              </w:rPr>
            </w:pPr>
          </w:p>
        </w:tc>
      </w:tr>
    </w:tbl>
    <w:p w14:paraId="5AB42D7C" w14:textId="77777777" w:rsidR="00DC6BF1" w:rsidRPr="009605B7" w:rsidRDefault="00DC6BF1" w:rsidP="00DC6BF1">
      <w:pPr>
        <w:pStyle w:val="AgencyStdParagraph"/>
        <w:rPr>
          <w:sz w:val="20"/>
        </w:rPr>
      </w:pPr>
    </w:p>
    <w:p w14:paraId="4D41E7A8" w14:textId="77777777" w:rsidR="00DC6BF1" w:rsidRPr="009605B7" w:rsidRDefault="00DC6BF1" w:rsidP="00DC6BF1">
      <w:pPr>
        <w:pStyle w:val="AgencyStdParagraph"/>
        <w:numPr>
          <w:ilvl w:val="0"/>
          <w:numId w:val="1"/>
        </w:numPr>
        <w:jc w:val="left"/>
        <w:rPr>
          <w:color w:val="000000"/>
          <w:szCs w:val="18"/>
        </w:rPr>
      </w:pPr>
      <w:r w:rsidRPr="009605B7">
        <w:rPr>
          <w:color w:val="000000"/>
          <w:szCs w:val="18"/>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7460EA4D" w14:textId="77777777" w:rsidR="00DC6BF1" w:rsidRPr="009605B7" w:rsidRDefault="00DC6BF1" w:rsidP="00DC6BF1">
      <w:pPr>
        <w:pStyle w:val="AgencyStdParagraph"/>
        <w:numPr>
          <w:ilvl w:val="0"/>
          <w:numId w:val="1"/>
        </w:numPr>
        <w:jc w:val="left"/>
        <w:rPr>
          <w:color w:val="000000"/>
          <w:szCs w:val="18"/>
        </w:rPr>
      </w:pPr>
      <w:r w:rsidRPr="009605B7">
        <w:rPr>
          <w:color w:val="000000"/>
          <w:szCs w:val="18"/>
        </w:rPr>
        <w:t xml:space="preserve">Where an internationally recognised standard test method is used the reference number is given. Where another method that has been formally agreed with Natural Resources Wales is used, then the appropriate identifier is given. In other </w:t>
      </w:r>
      <w:proofErr w:type="gramStart"/>
      <w:r w:rsidRPr="009605B7">
        <w:rPr>
          <w:color w:val="000000"/>
          <w:szCs w:val="18"/>
        </w:rPr>
        <w:t>cases</w:t>
      </w:r>
      <w:proofErr w:type="gramEnd"/>
      <w:r w:rsidRPr="009605B7">
        <w:rPr>
          <w:color w:val="000000"/>
          <w:szCs w:val="18"/>
        </w:rPr>
        <w:t xml:space="preserve"> the principal technique is stated, for example gas chromatography.</w:t>
      </w:r>
    </w:p>
    <w:p w14:paraId="450976BF" w14:textId="77777777" w:rsidR="00DC6BF1" w:rsidRPr="009605B7" w:rsidRDefault="00DC6BF1" w:rsidP="00DC6BF1">
      <w:pPr>
        <w:pStyle w:val="AgencyStdParagraph"/>
        <w:numPr>
          <w:ilvl w:val="0"/>
          <w:numId w:val="1"/>
        </w:numPr>
        <w:jc w:val="left"/>
        <w:rPr>
          <w:color w:val="000000"/>
          <w:szCs w:val="18"/>
        </w:rPr>
      </w:pPr>
      <w:r w:rsidRPr="009605B7">
        <w:rPr>
          <w:color w:val="000000"/>
          <w:szCs w:val="18"/>
        </w:rPr>
        <w:t xml:space="preserve">For non-continuous measurements the date and time of the sample that produced the result is given. For continuous measurements the percentage of the process operating time covered by the result is given.   </w:t>
      </w:r>
    </w:p>
    <w:p w14:paraId="171D5116" w14:textId="77777777" w:rsidR="00DC6BF1" w:rsidRPr="009605B7" w:rsidRDefault="00DC6BF1" w:rsidP="00DC6BF1">
      <w:pPr>
        <w:pStyle w:val="AgencyStdParagraph"/>
        <w:numPr>
          <w:ilvl w:val="0"/>
          <w:numId w:val="1"/>
        </w:numPr>
        <w:jc w:val="left"/>
        <w:rPr>
          <w:szCs w:val="18"/>
        </w:rPr>
      </w:pPr>
      <w:r w:rsidRPr="009605B7">
        <w:rPr>
          <w:color w:val="000000"/>
          <w:szCs w:val="18"/>
        </w:rPr>
        <w:t>The uncertainty associated with the quoted result at the 95% confidence interval, unless otherwise stated.</w:t>
      </w:r>
    </w:p>
    <w:p w14:paraId="5ABC6858" w14:textId="77777777" w:rsidR="00DC6BF1" w:rsidRPr="009605B7" w:rsidRDefault="00DC6BF1" w:rsidP="00DC6BF1">
      <w:pPr>
        <w:pStyle w:val="AgencyStdParagraph"/>
        <w:numPr>
          <w:ilvl w:val="0"/>
          <w:numId w:val="1"/>
        </w:numPr>
        <w:jc w:val="left"/>
        <w:rPr>
          <w:color w:val="000000" w:themeColor="text1"/>
          <w:szCs w:val="18"/>
        </w:rPr>
      </w:pPr>
      <w:r w:rsidRPr="009605B7">
        <w:rPr>
          <w:color w:val="000000" w:themeColor="text1"/>
          <w:szCs w:val="18"/>
        </w:rPr>
        <w:t>Monitoring requirements are defined at a temperature of 273.15 K, a pressure of 101.3 kPa and after correction for the water vapour content of the waste gases at a standardised O</w:t>
      </w:r>
      <w:r w:rsidRPr="009605B7">
        <w:rPr>
          <w:color w:val="000000" w:themeColor="text1"/>
          <w:szCs w:val="18"/>
          <w:vertAlign w:val="subscript"/>
        </w:rPr>
        <w:t>2</w:t>
      </w:r>
      <w:r w:rsidRPr="009605B7">
        <w:rPr>
          <w:color w:val="000000" w:themeColor="text1"/>
          <w:szCs w:val="18"/>
        </w:rPr>
        <w:t xml:space="preserve"> content of 6 % for solid fuels, 15 % for engines and gas turbines and 3 % all other MCPs</w:t>
      </w:r>
    </w:p>
    <w:p w14:paraId="08FBF062" w14:textId="77777777" w:rsidR="00DC6BF1" w:rsidRPr="009605B7" w:rsidRDefault="00DC6BF1" w:rsidP="00DC6BF1">
      <w:pPr>
        <w:pStyle w:val="AgencyStdParagraph"/>
        <w:rPr>
          <w:sz w:val="20"/>
        </w:rPr>
      </w:pPr>
    </w:p>
    <w:p w14:paraId="44418F1B" w14:textId="77777777" w:rsidR="00DC6BF1" w:rsidRPr="009605B7" w:rsidRDefault="00DC6BF1" w:rsidP="00DC6BF1">
      <w:pPr>
        <w:pStyle w:val="AgencyStdParagraph"/>
        <w:rPr>
          <w:sz w:val="20"/>
        </w:rPr>
      </w:pPr>
    </w:p>
    <w:p w14:paraId="221BDECB" w14:textId="77777777" w:rsidR="00DC6BF1" w:rsidRPr="009605B7" w:rsidRDefault="00DC6BF1" w:rsidP="00DC6BF1">
      <w:pPr>
        <w:pStyle w:val="AgencyStdParagraph"/>
        <w:rPr>
          <w:color w:val="000000"/>
          <w:sz w:val="20"/>
        </w:rPr>
      </w:pPr>
      <w:r w:rsidRPr="009605B7">
        <w:rPr>
          <w:color w:val="000000"/>
          <w:sz w:val="20"/>
        </w:rPr>
        <w:t xml:space="preserve">Signed …………………………………………………………….  </w:t>
      </w:r>
      <w:r w:rsidRPr="009605B7">
        <w:rPr>
          <w:color w:val="000000"/>
          <w:sz w:val="20"/>
        </w:rPr>
        <w:tab/>
      </w:r>
      <w:r w:rsidRPr="009605B7">
        <w:rPr>
          <w:color w:val="000000"/>
          <w:sz w:val="20"/>
        </w:rPr>
        <w:tab/>
        <w:t>Date……………………</w:t>
      </w:r>
      <w:proofErr w:type="gramStart"/>
      <w:r w:rsidRPr="009605B7">
        <w:rPr>
          <w:color w:val="000000"/>
          <w:sz w:val="20"/>
        </w:rPr>
        <w:t>…..</w:t>
      </w:r>
      <w:proofErr w:type="gramEnd"/>
      <w:r w:rsidRPr="009605B7">
        <w:rPr>
          <w:color w:val="000000"/>
          <w:sz w:val="20"/>
        </w:rPr>
        <w:t xml:space="preserve">   </w:t>
      </w:r>
      <w:r w:rsidRPr="009605B7">
        <w:rPr>
          <w:color w:val="000000"/>
          <w:sz w:val="20"/>
        </w:rPr>
        <w:tab/>
      </w:r>
    </w:p>
    <w:p w14:paraId="223EDF60" w14:textId="77777777" w:rsidR="00DC6BF1" w:rsidRPr="009605B7" w:rsidRDefault="00DC6BF1" w:rsidP="00DC6BF1">
      <w:pPr>
        <w:pStyle w:val="AgencyStdParagraph"/>
        <w:rPr>
          <w:sz w:val="20"/>
        </w:rPr>
      </w:pPr>
      <w:r w:rsidRPr="009605B7">
        <w:rPr>
          <w:sz w:val="20"/>
        </w:rPr>
        <w:tab/>
      </w:r>
    </w:p>
    <w:p w14:paraId="610C203E" w14:textId="77777777" w:rsidR="00DC6BF1" w:rsidRPr="009605B7" w:rsidRDefault="00DC6BF1" w:rsidP="00DC6BF1">
      <w:pPr>
        <w:rPr>
          <w:color w:val="ED7D31" w:themeColor="accent2"/>
          <w:szCs w:val="20"/>
        </w:rPr>
      </w:pPr>
    </w:p>
    <w:p w14:paraId="1A55D346" w14:textId="77777777" w:rsidR="00192CB5" w:rsidRDefault="00192CB5"/>
    <w:sectPr w:rsidR="00192CB5" w:rsidSect="009605B7">
      <w:footerReference w:type="default" r:id="rId12"/>
      <w:pgSz w:w="16838" w:h="11906" w:orient="landscape" w:code="9"/>
      <w:pgMar w:top="1440" w:right="1440"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209A52" w14:textId="77777777" w:rsidR="00725AB0" w:rsidRDefault="00725AB0" w:rsidP="00725AB0">
      <w:pPr>
        <w:spacing w:before="0" w:after="0" w:line="240" w:lineRule="auto"/>
      </w:pPr>
      <w:r>
        <w:separator/>
      </w:r>
    </w:p>
  </w:endnote>
  <w:endnote w:type="continuationSeparator" w:id="0">
    <w:p w14:paraId="795EE5F9" w14:textId="77777777" w:rsidR="00725AB0" w:rsidRDefault="00725AB0" w:rsidP="00725AB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D24BA" w14:textId="1166CBCD" w:rsidR="00725AB0" w:rsidRDefault="00725AB0">
    <w:pPr>
      <w:pStyle w:val="Footer"/>
    </w:pPr>
    <w:r>
      <w:t xml:space="preserve">Permit Number </w:t>
    </w:r>
    <w:r w:rsidRPr="002C02BF">
      <w:t>PAN-02</w:t>
    </w:r>
    <w:r>
      <w:t>11</w:t>
    </w:r>
    <w:r w:rsidRPr="002C02BF">
      <w:t>40</w:t>
    </w:r>
    <w:r>
      <w:tab/>
      <w:t xml:space="preserve">Page </w:t>
    </w:r>
    <w:sdt>
      <w:sdtPr>
        <w:id w:val="75271241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t>14</w:t>
        </w:r>
        <w:r>
          <w:rPr>
            <w:noProof/>
          </w:rPr>
          <w:fldChar w:fldCharType="end"/>
        </w:r>
        <w:r>
          <w:rPr>
            <w:noProof/>
          </w:rPr>
          <w:t>4</w:t>
        </w:r>
      </w:sdtContent>
    </w:sdt>
    <w:r>
      <w:rPr>
        <w:noProof/>
      </w:rPr>
      <w:tab/>
      <w:t xml:space="preserve">Issued: </w:t>
    </w:r>
    <w:r w:rsidRPr="0027592D">
      <w:rPr>
        <w:noProof/>
      </w:rPr>
      <w:t>0</w:t>
    </w:r>
    <w:r>
      <w:rPr>
        <w:noProof/>
      </w:rPr>
      <w:t>5</w:t>
    </w:r>
    <w:r w:rsidRPr="0027592D">
      <w:rPr>
        <w:noProof/>
      </w:rPr>
      <w:t>/05/2023</w:t>
    </w:r>
  </w:p>
  <w:p w14:paraId="793B0143" w14:textId="77777777" w:rsidR="00725AB0" w:rsidRDefault="00725A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01EBE7" w14:textId="77777777" w:rsidR="00725AB0" w:rsidRDefault="00725AB0" w:rsidP="00725AB0">
      <w:pPr>
        <w:spacing w:before="0" w:after="0" w:line="240" w:lineRule="auto"/>
      </w:pPr>
      <w:r>
        <w:separator/>
      </w:r>
    </w:p>
  </w:footnote>
  <w:footnote w:type="continuationSeparator" w:id="0">
    <w:p w14:paraId="7F85C213" w14:textId="77777777" w:rsidR="00725AB0" w:rsidRDefault="00725AB0" w:rsidP="00725AB0">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DC0C87"/>
    <w:multiLevelType w:val="singleLevel"/>
    <w:tmpl w:val="C8062DA0"/>
    <w:lvl w:ilvl="0">
      <w:start w:val="1"/>
      <w:numFmt w:val="decimal"/>
      <w:lvlText w:val="[%1]"/>
      <w:lvlJc w:val="left"/>
      <w:pPr>
        <w:tabs>
          <w:tab w:val="num" w:pos="360"/>
        </w:tabs>
        <w:ind w:left="360" w:hanging="360"/>
      </w:pPr>
      <w:rPr>
        <w:color w:val="000000" w:themeColor="text1"/>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BF1"/>
    <w:rsid w:val="00192CB5"/>
    <w:rsid w:val="0026347E"/>
    <w:rsid w:val="00725AB0"/>
    <w:rsid w:val="00DC6B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24426"/>
  <w15:chartTrackingRefBased/>
  <w15:docId w15:val="{FEDAC4E0-0D28-4AB8-8967-83B2B352B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6BF1"/>
    <w:pPr>
      <w:spacing w:before="120" w:after="120" w:line="276" w:lineRule="auto"/>
    </w:pPr>
    <w:rPr>
      <w:rFonts w:eastAsia="Times New Roman" w:cs="Times New Roman"/>
      <w:sz w:val="20"/>
      <w:szCs w:val="24"/>
    </w:rPr>
  </w:style>
  <w:style w:type="paragraph" w:styleId="Heading1">
    <w:name w:val="heading 1"/>
    <w:basedOn w:val="Normal"/>
    <w:link w:val="Heading1Char"/>
    <w:qFormat/>
    <w:rsid w:val="00DC6BF1"/>
    <w:pPr>
      <w:keepNext/>
      <w:keepLines/>
      <w:spacing w:before="0" w:after="400" w:line="240" w:lineRule="auto"/>
      <w:outlineLvl w:val="0"/>
    </w:pPr>
    <w:rPr>
      <w:rFonts w:asciiTheme="majorHAnsi" w:eastAsiaTheme="majorEastAsia" w:hAnsiTheme="majorHAnsi" w:cstheme="majorBidi"/>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C6BF1"/>
    <w:rPr>
      <w:rFonts w:asciiTheme="majorHAnsi" w:eastAsiaTheme="majorEastAsia" w:hAnsiTheme="majorHAnsi" w:cstheme="majorBidi"/>
      <w:b/>
      <w:bCs/>
      <w:sz w:val="36"/>
      <w:szCs w:val="28"/>
    </w:rPr>
  </w:style>
  <w:style w:type="paragraph" w:styleId="Header">
    <w:name w:val="header"/>
    <w:basedOn w:val="Normal"/>
    <w:link w:val="HeaderChar"/>
    <w:rsid w:val="00DC6BF1"/>
    <w:pPr>
      <w:spacing w:before="0" w:after="0" w:line="240" w:lineRule="auto"/>
    </w:pPr>
    <w:rPr>
      <w:sz w:val="16"/>
    </w:rPr>
  </w:style>
  <w:style w:type="character" w:customStyle="1" w:styleId="HeaderChar">
    <w:name w:val="Header Char"/>
    <w:basedOn w:val="DefaultParagraphFont"/>
    <w:link w:val="Header"/>
    <w:rsid w:val="00DC6BF1"/>
    <w:rPr>
      <w:rFonts w:eastAsia="Times New Roman" w:cs="Times New Roman"/>
      <w:sz w:val="16"/>
      <w:szCs w:val="24"/>
    </w:rPr>
  </w:style>
  <w:style w:type="paragraph" w:customStyle="1" w:styleId="AgencyStdParagraph">
    <w:name w:val="Agency Std Paragraph"/>
    <w:autoRedefine/>
    <w:rsid w:val="00DC6BF1"/>
    <w:pPr>
      <w:spacing w:after="0" w:line="240" w:lineRule="auto"/>
      <w:jc w:val="both"/>
    </w:pPr>
    <w:rPr>
      <w:rFonts w:ascii="Arial" w:eastAsia="Times New Roman" w:hAnsi="Arial" w:cs="Times New Roman"/>
      <w:color w:val="FF00FF"/>
      <w:sz w:val="18"/>
      <w:szCs w:val="20"/>
      <w:lang w:eastAsia="en-GB"/>
    </w:rPr>
  </w:style>
  <w:style w:type="paragraph" w:customStyle="1" w:styleId="Filename">
    <w:name w:val="Filename"/>
    <w:link w:val="FilenameChar"/>
    <w:rsid w:val="00DC6BF1"/>
    <w:pPr>
      <w:spacing w:after="0" w:line="240" w:lineRule="auto"/>
    </w:pPr>
    <w:rPr>
      <w:rFonts w:ascii="Times New Roman" w:eastAsia="Times New Roman" w:hAnsi="Times New Roman" w:cs="Times New Roman"/>
      <w:sz w:val="20"/>
      <w:szCs w:val="20"/>
      <w:lang w:eastAsia="en-GB"/>
    </w:rPr>
  </w:style>
  <w:style w:type="paragraph" w:customStyle="1" w:styleId="Tableexamples">
    <w:name w:val="Table examples"/>
    <w:basedOn w:val="Normal"/>
    <w:rsid w:val="00DC6BF1"/>
    <w:pPr>
      <w:keepLines/>
      <w:widowControl w:val="0"/>
      <w:spacing w:before="20" w:after="20" w:line="230" w:lineRule="exact"/>
      <w:outlineLvl w:val="2"/>
    </w:pPr>
    <w:rPr>
      <w:rFonts w:ascii="Arial" w:hAnsi="Arial"/>
      <w:i/>
      <w:color w:val="FF0000"/>
      <w:sz w:val="16"/>
      <w:szCs w:val="20"/>
    </w:rPr>
  </w:style>
  <w:style w:type="character" w:customStyle="1" w:styleId="FilenameChar">
    <w:name w:val="Filename Char"/>
    <w:link w:val="Filename"/>
    <w:rsid w:val="00DC6BF1"/>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725AB0"/>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725AB0"/>
    <w:rPr>
      <w:rFonts w:eastAsia="Times New Roman" w:cs="Times New Roman"/>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REGU-408-2750082</_dlc_DocId>
    <_dlc_DocIdUrl xmlns="9be56660-2c31-41ef-bc00-23e72f632f2a">
      <Url>https://cyfoethnaturiolcymru.sharepoint.com/teams/Regulatory/Permitting/_layouts/15/DocIdRedir.aspx?ID=REGU-408-2750082</Url>
      <Description>REGU-408-2750082</Description>
    </_dlc_DocIdUrl>
    <Welsh_x0020_Local_x0020_Authority xmlns="859f7ad6-93f6-4205-b62b-a17f28acbbac">Wrexham CBC</Welsh_x0020_Local_x0020_Authority>
    <Document_x0020_Date xmlns="859f7ad6-93f6-4205-b62b-a17f28acbbac">2023-05-04T23:00:00+00:00</Document_x0020_Date>
    <Site_x0020_Name xmlns="859f7ad6-93f6-4205-b62b-a17f28acbbac">Miners Road Peaking Plant</Site_x0020_Name>
    <Post_x0020_code xmlns="859f7ad6-93f6-4205-b62b-a17f28acbbac">LL12 0PJ</Post_x0020_code>
    <Addressee xmlns="859f7ad6-93f6-4205-b62b-a17f28acbbac">SEDG (Miners) Limited, c/o Aticus Law Solicitors, John Dalton Street, Manchester, M2 6ET</Addressee>
    <Disclosure_x0020_Status xmlns="859f7ad6-93f6-4205-b62b-a17f28acbbac">Public register</Disclosure_x0020_Status>
    <lcf76f155ced4ddcb4097134ff3c332f xmlns="7300053d-1c5f-4e78-b9e3-ee8c32344bce">
      <Terms xmlns="http://schemas.microsoft.com/office/infopath/2007/PartnerControls"/>
    </lcf76f155ced4ddcb4097134ff3c332f>
    <TaxCatchAll xmlns="859f7ad6-93f6-4205-b62b-a17f28acbbac" xsi:nil="true"/>
    <Customer_x0020_Name xmlns="859f7ad6-93f6-4205-b62b-a17f28acbbac">SEDG (Miners) Limited</Customer_x0020_Name>
    <Environment_x0020_Sub_x0020_Folder xmlns="859f7ad6-93f6-4205-b62b-a17f28acbbac">Licences applications</Environment_x0020_Sub_x0020_Folder>
    <License_x002f_Activity_x0020_Type xmlns="859f7ad6-93f6-4205-b62b-a17f28acbbac">3. EPR Regulated Industry</License_x002f_Activity_x0020_Type>
    <Facility_x0020_Address xmlns="859f7ad6-93f6-4205-b62b-a17f28acbbac">Miners Road, Llay, Wrexham</Facility_x0020_Address>
    <Internal_x002f_External xmlns="859f7ad6-93f6-4205-b62b-a17f28acbbac">Outgoing document</Internal_x002f_External>
    <Document_x0020_Type xmlns="859f7ad6-93f6-4205-b62b-a17f28acbbac">Permit</Document_x0020_Type>
    <Process_x0020_Type xmlns="859f7ad6-93f6-4205-b62b-a17f28acbbac">Application</Process_x0020_Type>
    <IconOverlay xmlns="http://schemas.microsoft.com/sharepoint/v4" xsi:nil="true"/>
    <Surrendered_x002f_Expired xmlns="859f7ad6-93f6-4205-b62b-a17f28acbbac" xsi:nil="tru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5" ma:contentTypeDescription="Permitting &amp; Compliance Word Document" ma:contentTypeScope="" ma:versionID="9a0c001abe650d1a43f5570a814e66d4">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9f7a950f3667e0a0c5aa9b923d585be"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B9CA86-2F58-4F24-A86C-E09D221EFE6E}">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57660E9B-17DF-4AAB-9479-04E440ABC058}">
  <ds:schemaRefs>
    <ds:schemaRef ds:uri="http://schemas.microsoft.com/sharepoint/v3/contenttype/forms"/>
  </ds:schemaRefs>
</ds:datastoreItem>
</file>

<file path=customXml/itemProps3.xml><?xml version="1.0" encoding="utf-8"?>
<ds:datastoreItem xmlns:ds="http://schemas.openxmlformats.org/officeDocument/2006/customXml" ds:itemID="{AB2AD2A0-4F67-4957-B4A9-27B9CA98C068}">
  <ds:schemaRefs>
    <ds:schemaRef ds:uri="http://schemas.microsoft.com/sharepoint/events"/>
  </ds:schemaRefs>
</ds:datastoreItem>
</file>

<file path=customXml/itemProps4.xml><?xml version="1.0" encoding="utf-8"?>
<ds:datastoreItem xmlns:ds="http://schemas.openxmlformats.org/officeDocument/2006/customXml" ds:itemID="{F10FC99F-F450-4599-86BD-A63982E29F15}"/>
</file>

<file path=customXml/itemProps5.xml><?xml version="1.0" encoding="utf-8"?>
<ds:datastoreItem xmlns:ds="http://schemas.openxmlformats.org/officeDocument/2006/customXml" ds:itemID="{BF82748A-FE90-41FE-92BE-D405C6F2046C}"/>
</file>

<file path=docProps/app.xml><?xml version="1.0" encoding="utf-8"?>
<Properties xmlns="http://schemas.openxmlformats.org/officeDocument/2006/extended-properties" xmlns:vt="http://schemas.openxmlformats.org/officeDocument/2006/docPropsVTypes">
  <Template>Normal</Template>
  <TotalTime>0</TotalTime>
  <Pages>1</Pages>
  <Words>268</Words>
  <Characters>1533</Characters>
  <Application>Microsoft Office Word</Application>
  <DocSecurity>0</DocSecurity>
  <Lines>12</Lines>
  <Paragraphs>3</Paragraphs>
  <ScaleCrop>false</ScaleCrop>
  <Company/>
  <LinksUpToDate>false</LinksUpToDate>
  <CharactersWithSpaces>1798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PAN-021140 Form Air1</dc:title>
  <dc:subject/>
  <dc:creator>NRW</dc:creator>
  <cp:keywords/>
  <dc:description/>
  <cp:lastModifiedBy>Seller, Victoria</cp:lastModifiedBy>
  <cp:revision>2</cp:revision>
  <dcterms:created xsi:type="dcterms:W3CDTF">2023-05-09T10:46:00Z</dcterms:created>
  <dcterms:modified xsi:type="dcterms:W3CDTF">2023-05-09T10:46:00Z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1e5a2f71-c1d7-4ed3-97bf-3ac81b9691ca</vt:lpwstr>
  </property>
  <property fmtid="{D5CDD505-2E9C-101B-9397-08002B2CF9AE}" pid="4" name="Welsh Local Authority">
    <vt:lpwstr>Wrexham CBC</vt:lpwstr>
  </property>
  <property fmtid="{D5CDD505-2E9C-101B-9397-08002B2CF9AE}" pid="5" name="Site Name">
    <vt:lpwstr>Miners Road Peaking Plant</vt:lpwstr>
  </property>
  <property fmtid="{D5CDD505-2E9C-101B-9397-08002B2CF9AE}" pid="6" name="Addressee">
    <vt:lpwstr>SEDG (Miners) Limited, c/o Aticus Law Solicitors, John Dalton Street, Manchester, M2 6ET</vt:lpwstr>
  </property>
  <property fmtid="{D5CDD505-2E9C-101B-9397-08002B2CF9AE}" pid="7" name="Post code">
    <vt:lpwstr>LL12 0PJ</vt:lpwstr>
  </property>
  <property fmtid="{D5CDD505-2E9C-101B-9397-08002B2CF9AE}" pid="8" name="Customer Name">
    <vt:lpwstr>SEDG (Miners) Limited</vt:lpwstr>
  </property>
  <property fmtid="{D5CDD505-2E9C-101B-9397-08002B2CF9AE}" pid="9" name="Facility Address">
    <vt:lpwstr>Miners Road, Llay, Wrexham</vt:lpwstr>
  </property>
  <property fmtid="{D5CDD505-2E9C-101B-9397-08002B2CF9AE}" pid="10" name="License/Activity Type">
    <vt:lpwstr>3. EPR Regulated Industry</vt:lpwstr>
  </property>
  <property fmtid="{D5CDD505-2E9C-101B-9397-08002B2CF9AE}" pid="11" name="MediaServiceImageTags">
    <vt:lpwstr/>
  </property>
</Properties>
</file>