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Pr="001A5D0A" w:rsidRDefault="00A26EA6" w:rsidP="00D04424">
      <w:pPr>
        <w:pStyle w:val="Heading1"/>
        <w:jc w:val="left"/>
        <w:rPr>
          <w:color w:val="auto"/>
          <w:sz w:val="32"/>
          <w:szCs w:val="32"/>
        </w:rPr>
      </w:pPr>
      <w:r w:rsidRPr="001A5D0A">
        <w:rPr>
          <w:color w:val="auto"/>
          <w:sz w:val="32"/>
          <w:szCs w:val="32"/>
        </w:rPr>
        <w:t>Nat</w:t>
      </w:r>
      <w:r w:rsidR="00352859" w:rsidRPr="001A5D0A">
        <w:rPr>
          <w:color w:val="auto"/>
          <w:sz w:val="32"/>
          <w:szCs w:val="32"/>
        </w:rPr>
        <w:t>ur</w:t>
      </w:r>
      <w:r w:rsidRPr="001A5D0A">
        <w:rPr>
          <w:color w:val="auto"/>
          <w:sz w:val="32"/>
          <w:szCs w:val="32"/>
        </w:rPr>
        <w:t>al Resources Wales</w:t>
      </w:r>
      <w:r w:rsidR="0014332B" w:rsidRPr="001A5D0A">
        <w:rPr>
          <w:bCs/>
          <w:color w:val="auto"/>
          <w:sz w:val="32"/>
          <w:szCs w:val="32"/>
        </w:rPr>
        <w:t xml:space="preserve"> p</w:t>
      </w:r>
      <w:r w:rsidR="00D04424" w:rsidRPr="001A5D0A">
        <w:rPr>
          <w:bCs/>
          <w:color w:val="auto"/>
          <w:sz w:val="32"/>
          <w:szCs w:val="32"/>
        </w:rPr>
        <w:t>ermitting</w:t>
      </w:r>
      <w:r w:rsidR="00D04424" w:rsidRPr="001A5D0A">
        <w:rPr>
          <w:color w:val="auto"/>
          <w:sz w:val="32"/>
          <w:szCs w:val="32"/>
        </w:rPr>
        <w:t xml:space="preserve"> decisions</w:t>
      </w:r>
    </w:p>
    <w:p w14:paraId="0FF15248" w14:textId="77777777" w:rsidR="003719AD" w:rsidRPr="001A5D0A" w:rsidRDefault="003719AD" w:rsidP="003719AD">
      <w:pPr>
        <w:pStyle w:val="Heading1"/>
        <w:spacing w:before="0" w:after="0"/>
        <w:jc w:val="left"/>
        <w:rPr>
          <w:bCs/>
          <w:color w:val="auto"/>
          <w:sz w:val="24"/>
          <w:szCs w:val="24"/>
        </w:rPr>
      </w:pPr>
    </w:p>
    <w:p w14:paraId="0FF15249" w14:textId="6DDC2BEC" w:rsidR="00D04424" w:rsidRPr="001A5D0A" w:rsidRDefault="0014332B" w:rsidP="003719AD">
      <w:pPr>
        <w:pStyle w:val="Heading1"/>
        <w:spacing w:before="0" w:after="0"/>
        <w:jc w:val="left"/>
        <w:rPr>
          <w:bCs/>
          <w:color w:val="auto"/>
          <w:sz w:val="32"/>
        </w:rPr>
      </w:pPr>
      <w:r w:rsidRPr="001A5D0A">
        <w:rPr>
          <w:bCs/>
          <w:color w:val="auto"/>
          <w:sz w:val="32"/>
        </w:rPr>
        <w:t>Bespoke p</w:t>
      </w:r>
      <w:r w:rsidR="00D04424" w:rsidRPr="001A5D0A">
        <w:rPr>
          <w:bCs/>
          <w:color w:val="auto"/>
          <w:sz w:val="32"/>
        </w:rPr>
        <w:t>ermit</w:t>
      </w:r>
      <w:r w:rsidR="00B73ECB" w:rsidRPr="001A5D0A">
        <w:rPr>
          <w:bCs/>
          <w:color w:val="auto"/>
          <w:sz w:val="32"/>
        </w:rPr>
        <w:t xml:space="preserve"> </w:t>
      </w:r>
    </w:p>
    <w:p w14:paraId="41AC372F" w14:textId="77777777" w:rsidR="00136717" w:rsidRPr="001A5D0A" w:rsidRDefault="00136717" w:rsidP="00136717"/>
    <w:p w14:paraId="0FF1524F" w14:textId="77777777" w:rsidR="007820C3" w:rsidRPr="001A5D0A" w:rsidRDefault="007820C3" w:rsidP="00D04424">
      <w:pPr>
        <w:rPr>
          <w:rFonts w:ascii="Arial" w:hAnsi="Arial" w:cs="Arial"/>
          <w:szCs w:val="24"/>
        </w:rPr>
      </w:pPr>
    </w:p>
    <w:p w14:paraId="0FF15250" w14:textId="75952EB0" w:rsidR="00D04424" w:rsidRPr="001A5D0A" w:rsidRDefault="0060457F" w:rsidP="006B0BFB">
      <w:pPr>
        <w:spacing w:after="120"/>
        <w:rPr>
          <w:rFonts w:ascii="Arial" w:hAnsi="Arial" w:cs="Arial"/>
          <w:szCs w:val="24"/>
        </w:rPr>
      </w:pPr>
      <w:r w:rsidRPr="001A5D0A">
        <w:rPr>
          <w:rFonts w:ascii="Arial" w:hAnsi="Arial" w:cs="Arial"/>
          <w:szCs w:val="24"/>
        </w:rPr>
        <w:t xml:space="preserve">We have decided to </w:t>
      </w:r>
      <w:r w:rsidR="00D2020E" w:rsidRPr="001A5D0A">
        <w:rPr>
          <w:rFonts w:ascii="Arial" w:hAnsi="Arial" w:cs="Arial"/>
          <w:szCs w:val="24"/>
        </w:rPr>
        <w:t xml:space="preserve">grant </w:t>
      </w:r>
      <w:r w:rsidRPr="001A5D0A">
        <w:rPr>
          <w:rFonts w:ascii="Arial" w:hAnsi="Arial" w:cs="Arial"/>
          <w:szCs w:val="24"/>
        </w:rPr>
        <w:t xml:space="preserve">the </w:t>
      </w:r>
      <w:r w:rsidR="009E6DCF" w:rsidRPr="001A5D0A">
        <w:rPr>
          <w:rFonts w:ascii="Arial" w:hAnsi="Arial" w:cs="Arial"/>
          <w:szCs w:val="24"/>
        </w:rPr>
        <w:t>permit</w:t>
      </w:r>
      <w:r w:rsidRPr="001A5D0A">
        <w:rPr>
          <w:rFonts w:ascii="Arial" w:hAnsi="Arial" w:cs="Arial"/>
          <w:szCs w:val="24"/>
        </w:rPr>
        <w:t xml:space="preserve"> </w:t>
      </w:r>
      <w:proofErr w:type="gramStart"/>
      <w:r w:rsidRPr="001A5D0A">
        <w:rPr>
          <w:rFonts w:ascii="Arial" w:hAnsi="Arial" w:cs="Arial"/>
          <w:szCs w:val="24"/>
        </w:rPr>
        <w:t>for</w:t>
      </w:r>
      <w:r w:rsidR="009E6DCF" w:rsidRPr="001A5D0A">
        <w:rPr>
          <w:rFonts w:ascii="Arial" w:hAnsi="Arial" w:cs="Arial"/>
          <w:szCs w:val="24"/>
        </w:rPr>
        <w:t xml:space="preserve"> </w:t>
      </w:r>
      <w:r w:rsidRPr="001A5D0A">
        <w:rPr>
          <w:rFonts w:ascii="Arial" w:hAnsi="Arial" w:cs="Arial"/>
          <w:szCs w:val="24"/>
        </w:rPr>
        <w:t xml:space="preserve"> operated</w:t>
      </w:r>
      <w:proofErr w:type="gramEnd"/>
      <w:r w:rsidRPr="001A5D0A">
        <w:rPr>
          <w:rFonts w:ascii="Arial" w:hAnsi="Arial" w:cs="Arial"/>
          <w:szCs w:val="24"/>
        </w:rPr>
        <w:t xml:space="preserve"> by </w:t>
      </w:r>
      <w:r w:rsidR="001A5D0A" w:rsidRPr="001A5D0A">
        <w:rPr>
          <w:rFonts w:ascii="Arial" w:hAnsi="Arial" w:cs="Arial"/>
          <w:szCs w:val="24"/>
        </w:rPr>
        <w:t>Mr Richard Gould</w:t>
      </w:r>
    </w:p>
    <w:p w14:paraId="178F17B4" w14:textId="225F08C8"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9E6DCF">
        <w:rPr>
          <w:rFonts w:ascii="Arial" w:hAnsi="Arial"/>
          <w:color w:val="000000"/>
          <w:kern w:val="28"/>
          <w:szCs w:val="24"/>
        </w:rPr>
        <w:t xml:space="preserve"> </w:t>
      </w:r>
      <w:r w:rsidR="001A5D0A">
        <w:rPr>
          <w:rFonts w:ascii="Arial" w:hAnsi="Arial"/>
          <w:color w:val="000000"/>
          <w:kern w:val="28"/>
          <w:szCs w:val="24"/>
        </w:rPr>
        <w:t>PAN-002942</w:t>
      </w:r>
    </w:p>
    <w:p w14:paraId="0FF15251" w14:textId="58BC7048"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w:t>
      </w:r>
      <w:bookmarkStart w:id="2" w:name="_GoBack"/>
      <w:r w:rsidRPr="000F7015">
        <w:rPr>
          <w:rFonts w:ascii="Arial" w:hAnsi="Arial"/>
          <w:szCs w:val="24"/>
        </w:rPr>
        <w:t xml:space="preserve">r is </w:t>
      </w:r>
      <w:r w:rsidR="000F7015" w:rsidRPr="000F7015">
        <w:rPr>
          <w:rFonts w:ascii="Arial" w:hAnsi="Arial"/>
          <w:szCs w:val="24"/>
        </w:rPr>
        <w:t>EPR/AB3994ZZ</w:t>
      </w:r>
      <w:bookmarkEnd w:id="2"/>
    </w:p>
    <w:bookmarkEnd w:id="0"/>
    <w:bookmarkEnd w:id="1"/>
    <w:p w14:paraId="38FD0B94" w14:textId="77777777" w:rsidR="001A5D0A" w:rsidRDefault="001A5D0A" w:rsidP="006B0BFB">
      <w:pPr>
        <w:spacing w:after="120"/>
        <w:rPr>
          <w:rFonts w:ascii="Arial" w:hAnsi="Arial"/>
        </w:rPr>
      </w:pPr>
    </w:p>
    <w:p w14:paraId="1595B7AC" w14:textId="77777777" w:rsidR="001A5D0A" w:rsidRPr="00F50CB1" w:rsidRDefault="001A5D0A" w:rsidP="001A5D0A">
      <w:pPr>
        <w:pStyle w:val="Heading3nonum"/>
        <w:rPr>
          <w:sz w:val="22"/>
          <w:szCs w:val="22"/>
        </w:rPr>
      </w:pPr>
      <w:r>
        <w:rPr>
          <w:sz w:val="22"/>
          <w:szCs w:val="22"/>
        </w:rPr>
        <w:t>The permit regulates a new discharge of secondary treated sewage effluent; a maximum of 1.5m</w:t>
      </w:r>
      <w:r w:rsidRPr="00582A5C">
        <w:rPr>
          <w:sz w:val="22"/>
          <w:szCs w:val="22"/>
          <w:vertAlign w:val="superscript"/>
        </w:rPr>
        <w:t>3</w:t>
      </w:r>
      <w:r>
        <w:rPr>
          <w:sz w:val="22"/>
          <w:szCs w:val="22"/>
        </w:rPr>
        <w:t xml:space="preserve">/day treated by a British Standard package treatment plant and discharged into an unnamed tributary of the </w:t>
      </w:r>
      <w:proofErr w:type="spellStart"/>
      <w:r w:rsidRPr="00E13FC0">
        <w:rPr>
          <w:sz w:val="22"/>
          <w:szCs w:val="22"/>
        </w:rPr>
        <w:t>Afon</w:t>
      </w:r>
      <w:proofErr w:type="spellEnd"/>
      <w:r w:rsidRPr="00E13FC0">
        <w:rPr>
          <w:sz w:val="22"/>
          <w:szCs w:val="22"/>
        </w:rPr>
        <w:t xml:space="preserve"> </w:t>
      </w:r>
      <w:proofErr w:type="spellStart"/>
      <w:r w:rsidRPr="00E13FC0">
        <w:rPr>
          <w:sz w:val="22"/>
          <w:szCs w:val="22"/>
        </w:rPr>
        <w:t>Rhyd-afallen</w:t>
      </w:r>
      <w:proofErr w:type="spellEnd"/>
      <w:r>
        <w:rPr>
          <w:sz w:val="22"/>
          <w:szCs w:val="22"/>
        </w:rPr>
        <w:t>. The system serves a single domestic dwelling.</w:t>
      </w:r>
    </w:p>
    <w:p w14:paraId="6D752855" w14:textId="77777777" w:rsidR="001A5D0A" w:rsidRDefault="001A5D0A" w:rsidP="006B0BFB">
      <w:pPr>
        <w:spacing w:after="120"/>
        <w:rPr>
          <w:rFonts w:ascii="Arial" w:hAnsi="Arial"/>
        </w:rPr>
      </w:pPr>
    </w:p>
    <w:p w14:paraId="0FF15253" w14:textId="5EB1FE49"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BB76223" w14:textId="77777777" w:rsidR="001A5D0A" w:rsidRPr="001A5D0A" w:rsidRDefault="001A5D0A" w:rsidP="001A5D0A">
      <w:pPr>
        <w:spacing w:after="60"/>
        <w:ind w:left="1134"/>
        <w:rPr>
          <w:rFonts w:ascii="Arial" w:hAnsi="Arial"/>
        </w:rPr>
      </w:pPr>
    </w:p>
    <w:p w14:paraId="0FF15263" w14:textId="0517AE47" w:rsidR="006420BA" w:rsidRPr="00474020"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6D9DE1E" w14:textId="69807EBA" w:rsidR="00474020" w:rsidRPr="00474020" w:rsidRDefault="00474020" w:rsidP="00474020">
      <w:pPr>
        <w:numPr>
          <w:ilvl w:val="0"/>
          <w:numId w:val="17"/>
        </w:numPr>
        <w:tabs>
          <w:tab w:val="clear" w:pos="1440"/>
          <w:tab w:val="num" w:pos="1134"/>
        </w:tabs>
        <w:spacing w:after="120"/>
        <w:ind w:left="1134" w:hanging="567"/>
        <w:rPr>
          <w:rFonts w:ascii="Arial" w:hAnsi="Arial"/>
        </w:rPr>
      </w:pPr>
      <w:r w:rsidRPr="00474020">
        <w:rPr>
          <w:rFonts w:ascii="Arial" w:hAnsi="Arial"/>
          <w:szCs w:val="24"/>
        </w:rPr>
        <w:t>Annex 2 the consultation response</w:t>
      </w:r>
    </w:p>
    <w:p w14:paraId="78858F5D" w14:textId="77777777" w:rsidR="00474020" w:rsidRPr="0067478B" w:rsidRDefault="00474020" w:rsidP="00474020">
      <w:pPr>
        <w:spacing w:after="60"/>
        <w:ind w:left="1134"/>
        <w:rPr>
          <w:rFonts w:ascii="Arial" w:hAnsi="Arial"/>
        </w:rPr>
      </w:pPr>
    </w:p>
    <w:p w14:paraId="725F6260" w14:textId="77777777" w:rsidR="001A5D0A" w:rsidRDefault="001A5D0A">
      <w:pPr>
        <w:rPr>
          <w:rFonts w:ascii="Arial" w:hAnsi="Arial"/>
          <w:b/>
          <w:bCs/>
          <w:color w:val="000000"/>
          <w:kern w:val="28"/>
        </w:rPr>
      </w:pPr>
      <w:r>
        <w:rPr>
          <w:bCs/>
        </w:rPr>
        <w:br w:type="page"/>
      </w:r>
    </w:p>
    <w:p w14:paraId="0FF15271" w14:textId="498E47A5"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0D3146B1"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1A5D0A">
              <w:rPr>
                <w:rFonts w:ascii="Arial" w:hAnsi="Arial" w:cs="Arial"/>
                <w:b w:val="0"/>
                <w:szCs w:val="24"/>
              </w:rPr>
              <w:t>web publicising</w:t>
            </w:r>
            <w:r w:rsidR="001A5D0A">
              <w:rPr>
                <w:rFonts w:ascii="Arial" w:hAnsi="Arial" w:cs="Arial"/>
                <w:b w:val="0"/>
                <w:szCs w:val="24"/>
              </w:rPr>
              <w:t xml:space="preserve"> and consultation</w:t>
            </w:r>
            <w:r w:rsidRPr="001A5D0A">
              <w:rPr>
                <w:rFonts w:ascii="Arial" w:hAnsi="Arial" w:cs="Arial"/>
                <w:b w:val="0"/>
                <w:szCs w:val="24"/>
              </w:rPr>
              <w:t xml:space="preserve"> </w:t>
            </w:r>
          </w:p>
        </w:tc>
        <w:tc>
          <w:tcPr>
            <w:tcW w:w="6266" w:type="dxa"/>
            <w:tcBorders>
              <w:bottom w:val="single" w:sz="4" w:space="0" w:color="auto"/>
            </w:tcBorders>
          </w:tcPr>
          <w:p w14:paraId="4E1D69DC" w14:textId="10B1CB19" w:rsidR="00933CBF" w:rsidRPr="00DA70FE" w:rsidRDefault="007820C3" w:rsidP="00933CBF">
            <w:pPr>
              <w:spacing w:before="60"/>
              <w:rPr>
                <w:rFonts w:ascii="Arial" w:hAnsi="Arial" w:cs="Arial"/>
                <w:szCs w:val="24"/>
              </w:rPr>
            </w:pPr>
            <w:r w:rsidRPr="00DA70FE">
              <w:rPr>
                <w:rFonts w:ascii="Arial" w:hAnsi="Arial" w:cs="Arial"/>
                <w:szCs w:val="24"/>
              </w:rPr>
              <w:t>The</w:t>
            </w:r>
            <w:r w:rsidR="001A5D0A">
              <w:rPr>
                <w:rFonts w:ascii="Arial" w:hAnsi="Arial" w:cs="Arial"/>
                <w:szCs w:val="24"/>
              </w:rPr>
              <w:t xml:space="preserve">re were no responses to web publicising. </w:t>
            </w:r>
            <w:r w:rsidR="00933CBF" w:rsidRPr="00DA70FE">
              <w:rPr>
                <w:rFonts w:ascii="Arial" w:hAnsi="Arial" w:cs="Arial"/>
                <w:szCs w:val="24"/>
              </w:rPr>
              <w:t xml:space="preserve">The </w:t>
            </w:r>
            <w:r w:rsidR="00933CBF" w:rsidRPr="00933CBF">
              <w:rPr>
                <w:rFonts w:ascii="Arial" w:hAnsi="Arial" w:cs="Arial"/>
                <w:szCs w:val="24"/>
              </w:rPr>
              <w:t xml:space="preserve">consultation </w:t>
            </w:r>
            <w:r w:rsidR="00933CBF" w:rsidRPr="00DA70FE">
              <w:rPr>
                <w:rFonts w:ascii="Arial" w:hAnsi="Arial" w:cs="Arial"/>
                <w:color w:val="000000"/>
                <w:szCs w:val="24"/>
              </w:rPr>
              <w:t>response</w:t>
            </w:r>
            <w:r w:rsidR="00933CBF" w:rsidRPr="00DA70FE">
              <w:rPr>
                <w:rFonts w:ascii="Arial" w:hAnsi="Arial" w:cs="Arial"/>
                <w:color w:val="FF0000"/>
                <w:szCs w:val="24"/>
              </w:rPr>
              <w:t xml:space="preserve"> </w:t>
            </w:r>
            <w:r w:rsidR="00933CBF" w:rsidRPr="00DA70FE">
              <w:rPr>
                <w:rFonts w:ascii="Arial" w:hAnsi="Arial" w:cs="Arial"/>
                <w:szCs w:val="24"/>
              </w:rPr>
              <w:t xml:space="preserve">(Annex 2) were taken into account in the decision.  </w:t>
            </w:r>
          </w:p>
          <w:p w14:paraId="0FF1529B" w14:textId="77777777"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78391541"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w:t>
            </w:r>
            <w:r w:rsidR="001A5D0A">
              <w:rPr>
                <w:rFonts w:ascii="Arial" w:hAnsi="Arial" w:cs="Arial"/>
                <w:szCs w:val="24"/>
              </w:rPr>
              <w:t xml:space="preserve"> </w:t>
            </w:r>
            <w:r w:rsidRPr="007820C3">
              <w:rPr>
                <w:rFonts w:ascii="Arial" w:hAnsi="Arial" w:cs="Arial"/>
                <w:szCs w:val="24"/>
              </w:rPr>
              <w:t>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8" w14:textId="77777777" w:rsidTr="00136717">
        <w:tc>
          <w:tcPr>
            <w:tcW w:w="9302" w:type="dxa"/>
            <w:gridSpan w:val="4"/>
            <w:shd w:val="clear" w:color="auto" w:fill="0070C0"/>
          </w:tcPr>
          <w:p w14:paraId="0FF152A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facility</w:t>
            </w:r>
          </w:p>
        </w:tc>
      </w:tr>
      <w:tr w:rsidR="007820C3" w:rsidRPr="007820C3" w14:paraId="0FF152B1" w14:textId="77777777" w:rsidTr="00136717">
        <w:trPr>
          <w:gridAfter w:val="1"/>
          <w:wAfter w:w="13" w:type="dxa"/>
        </w:trPr>
        <w:tc>
          <w:tcPr>
            <w:tcW w:w="1951" w:type="dxa"/>
            <w:tcBorders>
              <w:bottom w:val="single" w:sz="4" w:space="0" w:color="auto"/>
            </w:tcBorders>
          </w:tcPr>
          <w:p w14:paraId="0FF152A9"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 xml:space="preserve">The regulated  facility </w:t>
            </w:r>
          </w:p>
          <w:p w14:paraId="0FF152AA" w14:textId="40F14989" w:rsidR="007820C3" w:rsidRPr="007820C3" w:rsidRDefault="007820C3" w:rsidP="00792CEE">
            <w:pPr>
              <w:rPr>
                <w:rFonts w:ascii="Arial" w:hAnsi="Arial" w:cs="Arial"/>
                <w:color w:val="FF00FF"/>
                <w:szCs w:val="24"/>
                <w:highlight w:val="yellow"/>
              </w:rPr>
            </w:pPr>
          </w:p>
        </w:tc>
        <w:tc>
          <w:tcPr>
            <w:tcW w:w="6266" w:type="dxa"/>
            <w:tcBorders>
              <w:bottom w:val="single" w:sz="4" w:space="0" w:color="auto"/>
            </w:tcBorders>
          </w:tcPr>
          <w:p w14:paraId="0FF152AB" w14:textId="77777777" w:rsidR="007820C3" w:rsidRPr="007820C3" w:rsidRDefault="007820C3" w:rsidP="00792CEE">
            <w:pPr>
              <w:pStyle w:val="Heading6"/>
              <w:jc w:val="left"/>
              <w:rPr>
                <w:rFonts w:cs="Arial"/>
                <w:b w:val="0"/>
                <w:color w:val="000000"/>
                <w:sz w:val="24"/>
                <w:szCs w:val="24"/>
              </w:rPr>
            </w:pPr>
            <w:r w:rsidRPr="007820C3">
              <w:rPr>
                <w:rFonts w:cs="Arial"/>
                <w:b w:val="0"/>
                <w:color w:val="000000"/>
                <w:sz w:val="24"/>
                <w:szCs w:val="24"/>
              </w:rPr>
              <w:t>The extent/nature of the facilities taking place at the site required clarification.</w:t>
            </w:r>
          </w:p>
          <w:p w14:paraId="0FF152AC" w14:textId="6B22292F" w:rsidR="007820C3" w:rsidRPr="001A5D0A" w:rsidRDefault="007820C3" w:rsidP="0017110E">
            <w:pPr>
              <w:rPr>
                <w:rFonts w:ascii="Arial" w:hAnsi="Arial" w:cs="Arial"/>
                <w:b/>
                <w:szCs w:val="24"/>
              </w:rPr>
            </w:pPr>
            <w:r w:rsidRPr="001A5D0A">
              <w:rPr>
                <w:rFonts w:ascii="Arial" w:hAnsi="Arial" w:cs="Arial"/>
                <w:szCs w:val="24"/>
              </w:rPr>
              <w:t>Th</w:t>
            </w:r>
            <w:r w:rsidR="009A3F85" w:rsidRPr="001A5D0A">
              <w:rPr>
                <w:rFonts w:ascii="Arial" w:hAnsi="Arial" w:cs="Arial"/>
                <w:szCs w:val="24"/>
              </w:rPr>
              <w:t>e regulated facility is a stand</w:t>
            </w:r>
            <w:r w:rsidRPr="001A5D0A">
              <w:rPr>
                <w:rFonts w:ascii="Arial" w:hAnsi="Arial" w:cs="Arial"/>
                <w:szCs w:val="24"/>
              </w:rPr>
              <w:t>alone water discharge activity in accordance with EPR RGN 2 Understanding the meaning of regulated facility.</w:t>
            </w:r>
          </w:p>
          <w:p w14:paraId="460631BD" w14:textId="77777777" w:rsidR="001A5D0A" w:rsidRPr="001A5D0A" w:rsidRDefault="001A5D0A" w:rsidP="0017110E">
            <w:pPr>
              <w:rPr>
                <w:rFonts w:ascii="Arial" w:hAnsi="Arial" w:cs="Arial"/>
                <w:szCs w:val="24"/>
              </w:rPr>
            </w:pPr>
          </w:p>
          <w:p w14:paraId="0FF152AE" w14:textId="64D7CDFC" w:rsidR="007820C3" w:rsidRPr="001A5D0A" w:rsidRDefault="007820C3" w:rsidP="0017110E">
            <w:pPr>
              <w:rPr>
                <w:rFonts w:ascii="Arial" w:hAnsi="Arial" w:cs="Arial"/>
                <w:szCs w:val="24"/>
              </w:rPr>
            </w:pPr>
            <w:r w:rsidRPr="001A5D0A">
              <w:rPr>
                <w:rFonts w:ascii="Arial" w:hAnsi="Arial" w:cs="Arial"/>
                <w:szCs w:val="24"/>
              </w:rPr>
              <w:t>The regulated facility is a standalone groundwater activity in accordance with EPR RGN 2 Understanding the meaning of regulated facility.</w:t>
            </w:r>
          </w:p>
          <w:p w14:paraId="0FF152AF" w14:textId="77777777" w:rsidR="007820C3" w:rsidRPr="007820C3" w:rsidRDefault="007820C3" w:rsidP="0017110E">
            <w:pPr>
              <w:rPr>
                <w:rFonts w:ascii="Arial" w:hAnsi="Arial" w:cs="Arial"/>
                <w:b/>
                <w:color w:val="FF0000"/>
                <w:szCs w:val="24"/>
              </w:rPr>
            </w:pPr>
          </w:p>
        </w:tc>
        <w:tc>
          <w:tcPr>
            <w:tcW w:w="1072" w:type="dxa"/>
            <w:tcBorders>
              <w:bottom w:val="single" w:sz="4" w:space="0" w:color="auto"/>
            </w:tcBorders>
          </w:tcPr>
          <w:p w14:paraId="0FF152B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FA15A0C" w:rsidR="007820C3" w:rsidRPr="007820C3" w:rsidRDefault="007820C3" w:rsidP="001A5D0A">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lastRenderedPageBreak/>
              <w:t>A plan is included in the permit and the operator is required to carry on the permitted activities within the site boundary.</w:t>
            </w:r>
          </w:p>
          <w:p w14:paraId="0FF152C2" w14:textId="2E75B4A1" w:rsidR="00FB30B4" w:rsidRPr="007820C3" w:rsidRDefault="00FB30B4" w:rsidP="001A5D0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B510D9" w:rsidRDefault="007820C3" w:rsidP="00EF499E">
            <w:pPr>
              <w:rPr>
                <w:rFonts w:ascii="Arial" w:hAnsi="Arial" w:cs="Arial"/>
                <w:szCs w:val="24"/>
              </w:rPr>
            </w:pPr>
            <w:r w:rsidRPr="00B510D9">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B510D9" w:rsidRDefault="007820C3" w:rsidP="00EF499E">
            <w:pPr>
              <w:rPr>
                <w:rFonts w:ascii="Arial" w:hAnsi="Arial" w:cs="Arial"/>
                <w:szCs w:val="24"/>
              </w:rPr>
            </w:pPr>
          </w:p>
          <w:p w14:paraId="0FF152C8" w14:textId="4D128304" w:rsidR="007820C3" w:rsidRPr="00B510D9" w:rsidRDefault="007820C3" w:rsidP="00EF499E">
            <w:pPr>
              <w:rPr>
                <w:rFonts w:ascii="Arial" w:hAnsi="Arial" w:cs="Arial"/>
                <w:szCs w:val="24"/>
              </w:rPr>
            </w:pPr>
            <w:r w:rsidRPr="00B510D9">
              <w:rPr>
                <w:rFonts w:ascii="Arial" w:hAnsi="Arial" w:cs="Arial"/>
                <w:szCs w:val="24"/>
              </w:rPr>
              <w:t>A full assessment of the application a</w:t>
            </w:r>
            <w:r w:rsidR="00B510D9" w:rsidRPr="00B510D9">
              <w:rPr>
                <w:rFonts w:ascii="Arial" w:hAnsi="Arial" w:cs="Arial"/>
                <w:szCs w:val="24"/>
              </w:rPr>
              <w:t xml:space="preserve">nd its potential to affect the </w:t>
            </w:r>
            <w:r w:rsidRPr="00B510D9">
              <w:rPr>
                <w:rFonts w:ascii="Arial" w:hAnsi="Arial" w:cs="Arial"/>
                <w:szCs w:val="24"/>
              </w:rPr>
              <w:t>site</w:t>
            </w:r>
            <w:r w:rsidR="00B510D9" w:rsidRPr="00B510D9">
              <w:rPr>
                <w:rFonts w:ascii="Arial" w:hAnsi="Arial" w:cs="Arial"/>
                <w:szCs w:val="24"/>
              </w:rPr>
              <w:t xml:space="preserve"> </w:t>
            </w:r>
            <w:r w:rsidRPr="00B510D9">
              <w:rPr>
                <w:rFonts w:ascii="Arial" w:hAnsi="Arial" w:cs="Arial"/>
                <w:szCs w:val="24"/>
              </w:rPr>
              <w:t>has been carried out as part of the permitting process. We consider that the a</w:t>
            </w:r>
            <w:r w:rsidR="00B510D9" w:rsidRPr="00B510D9">
              <w:rPr>
                <w:rFonts w:ascii="Arial" w:hAnsi="Arial" w:cs="Arial"/>
                <w:szCs w:val="24"/>
              </w:rPr>
              <w:t xml:space="preserve">pplication will not affect the </w:t>
            </w:r>
            <w:r w:rsidRPr="00B510D9">
              <w:rPr>
                <w:rFonts w:ascii="Arial" w:hAnsi="Arial" w:cs="Arial"/>
                <w:szCs w:val="24"/>
              </w:rPr>
              <w:t>features of the site</w:t>
            </w:r>
            <w:r w:rsidR="00B510D9" w:rsidRPr="00B510D9">
              <w:rPr>
                <w:rFonts w:ascii="Arial" w:hAnsi="Arial" w:cs="Arial"/>
                <w:szCs w:val="24"/>
              </w:rPr>
              <w:t>.</w:t>
            </w:r>
          </w:p>
          <w:p w14:paraId="6F8800FB" w14:textId="77777777" w:rsidR="00B510D9" w:rsidRPr="00B510D9" w:rsidRDefault="00B510D9" w:rsidP="00EF499E">
            <w:pPr>
              <w:rPr>
                <w:rFonts w:ascii="Arial" w:hAnsi="Arial" w:cs="Arial"/>
                <w:szCs w:val="24"/>
              </w:rPr>
            </w:pPr>
          </w:p>
          <w:p w14:paraId="0FF152CE" w14:textId="64280D02" w:rsidR="007820C3" w:rsidRPr="00B510D9" w:rsidRDefault="007820C3" w:rsidP="00EF499E">
            <w:pPr>
              <w:rPr>
                <w:rFonts w:ascii="Arial" w:hAnsi="Arial" w:cs="Arial"/>
                <w:szCs w:val="24"/>
              </w:rPr>
            </w:pPr>
            <w:r w:rsidRPr="00B510D9">
              <w:rPr>
                <w:rFonts w:ascii="Arial" w:hAnsi="Arial" w:cs="Arial"/>
                <w:szCs w:val="24"/>
              </w:rPr>
              <w:t xml:space="preserve">We have not formally </w:t>
            </w:r>
            <w:proofErr w:type="gramStart"/>
            <w:r w:rsidRPr="00B510D9">
              <w:rPr>
                <w:rFonts w:ascii="Arial" w:hAnsi="Arial" w:cs="Arial"/>
                <w:szCs w:val="24"/>
              </w:rPr>
              <w:t xml:space="preserve">consulted </w:t>
            </w:r>
            <w:r w:rsidR="009A3F85" w:rsidRPr="00B510D9">
              <w:rPr>
                <w:rFonts w:ascii="Arial" w:hAnsi="Arial" w:cs="Arial"/>
                <w:szCs w:val="24"/>
              </w:rPr>
              <w:t xml:space="preserve"> </w:t>
            </w:r>
            <w:r w:rsidRPr="00B510D9">
              <w:rPr>
                <w:rFonts w:ascii="Arial" w:hAnsi="Arial" w:cs="Arial"/>
                <w:szCs w:val="24"/>
              </w:rPr>
              <w:t>on</w:t>
            </w:r>
            <w:proofErr w:type="gramEnd"/>
            <w:r w:rsidRPr="00B510D9">
              <w:rPr>
                <w:rFonts w:ascii="Arial" w:hAnsi="Arial" w:cs="Arial"/>
                <w:szCs w:val="24"/>
              </w:rPr>
              <w:t xml:space="preserve"> the application.  The decision was taken in accordance with our guidance. </w:t>
            </w:r>
          </w:p>
          <w:p w14:paraId="0FF152CF" w14:textId="79F49BDD" w:rsidR="00FB30B4" w:rsidRPr="00B510D9" w:rsidRDefault="00FB30B4" w:rsidP="00B510D9">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B510D9" w:rsidRDefault="00136717" w:rsidP="00136717">
            <w:pPr>
              <w:spacing w:before="60"/>
              <w:rPr>
                <w:rFonts w:ascii="Arial" w:hAnsi="Arial" w:cs="Arial"/>
                <w:szCs w:val="24"/>
              </w:rPr>
            </w:pPr>
            <w:r w:rsidRPr="00B510D9">
              <w:rPr>
                <w:rFonts w:ascii="Arial" w:hAnsi="Arial" w:cs="Arial"/>
                <w:szCs w:val="24"/>
              </w:rPr>
              <w:t>Assessment of Likely Significant Effect:</w:t>
            </w:r>
          </w:p>
          <w:p w14:paraId="49C04981" w14:textId="77777777" w:rsidR="00136717" w:rsidRPr="00B510D9" w:rsidRDefault="00136717" w:rsidP="00136717">
            <w:pPr>
              <w:spacing w:before="60"/>
              <w:rPr>
                <w:rFonts w:ascii="Arial" w:hAnsi="Arial" w:cs="Arial"/>
                <w:szCs w:val="24"/>
              </w:rPr>
            </w:pPr>
          </w:p>
          <w:p w14:paraId="70D0AA2F" w14:textId="11FB3261" w:rsidR="00136717" w:rsidRPr="00B510D9" w:rsidRDefault="00136717" w:rsidP="00136717">
            <w:pPr>
              <w:spacing w:before="60"/>
              <w:rPr>
                <w:rFonts w:ascii="Arial" w:hAnsi="Arial" w:cs="Arial"/>
                <w:szCs w:val="24"/>
              </w:rPr>
            </w:pPr>
            <w:r w:rsidRPr="00B510D9">
              <w:rPr>
                <w:rFonts w:ascii="Arial" w:hAnsi="Arial" w:cs="Arial"/>
                <w:szCs w:val="24"/>
              </w:rPr>
              <w:t>The project has been screened for likelihood of significant effects and, taking account of the advice received from protected sites advisors, is considered not likely to have a significant effect on any Natura 2000/</w:t>
            </w:r>
            <w:proofErr w:type="spellStart"/>
            <w:r w:rsidRPr="00B510D9">
              <w:rPr>
                <w:rFonts w:ascii="Arial" w:hAnsi="Arial" w:cs="Arial"/>
                <w:szCs w:val="24"/>
              </w:rPr>
              <w:t>Ramsar</w:t>
            </w:r>
            <w:proofErr w:type="spellEnd"/>
            <w:r w:rsidRPr="00B510D9">
              <w:rPr>
                <w:rFonts w:ascii="Arial" w:hAnsi="Arial" w:cs="Arial"/>
                <w:szCs w:val="24"/>
              </w:rPr>
              <w:t xml:space="preserve"> site </w:t>
            </w:r>
          </w:p>
          <w:p w14:paraId="67AFC2B0" w14:textId="575825AA" w:rsidR="00136717" w:rsidRPr="00B510D9" w:rsidRDefault="00136717" w:rsidP="00B510D9">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B510D9" w:rsidRDefault="007820C3" w:rsidP="00A60F17">
            <w:pPr>
              <w:rPr>
                <w:rFonts w:ascii="Arial" w:hAnsi="Arial" w:cs="Arial"/>
                <w:szCs w:val="24"/>
              </w:rPr>
            </w:pPr>
            <w:r w:rsidRPr="00B510D9">
              <w:rPr>
                <w:rFonts w:ascii="Arial" w:hAnsi="Arial" w:cs="Arial"/>
                <w:szCs w:val="24"/>
              </w:rPr>
              <w:t>Environmental risk</w:t>
            </w:r>
          </w:p>
          <w:p w14:paraId="0FF152E1" w14:textId="13DA35B3" w:rsidR="007820C3" w:rsidRPr="00B510D9" w:rsidRDefault="007820C3" w:rsidP="00A26EA6">
            <w:pPr>
              <w:rPr>
                <w:rFonts w:ascii="Arial" w:hAnsi="Arial" w:cs="Arial"/>
                <w:szCs w:val="24"/>
              </w:rPr>
            </w:pPr>
          </w:p>
        </w:tc>
        <w:tc>
          <w:tcPr>
            <w:tcW w:w="6266" w:type="dxa"/>
          </w:tcPr>
          <w:p w14:paraId="0FF152E2" w14:textId="77777777" w:rsidR="007820C3" w:rsidRPr="00B510D9" w:rsidRDefault="007820C3" w:rsidP="00A60F17">
            <w:pPr>
              <w:rPr>
                <w:rFonts w:ascii="Arial" w:hAnsi="Arial" w:cs="Arial"/>
                <w:szCs w:val="24"/>
              </w:rPr>
            </w:pPr>
            <w:r w:rsidRPr="00B510D9">
              <w:rPr>
                <w:rFonts w:ascii="Arial" w:hAnsi="Arial" w:cs="Arial"/>
                <w:szCs w:val="24"/>
              </w:rPr>
              <w:t xml:space="preserve">We have carried out a risk assessment on behalf of the operator.  </w:t>
            </w:r>
          </w:p>
          <w:p w14:paraId="0FF152E3" w14:textId="77777777" w:rsidR="00FB30B4" w:rsidRPr="00B510D9" w:rsidRDefault="00FB30B4" w:rsidP="00A60F17">
            <w:pPr>
              <w:rPr>
                <w:rFonts w:ascii="Arial" w:hAnsi="Arial" w:cs="Arial"/>
                <w:szCs w:val="24"/>
              </w:rPr>
            </w:pPr>
          </w:p>
          <w:p w14:paraId="0FF152E4" w14:textId="77777777" w:rsidR="007820C3" w:rsidRPr="00B510D9" w:rsidRDefault="007820C3" w:rsidP="00A60F17">
            <w:pPr>
              <w:rPr>
                <w:rFonts w:ascii="Arial" w:hAnsi="Arial" w:cs="Arial"/>
                <w:szCs w:val="24"/>
              </w:rPr>
            </w:pPr>
            <w:r w:rsidRPr="00B510D9">
              <w:rPr>
                <w:rFonts w:ascii="Arial" w:hAnsi="Arial" w:cs="Arial"/>
                <w:szCs w:val="24"/>
              </w:rPr>
              <w:t xml:space="preserve">The operator considers this risk assessment is satisfactory. </w:t>
            </w:r>
          </w:p>
          <w:p w14:paraId="0FF152E7" w14:textId="1A341132" w:rsidR="007820C3" w:rsidRPr="00B510D9" w:rsidRDefault="007820C3" w:rsidP="00A60F17">
            <w:pPr>
              <w:rPr>
                <w:rFonts w:ascii="Arial" w:hAnsi="Arial" w:cs="Arial"/>
                <w:szCs w:val="24"/>
              </w:rPr>
            </w:pPr>
          </w:p>
          <w:p w14:paraId="7CFBC307" w14:textId="77777777" w:rsidR="00FB30B4" w:rsidRPr="00B510D9" w:rsidRDefault="007820C3" w:rsidP="00B510D9">
            <w:pPr>
              <w:pStyle w:val="BodyText"/>
              <w:rPr>
                <w:rFonts w:ascii="Arial" w:hAnsi="Arial" w:cs="Arial"/>
                <w:color w:val="auto"/>
                <w:szCs w:val="24"/>
              </w:rPr>
            </w:pPr>
            <w:r w:rsidRPr="00B510D9">
              <w:rPr>
                <w:rFonts w:ascii="Arial" w:hAnsi="Arial" w:cs="Arial"/>
                <w:color w:val="auto"/>
                <w:szCs w:val="24"/>
              </w:rPr>
              <w:t>The assessment shows that, applying the conservative criteria in our guidance on Environmental Risk Assessment, all emissions may be categorised a</w:t>
            </w:r>
            <w:r w:rsidR="00B510D9" w:rsidRPr="00B510D9">
              <w:rPr>
                <w:rFonts w:ascii="Arial" w:hAnsi="Arial" w:cs="Arial"/>
                <w:color w:val="auto"/>
                <w:szCs w:val="24"/>
              </w:rPr>
              <w:t>s environmentally insignificant.</w:t>
            </w:r>
          </w:p>
          <w:p w14:paraId="0FF152E9" w14:textId="76141F25" w:rsidR="00B510D9" w:rsidRPr="00B510D9" w:rsidRDefault="00B510D9" w:rsidP="00B510D9">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B510D9" w:rsidRDefault="007820C3" w:rsidP="00792CEE">
            <w:pPr>
              <w:rPr>
                <w:rFonts w:ascii="Arial" w:hAnsi="Arial" w:cs="Arial"/>
                <w:szCs w:val="24"/>
              </w:rPr>
            </w:pPr>
            <w:r w:rsidRPr="00B510D9">
              <w:rPr>
                <w:rFonts w:ascii="Arial" w:hAnsi="Arial" w:cs="Arial"/>
                <w:szCs w:val="24"/>
              </w:rPr>
              <w:t>Operating techniques</w:t>
            </w:r>
          </w:p>
        </w:tc>
        <w:tc>
          <w:tcPr>
            <w:tcW w:w="6266" w:type="dxa"/>
          </w:tcPr>
          <w:p w14:paraId="0FF152ED" w14:textId="77777777" w:rsidR="007820C3" w:rsidRPr="00B510D9" w:rsidRDefault="007820C3" w:rsidP="00792CEE">
            <w:pPr>
              <w:pStyle w:val="BodyText"/>
              <w:rPr>
                <w:rFonts w:ascii="Arial" w:hAnsi="Arial" w:cs="Arial"/>
                <w:color w:val="auto"/>
                <w:szCs w:val="24"/>
              </w:rPr>
            </w:pPr>
            <w:r w:rsidRPr="00B510D9">
              <w:rPr>
                <w:rFonts w:ascii="Arial" w:hAnsi="Arial" w:cs="Arial"/>
                <w:color w:val="auto"/>
                <w:szCs w:val="24"/>
              </w:rPr>
              <w:t xml:space="preserve">We have reviewed the techniques used by the operator and compared these with the relevant guidance notes. </w:t>
            </w:r>
          </w:p>
          <w:p w14:paraId="0FF152EE" w14:textId="0F567D45" w:rsidR="007820C3" w:rsidRPr="00B510D9" w:rsidRDefault="007820C3" w:rsidP="00792CEE">
            <w:pPr>
              <w:pStyle w:val="BodyText"/>
              <w:rPr>
                <w:rFonts w:ascii="Arial" w:hAnsi="Arial" w:cs="Arial"/>
                <w:color w:val="auto"/>
                <w:szCs w:val="24"/>
              </w:rPr>
            </w:pPr>
          </w:p>
          <w:p w14:paraId="0FF152EF" w14:textId="77777777" w:rsidR="007820C3" w:rsidRPr="00B510D9" w:rsidRDefault="007820C3" w:rsidP="00792CEE">
            <w:pPr>
              <w:pStyle w:val="BodyText"/>
              <w:rPr>
                <w:rFonts w:ascii="Arial" w:hAnsi="Arial" w:cs="Arial"/>
                <w:color w:val="auto"/>
                <w:szCs w:val="24"/>
              </w:rPr>
            </w:pPr>
            <w:r w:rsidRPr="00B510D9">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1F5E1ED" w14:textId="77777777" w:rsidR="00FB30B4" w:rsidRPr="00B510D9" w:rsidRDefault="00FB30B4" w:rsidP="00B510D9">
            <w:pPr>
              <w:pStyle w:val="BodyText"/>
              <w:rPr>
                <w:rFonts w:ascii="Arial" w:hAnsi="Arial" w:cs="Arial"/>
                <w:color w:val="auto"/>
                <w:szCs w:val="24"/>
              </w:rPr>
            </w:pPr>
          </w:p>
          <w:p w14:paraId="1318674C" w14:textId="77777777" w:rsidR="00B510D9" w:rsidRPr="00B510D9" w:rsidRDefault="00B510D9" w:rsidP="00B510D9">
            <w:pPr>
              <w:pStyle w:val="BodyText"/>
              <w:rPr>
                <w:rFonts w:ascii="Arial" w:hAnsi="Arial" w:cs="Arial"/>
                <w:color w:val="auto"/>
                <w:szCs w:val="24"/>
              </w:rPr>
            </w:pPr>
          </w:p>
          <w:p w14:paraId="0FF152F4" w14:textId="50E8EEA7" w:rsidR="00B510D9" w:rsidRPr="00B510D9" w:rsidRDefault="00B510D9" w:rsidP="00B510D9">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510D9">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002978F8" w:rsidR="00FB30B4" w:rsidRPr="00B510D9" w:rsidRDefault="006765AE" w:rsidP="00FB30B4">
      <w:pPr>
        <w:pStyle w:val="Heading1"/>
        <w:jc w:val="left"/>
        <w:rPr>
          <w:color w:val="auto"/>
          <w:sz w:val="24"/>
        </w:rPr>
      </w:pPr>
      <w:r>
        <w:br w:type="page"/>
      </w:r>
      <w:r w:rsidR="00B510D9" w:rsidRPr="00B510D9">
        <w:rPr>
          <w:color w:val="auto"/>
          <w:sz w:val="24"/>
        </w:rPr>
        <w:lastRenderedPageBreak/>
        <w:t xml:space="preserve">Annex 2: Consultation </w:t>
      </w:r>
      <w:r w:rsidR="00FB30B4" w:rsidRPr="00B510D9">
        <w:rPr>
          <w:color w:val="auto"/>
          <w:sz w:val="24"/>
        </w:rPr>
        <w:t>response</w:t>
      </w:r>
      <w:r w:rsidR="00B510D9" w:rsidRPr="00B510D9">
        <w:rPr>
          <w:color w:val="auto"/>
          <w:sz w:val="24"/>
        </w:rPr>
        <w:t xml:space="preserve"> </w:t>
      </w:r>
      <w:r w:rsidR="00FB30B4" w:rsidRPr="00B510D9">
        <w:rPr>
          <w:color w:val="auto"/>
          <w:sz w:val="24"/>
        </w:rPr>
        <w:t xml:space="preserve"> </w:t>
      </w:r>
    </w:p>
    <w:p w14:paraId="0FF15350" w14:textId="77777777" w:rsidR="00FB30B4" w:rsidRPr="00B510D9" w:rsidRDefault="00FB30B4" w:rsidP="00FB30B4">
      <w:pPr>
        <w:pStyle w:val="Footer"/>
        <w:tabs>
          <w:tab w:val="clear" w:pos="4153"/>
          <w:tab w:val="clear" w:pos="8306"/>
        </w:tabs>
        <w:rPr>
          <w:rFonts w:ascii="Arial" w:hAnsi="Arial"/>
        </w:rPr>
      </w:pPr>
    </w:p>
    <w:p w14:paraId="0FF15351" w14:textId="04F80189" w:rsidR="00FB30B4" w:rsidRPr="00B510D9" w:rsidRDefault="00FB30B4" w:rsidP="00FB30B4">
      <w:pPr>
        <w:rPr>
          <w:rFonts w:ascii="Arial" w:hAnsi="Arial"/>
        </w:rPr>
      </w:pPr>
      <w:r w:rsidRPr="00B510D9">
        <w:rPr>
          <w:rFonts w:ascii="Arial" w:hAnsi="Arial"/>
        </w:rPr>
        <w:t>Summary of responses to consultation</w:t>
      </w:r>
      <w:r w:rsidR="00B510D9" w:rsidRPr="00B510D9">
        <w:rPr>
          <w:rFonts w:ascii="Arial" w:hAnsi="Arial"/>
        </w:rPr>
        <w:t xml:space="preserve"> </w:t>
      </w:r>
      <w:r w:rsidRPr="00B510D9">
        <w:rPr>
          <w:rFonts w:ascii="Arial" w:hAnsi="Arial"/>
        </w:rPr>
        <w:t xml:space="preserve">and the way in which we have taken these into account in the determination process.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B510D9">
        <w:tc>
          <w:tcPr>
            <w:tcW w:w="8296"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B510D9">
        <w:tc>
          <w:tcPr>
            <w:tcW w:w="8296" w:type="dxa"/>
            <w:tcBorders>
              <w:bottom w:val="single" w:sz="4" w:space="0" w:color="auto"/>
            </w:tcBorders>
          </w:tcPr>
          <w:p w14:paraId="0FF15355" w14:textId="210ABB58" w:rsidR="00FB30B4" w:rsidRPr="00B510D9" w:rsidRDefault="00B510D9" w:rsidP="00FB30B4">
            <w:pPr>
              <w:jc w:val="both"/>
              <w:rPr>
                <w:rFonts w:ascii="Arial" w:hAnsi="Arial" w:cs="Arial"/>
                <w:color w:val="FFFFFF" w:themeColor="background1"/>
              </w:rPr>
            </w:pPr>
            <w:proofErr w:type="spellStart"/>
            <w:r w:rsidRPr="00B510D9">
              <w:rPr>
                <w:rFonts w:ascii="Arial" w:hAnsi="Arial" w:cs="Arial"/>
              </w:rPr>
              <w:t>Dŵr</w:t>
            </w:r>
            <w:proofErr w:type="spellEnd"/>
            <w:r w:rsidRPr="00B510D9">
              <w:rPr>
                <w:rFonts w:ascii="Arial" w:hAnsi="Arial" w:cs="Arial"/>
              </w:rPr>
              <w:t xml:space="preserve"> </w:t>
            </w:r>
            <w:proofErr w:type="spellStart"/>
            <w:r w:rsidRPr="00B510D9">
              <w:rPr>
                <w:rFonts w:ascii="Arial" w:hAnsi="Arial" w:cs="Arial"/>
              </w:rPr>
              <w:t>Cymru</w:t>
            </w:r>
            <w:proofErr w:type="spellEnd"/>
            <w:r w:rsidRPr="00B510D9">
              <w:rPr>
                <w:rFonts w:ascii="Arial" w:hAnsi="Arial" w:cs="Arial"/>
              </w:rPr>
              <w:t xml:space="preserve"> </w:t>
            </w:r>
            <w:proofErr w:type="spellStart"/>
            <w:r w:rsidRPr="00B510D9">
              <w:rPr>
                <w:rFonts w:ascii="Arial" w:hAnsi="Arial" w:cs="Arial"/>
              </w:rPr>
              <w:t>Cyfyngedig</w:t>
            </w:r>
            <w:proofErr w:type="spellEnd"/>
          </w:p>
        </w:tc>
      </w:tr>
      <w:tr w:rsidR="00FB30B4" w:rsidRPr="004243F4" w14:paraId="0FF15358" w14:textId="77777777" w:rsidTr="00B510D9">
        <w:tc>
          <w:tcPr>
            <w:tcW w:w="8296"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B510D9">
        <w:tc>
          <w:tcPr>
            <w:tcW w:w="8296" w:type="dxa"/>
            <w:tcBorders>
              <w:bottom w:val="single" w:sz="4" w:space="0" w:color="auto"/>
            </w:tcBorders>
          </w:tcPr>
          <w:p w14:paraId="5754A0D5" w14:textId="77777777" w:rsidR="00B510D9" w:rsidRPr="00B510D9" w:rsidRDefault="00B510D9" w:rsidP="00B510D9">
            <w:pPr>
              <w:numPr>
                <w:ilvl w:val="0"/>
                <w:numId w:val="20"/>
              </w:numPr>
              <w:rPr>
                <w:rFonts w:ascii="Arial" w:hAnsi="Arial" w:cs="Arial"/>
              </w:rPr>
            </w:pPr>
            <w:r w:rsidRPr="00B510D9">
              <w:rPr>
                <w:rFonts w:ascii="Arial" w:hAnsi="Arial" w:cs="Arial"/>
              </w:rPr>
              <w:t>what is the treatment process and what will be removed?</w:t>
            </w:r>
          </w:p>
          <w:p w14:paraId="64AAF64D" w14:textId="77777777" w:rsidR="00B510D9" w:rsidRPr="00B510D9" w:rsidRDefault="00B510D9" w:rsidP="00B510D9">
            <w:pPr>
              <w:numPr>
                <w:ilvl w:val="0"/>
                <w:numId w:val="20"/>
              </w:numPr>
              <w:rPr>
                <w:rFonts w:ascii="Arial" w:hAnsi="Arial" w:cs="Arial"/>
              </w:rPr>
            </w:pPr>
            <w:r w:rsidRPr="00B510D9">
              <w:rPr>
                <w:rFonts w:ascii="Arial" w:hAnsi="Arial" w:cs="Arial"/>
              </w:rPr>
              <w:t xml:space="preserve">how frequently will the unit be maintained and by whom? </w:t>
            </w:r>
          </w:p>
          <w:p w14:paraId="0DB7C988" w14:textId="77777777" w:rsidR="00B510D9" w:rsidRPr="00B510D9" w:rsidRDefault="00B510D9" w:rsidP="00B510D9">
            <w:pPr>
              <w:numPr>
                <w:ilvl w:val="0"/>
                <w:numId w:val="20"/>
              </w:numPr>
              <w:rPr>
                <w:rFonts w:ascii="Arial" w:hAnsi="Arial" w:cs="Arial"/>
              </w:rPr>
            </w:pPr>
            <w:r w:rsidRPr="00B510D9">
              <w:rPr>
                <w:rFonts w:ascii="Arial" w:hAnsi="Arial" w:cs="Arial"/>
              </w:rPr>
              <w:t xml:space="preserve">how the outflow will be monitored for compliance?  </w:t>
            </w:r>
          </w:p>
          <w:p w14:paraId="0FF15359" w14:textId="10A4A2E9" w:rsidR="00FB30B4" w:rsidRPr="00B510D9" w:rsidRDefault="00B510D9" w:rsidP="00B510D9">
            <w:pPr>
              <w:numPr>
                <w:ilvl w:val="0"/>
                <w:numId w:val="20"/>
              </w:numPr>
              <w:rPr>
                <w:rFonts w:ascii="Arial" w:hAnsi="Arial" w:cs="Arial"/>
              </w:rPr>
            </w:pPr>
            <w:r w:rsidRPr="00B510D9">
              <w:rPr>
                <w:rFonts w:ascii="Arial" w:hAnsi="Arial" w:cs="Arial"/>
              </w:rPr>
              <w:t>what mitigations will be in place if the unit fails and the sewage is discharged untreated.</w:t>
            </w:r>
          </w:p>
        </w:tc>
      </w:tr>
      <w:tr w:rsidR="00FB30B4" w:rsidRPr="004243F4" w14:paraId="0FF1535C" w14:textId="77777777" w:rsidTr="00B510D9">
        <w:tc>
          <w:tcPr>
            <w:tcW w:w="8296"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B510D9">
        <w:tc>
          <w:tcPr>
            <w:tcW w:w="8296" w:type="dxa"/>
          </w:tcPr>
          <w:p w14:paraId="0FF1535D" w14:textId="4BE9F446" w:rsidR="00FB30B4" w:rsidRPr="004243F4" w:rsidRDefault="00B510D9" w:rsidP="00FB30B4">
            <w:pPr>
              <w:jc w:val="both"/>
              <w:rPr>
                <w:rFonts w:ascii="Arial" w:hAnsi="Arial" w:cs="Arial"/>
              </w:rPr>
            </w:pPr>
            <w:r>
              <w:rPr>
                <w:rFonts w:ascii="Arial" w:hAnsi="Arial" w:cs="Arial"/>
              </w:rPr>
              <w:t>No actions required. Above queries were answered as documented in the external consultation response email on DMS</w:t>
            </w:r>
          </w:p>
        </w:tc>
      </w:tr>
    </w:tbl>
    <w:p w14:paraId="0FF15360" w14:textId="77777777" w:rsidR="00FB30B4" w:rsidRPr="004243F4" w:rsidRDefault="00FB30B4" w:rsidP="00FB30B4">
      <w:pPr>
        <w:jc w:val="both"/>
        <w:rPr>
          <w:rFonts w:ascii="Arial" w:hAnsi="Arial" w:cs="Arial"/>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5A34E0"/>
    <w:multiLevelType w:val="hybridMultilevel"/>
    <w:tmpl w:val="816CA6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7"/>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5"/>
  </w:num>
  <w:num w:numId="17">
    <w:abstractNumId w:val="0"/>
  </w:num>
  <w:num w:numId="18">
    <w:abstractNumId w:val="9"/>
  </w:num>
  <w:num w:numId="19">
    <w:abstractNumId w:val="6"/>
  </w:num>
  <w:num w:numId="20">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0F7015"/>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5D0A"/>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4020"/>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3CBF"/>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9E6DCF"/>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510D9"/>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1A5D0A"/>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1A5D0A"/>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468328">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Hafod y Dail</Site_x0020_Name>
    <Internal_x002f_External xmlns="859f7ad6-93f6-4205-b62b-a17f28acbbac">Internal document</Internal_x002f_External>
    <IconOverlay xmlns="http://schemas.microsoft.com/sharepoint/v4" xsi:nil="true"/>
    <Document_x0020_Type xmlns="859f7ad6-93f6-4205-b62b-a17f28acbbac"/>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2018-09-04T23:00:00+00:00</Document_x0020_Date>
    <Facility_x0020_Address xmlns="859f7ad6-93f6-4205-b62b-a17f28acbbac">Penffordd, Clunderwen</Facility_x0020_Address>
    <Environment_x0020_Sub_x0020_Folder xmlns="859f7ad6-93f6-4205-b62b-a17f28acbbac">Licences applications</Environment_x0020_Sub_x0020_Folder>
    <Customer_x0020_Name xmlns="859f7ad6-93f6-4205-b62b-a17f28acbbac">Mr Richard Gould</Customer_x0020_Name>
    <Post_x0020_code xmlns="859f7ad6-93f6-4205-b62b-a17f28acbbac">SA66 7JB</Post_x0020_cod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8d33e2f3829e0d7f6ad9421480640a4">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483d8215db7e83701e89c667a307b8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purl.org/dc/terms/"/>
    <ds:schemaRef ds:uri="859f7ad6-93f6-4205-b62b-a17f28acbbac"/>
    <ds:schemaRef ds:uri="http://schemas.microsoft.com/office/2006/documentManagement/types"/>
    <ds:schemaRef ds:uri="6e121689-de5b-41b9-a751-bfeda7fa2b07"/>
    <ds:schemaRef ds:uri="http://purl.org/dc/dcmitype/"/>
    <ds:schemaRef ds:uri="http://purl.org/dc/elements/1.1/"/>
    <ds:schemaRef ds:uri="http://schemas.microsoft.com/office/infopath/2007/PartnerControls"/>
    <ds:schemaRef ds:uri="http://schemas.openxmlformats.org/package/2006/metadata/core-properties"/>
    <ds:schemaRef ds:uri="005db27c-c37f-4c3b-898d-3fee1249b087"/>
    <ds:schemaRef ds:uri="http://schemas.microsoft.com/office/2006/metadata/properties"/>
    <ds:schemaRef ds:uri="9be56660-2c31-41ef-bc00-23e72f632f2a"/>
    <ds:schemaRef ds:uri="http://schemas.microsoft.com/sharepoint/v4"/>
    <ds:schemaRef ds:uri="976c396e-0f13-4de6-8381-592a969a477d"/>
    <ds:schemaRef ds:uri="http://www.w3.org/XML/1998/namespac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3FF8FD96-2C51-4BE8-AEB5-DC5CDDDEBA4F}"/>
</file>

<file path=docProps/app.xml><?xml version="1.0" encoding="utf-8"?>
<Properties xmlns="http://schemas.openxmlformats.org/officeDocument/2006/extended-properties" xmlns:vt="http://schemas.openxmlformats.org/officeDocument/2006/docPropsVTypes">
  <Template>Normal</Template>
  <TotalTime>7</TotalTime>
  <Pages>5</Pages>
  <Words>913</Words>
  <Characters>5157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Eaton-Mills, Jennifer</cp:lastModifiedBy>
  <cp:revision>5</cp:revision>
  <cp:lastPrinted>2008-01-30T13:54:00Z</cp:lastPrinted>
  <dcterms:created xsi:type="dcterms:W3CDTF">2018-09-05T12:26:00Z</dcterms:created>
  <dcterms:modified xsi:type="dcterms:W3CDTF">2018-09-05T14:18:00Z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c4c4ef7b-f97a-47c4-a505-a9d02864fac5</vt:lpwstr>
  </property>
  <property fmtid="{D5CDD505-2E9C-101B-9397-08002B2CF9AE}" pid="11" name="SharedWithUsers">
    <vt:lpwstr/>
  </property>
  <property fmtid="{D5CDD505-2E9C-101B-9397-08002B2CF9AE}" pid="12" name="_dlc_DocId">
    <vt:lpwstr>REGU-193-37848</vt:lpwstr>
  </property>
  <property fmtid="{D5CDD505-2E9C-101B-9397-08002B2CF9AE}" pid="13" name="_dlc_DocIdUrl">
    <vt:lpwstr>https://cyfoethnaturiolcymru.sharepoint.com/teams/Regulatory/Permitting/_layouts/15/DocIdRedir.aspx?ID=REGU-193-37848, REGU-193-37848</vt:lpwstr>
  </property>
  <property fmtid="{D5CDD505-2E9C-101B-9397-08002B2CF9AE}" pid="14" name="_docset_NoMedatataSyncRequired">
    <vt:lpwstr>False</vt:lpwstr>
  </property>
</Properties>
</file>