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663162" w14:textId="77777777" w:rsidR="00E450D5" w:rsidRPr="00216630" w:rsidRDefault="008761F4">
      <w:pPr>
        <w:pStyle w:val="Heading1"/>
        <w:jc w:val="left"/>
        <w:rPr>
          <w:sz w:val="32"/>
          <w:szCs w:val="32"/>
        </w:rPr>
      </w:pPr>
      <w:r>
        <w:rPr>
          <w:sz w:val="32"/>
          <w:szCs w:val="32"/>
        </w:rPr>
        <w:t>Natural Resources Wales</w:t>
      </w:r>
      <w:r w:rsidR="00011DD3">
        <w:rPr>
          <w:sz w:val="32"/>
          <w:szCs w:val="32"/>
        </w:rPr>
        <w:t xml:space="preserve"> p</w:t>
      </w:r>
      <w:r w:rsidR="00E33C7B">
        <w:rPr>
          <w:sz w:val="32"/>
          <w:szCs w:val="32"/>
        </w:rPr>
        <w:t>ermitting d</w:t>
      </w:r>
      <w:r w:rsidR="00E450D5" w:rsidRPr="00216630">
        <w:rPr>
          <w:sz w:val="32"/>
          <w:szCs w:val="32"/>
        </w:rPr>
        <w:t>ecisions</w:t>
      </w:r>
    </w:p>
    <w:p w14:paraId="27663163" w14:textId="77777777" w:rsidR="001A15CF" w:rsidRPr="001A15CF" w:rsidRDefault="001A15CF" w:rsidP="001A15CF">
      <w:pPr>
        <w:pStyle w:val="Heading1"/>
        <w:spacing w:before="0" w:after="0"/>
        <w:jc w:val="left"/>
        <w:rPr>
          <w:bCs/>
          <w:color w:val="FF00FF"/>
          <w:sz w:val="24"/>
          <w:szCs w:val="24"/>
        </w:rPr>
      </w:pPr>
    </w:p>
    <w:p w14:paraId="27663164" w14:textId="6AF2B309" w:rsidR="00D7535C" w:rsidRPr="00A65B00" w:rsidRDefault="00D7535C" w:rsidP="001A15CF">
      <w:pPr>
        <w:pStyle w:val="Heading1"/>
        <w:spacing w:before="0" w:after="0"/>
        <w:jc w:val="left"/>
        <w:rPr>
          <w:bCs/>
          <w:color w:val="000000" w:themeColor="text1"/>
          <w:sz w:val="32"/>
        </w:rPr>
      </w:pPr>
      <w:r w:rsidRPr="00A65B00">
        <w:rPr>
          <w:bCs/>
          <w:color w:val="000000" w:themeColor="text1"/>
          <w:sz w:val="32"/>
        </w:rPr>
        <w:t xml:space="preserve">Surrender </w:t>
      </w:r>
    </w:p>
    <w:p w14:paraId="2766316A" w14:textId="77777777" w:rsidR="00011DD3" w:rsidRPr="00EA2951" w:rsidRDefault="00011DD3" w:rsidP="00BF4D0B">
      <w:pPr>
        <w:rPr>
          <w:rFonts w:ascii="Arial" w:hAnsi="Arial"/>
          <w:color w:val="000000" w:themeColor="text1"/>
        </w:rPr>
      </w:pPr>
    </w:p>
    <w:p w14:paraId="2766316B" w14:textId="345EEEE8" w:rsidR="00E450D5" w:rsidRPr="00EA2951" w:rsidRDefault="00E450D5" w:rsidP="006F331E">
      <w:pPr>
        <w:spacing w:after="120"/>
        <w:rPr>
          <w:rFonts w:ascii="Arial" w:hAnsi="Arial"/>
          <w:b/>
          <w:color w:val="000000" w:themeColor="text1"/>
          <w:kern w:val="28"/>
          <w:szCs w:val="24"/>
        </w:rPr>
      </w:pPr>
      <w:r w:rsidRPr="00EA2951">
        <w:rPr>
          <w:rFonts w:ascii="Arial" w:hAnsi="Arial" w:cs="Arial"/>
          <w:color w:val="000000" w:themeColor="text1"/>
          <w:szCs w:val="24"/>
        </w:rPr>
        <w:t xml:space="preserve">We have decided to </w:t>
      </w:r>
      <w:r w:rsidR="007E01FD" w:rsidRPr="00EA2951">
        <w:rPr>
          <w:rFonts w:ascii="Arial" w:hAnsi="Arial" w:cs="Arial"/>
          <w:color w:val="000000" w:themeColor="text1"/>
          <w:szCs w:val="24"/>
        </w:rPr>
        <w:t>accept the surrender</w:t>
      </w:r>
      <w:r w:rsidRPr="00EA2951">
        <w:rPr>
          <w:rFonts w:ascii="Arial" w:hAnsi="Arial" w:cs="Arial"/>
          <w:color w:val="000000" w:themeColor="text1"/>
          <w:szCs w:val="24"/>
        </w:rPr>
        <w:t xml:space="preserve"> </w:t>
      </w:r>
      <w:r w:rsidR="007E01FD" w:rsidRPr="00EA2951">
        <w:rPr>
          <w:rFonts w:ascii="Arial" w:hAnsi="Arial" w:cs="Arial"/>
          <w:color w:val="000000" w:themeColor="text1"/>
          <w:szCs w:val="24"/>
        </w:rPr>
        <w:t>of the permit</w:t>
      </w:r>
      <w:r w:rsidRPr="00EA2951">
        <w:rPr>
          <w:rFonts w:ascii="Arial" w:hAnsi="Arial" w:cs="Arial"/>
          <w:color w:val="000000" w:themeColor="text1"/>
          <w:szCs w:val="24"/>
        </w:rPr>
        <w:t xml:space="preserve"> for </w:t>
      </w:r>
      <w:r w:rsidR="00EA2951" w:rsidRPr="00EA2951">
        <w:rPr>
          <w:rFonts w:ascii="Arial" w:hAnsi="Arial" w:cs="Arial"/>
          <w:color w:val="000000" w:themeColor="text1"/>
          <w:szCs w:val="24"/>
        </w:rPr>
        <w:t>Lock</w:t>
      </w:r>
      <w:r w:rsidR="0060315D">
        <w:rPr>
          <w:rFonts w:ascii="Arial" w:hAnsi="Arial" w:cs="Arial"/>
          <w:color w:val="000000" w:themeColor="text1"/>
          <w:szCs w:val="24"/>
        </w:rPr>
        <w:t>s</w:t>
      </w:r>
      <w:r w:rsidR="00EA2951" w:rsidRPr="00EA2951">
        <w:rPr>
          <w:rFonts w:ascii="Arial" w:hAnsi="Arial" w:cs="Arial"/>
          <w:color w:val="000000" w:themeColor="text1"/>
          <w:szCs w:val="24"/>
        </w:rPr>
        <w:t xml:space="preserve"> Yard, </w:t>
      </w:r>
      <w:r w:rsidR="00D7535C" w:rsidRPr="00EA2951">
        <w:rPr>
          <w:rFonts w:ascii="Arial" w:hAnsi="Arial" w:cs="Arial"/>
          <w:color w:val="000000" w:themeColor="text1"/>
          <w:szCs w:val="24"/>
        </w:rPr>
        <w:t xml:space="preserve">operated by </w:t>
      </w:r>
      <w:proofErr w:type="gramStart"/>
      <w:r w:rsidR="00EA2951" w:rsidRPr="00EA2951">
        <w:rPr>
          <w:rFonts w:ascii="Arial" w:hAnsi="Arial" w:cs="Arial"/>
          <w:color w:val="000000" w:themeColor="text1"/>
          <w:szCs w:val="24"/>
        </w:rPr>
        <w:t>South West</w:t>
      </w:r>
      <w:proofErr w:type="gramEnd"/>
      <w:r w:rsidR="00EA2951" w:rsidRPr="00EA2951">
        <w:rPr>
          <w:rFonts w:ascii="Arial" w:hAnsi="Arial" w:cs="Arial"/>
          <w:color w:val="000000" w:themeColor="text1"/>
          <w:szCs w:val="24"/>
        </w:rPr>
        <w:t xml:space="preserve"> Wood Limited. </w:t>
      </w:r>
    </w:p>
    <w:p w14:paraId="04AFDA73" w14:textId="3B480899" w:rsidR="00EA2951" w:rsidRPr="00EA2951" w:rsidRDefault="00E450D5" w:rsidP="00EA2951">
      <w:pPr>
        <w:tabs>
          <w:tab w:val="left" w:pos="4253"/>
          <w:tab w:val="left" w:pos="6804"/>
        </w:tabs>
        <w:spacing w:after="120"/>
        <w:rPr>
          <w:rFonts w:ascii="Arial" w:hAnsi="Arial"/>
        </w:rPr>
      </w:pPr>
      <w:r w:rsidRPr="00E450D5">
        <w:rPr>
          <w:rFonts w:ascii="Arial" w:hAnsi="Arial"/>
          <w:color w:val="000000"/>
          <w:kern w:val="28"/>
          <w:szCs w:val="24"/>
        </w:rPr>
        <w:t>The</w:t>
      </w:r>
      <w:r>
        <w:rPr>
          <w:rFonts w:ascii="Arial" w:hAnsi="Arial"/>
          <w:b/>
          <w:color w:val="000000"/>
          <w:kern w:val="28"/>
          <w:sz w:val="28"/>
        </w:rPr>
        <w:t xml:space="preserve"> </w:t>
      </w:r>
      <w:r>
        <w:rPr>
          <w:rFonts w:ascii="Arial" w:hAnsi="Arial"/>
        </w:rPr>
        <w:t>p</w:t>
      </w:r>
      <w:r w:rsidR="00C44B7E">
        <w:rPr>
          <w:rFonts w:ascii="Arial" w:hAnsi="Arial"/>
        </w:rPr>
        <w:t xml:space="preserve">ermit number </w:t>
      </w:r>
      <w:r>
        <w:rPr>
          <w:rFonts w:ascii="Arial" w:hAnsi="Arial"/>
        </w:rPr>
        <w:t xml:space="preserve">is </w:t>
      </w:r>
      <w:r w:rsidR="004B0339" w:rsidRPr="004B0339">
        <w:rPr>
          <w:rFonts w:ascii="Arial" w:hAnsi="Arial"/>
        </w:rPr>
        <w:t>EPR/FP3095ET</w:t>
      </w:r>
    </w:p>
    <w:p w14:paraId="2766316D" w14:textId="77777777" w:rsidR="00B267CC" w:rsidRDefault="00B267CC" w:rsidP="006F331E">
      <w:pPr>
        <w:spacing w:after="120"/>
        <w:rPr>
          <w:rFonts w:ascii="Arial" w:hAnsi="Arial"/>
        </w:rPr>
      </w:pPr>
      <w:r>
        <w:rPr>
          <w:rFonts w:ascii="Arial" w:hAnsi="Arial"/>
        </w:rPr>
        <w:t>We are satisfied that the necessary measures have been taken to avoid any pollution risk and to return the site to a satisfactory state.</w:t>
      </w:r>
    </w:p>
    <w:p w14:paraId="2766316E" w14:textId="77777777" w:rsidR="00D7535C" w:rsidRDefault="00D7535C" w:rsidP="006F331E">
      <w:pPr>
        <w:spacing w:after="120"/>
        <w:rPr>
          <w:rFonts w:ascii="Arial" w:hAnsi="Arial"/>
        </w:rPr>
      </w:pPr>
      <w:r>
        <w:rPr>
          <w:rFonts w:ascii="Arial" w:hAnsi="Arial"/>
        </w:rPr>
        <w:t xml:space="preserve">We consider in reaching that decision we have taken into account all relevant considerations and legal requirements. </w:t>
      </w:r>
    </w:p>
    <w:p w14:paraId="2766316F" w14:textId="77777777" w:rsidR="00D7535C" w:rsidRPr="00E5577A" w:rsidRDefault="00D7535C" w:rsidP="00FD759F">
      <w:pPr>
        <w:rPr>
          <w:rFonts w:ascii="Arial" w:hAnsi="Arial" w:cs="Arial"/>
          <w:b/>
          <w:szCs w:val="24"/>
        </w:rPr>
      </w:pPr>
    </w:p>
    <w:p w14:paraId="27663170" w14:textId="77777777" w:rsidR="00D7535C" w:rsidRPr="00E5577A" w:rsidRDefault="00D7535C" w:rsidP="00FD759F">
      <w:pPr>
        <w:rPr>
          <w:rFonts w:ascii="Arial" w:hAnsi="Arial" w:cs="Arial"/>
          <w:b/>
          <w:szCs w:val="24"/>
        </w:rPr>
      </w:pPr>
    </w:p>
    <w:p w14:paraId="27663171" w14:textId="77777777" w:rsidR="00C44B7E" w:rsidRPr="00476B14" w:rsidRDefault="00C44B7E" w:rsidP="00FD759F">
      <w:pPr>
        <w:rPr>
          <w:rFonts w:ascii="Arial" w:hAnsi="Arial" w:cs="Arial"/>
          <w:b/>
          <w:sz w:val="28"/>
          <w:szCs w:val="28"/>
        </w:rPr>
      </w:pPr>
      <w:r w:rsidRPr="00476B14">
        <w:rPr>
          <w:rFonts w:ascii="Arial" w:hAnsi="Arial" w:cs="Arial"/>
          <w:b/>
          <w:sz w:val="28"/>
          <w:szCs w:val="28"/>
        </w:rPr>
        <w:t>Purpose of this document</w:t>
      </w:r>
    </w:p>
    <w:p w14:paraId="27663172" w14:textId="77777777" w:rsidR="00C44B7E" w:rsidRPr="00864744" w:rsidRDefault="00C44B7E">
      <w:pPr>
        <w:rPr>
          <w:rFonts w:ascii="Arial" w:hAnsi="Arial"/>
          <w:b/>
          <w:sz w:val="20"/>
        </w:rPr>
      </w:pPr>
    </w:p>
    <w:p w14:paraId="27663173" w14:textId="77777777" w:rsidR="00945712" w:rsidRDefault="00945712">
      <w:pPr>
        <w:rPr>
          <w:rFonts w:ascii="Arial" w:hAnsi="Arial"/>
        </w:rPr>
      </w:pPr>
      <w:r>
        <w:rPr>
          <w:rFonts w:ascii="Arial" w:hAnsi="Arial"/>
        </w:rPr>
        <w:t>This</w:t>
      </w:r>
      <w:r w:rsidR="00C44B7E">
        <w:rPr>
          <w:rFonts w:ascii="Arial" w:hAnsi="Arial"/>
        </w:rPr>
        <w:t xml:space="preserve"> decision document</w:t>
      </w:r>
      <w:r>
        <w:rPr>
          <w:rFonts w:ascii="Arial" w:hAnsi="Arial"/>
        </w:rPr>
        <w:t>:</w:t>
      </w:r>
    </w:p>
    <w:p w14:paraId="27663174" w14:textId="77777777" w:rsidR="00945712" w:rsidRDefault="00C44B7E" w:rsidP="00972749">
      <w:pPr>
        <w:numPr>
          <w:ilvl w:val="0"/>
          <w:numId w:val="15"/>
        </w:numPr>
        <w:tabs>
          <w:tab w:val="clear" w:pos="1866"/>
          <w:tab w:val="num" w:pos="1134"/>
        </w:tabs>
        <w:spacing w:after="60"/>
        <w:ind w:left="1134" w:hanging="567"/>
        <w:rPr>
          <w:rFonts w:ascii="Arial" w:hAnsi="Arial"/>
        </w:rPr>
      </w:pPr>
      <w:r>
        <w:rPr>
          <w:rFonts w:ascii="Arial" w:hAnsi="Arial"/>
        </w:rPr>
        <w:t xml:space="preserve">explains how the </w:t>
      </w:r>
      <w:r w:rsidR="00724050">
        <w:rPr>
          <w:rFonts w:ascii="Arial" w:hAnsi="Arial"/>
        </w:rPr>
        <w:t>operator</w:t>
      </w:r>
      <w:r>
        <w:rPr>
          <w:rFonts w:ascii="Arial" w:hAnsi="Arial"/>
        </w:rPr>
        <w:t>’s application has been determined</w:t>
      </w:r>
    </w:p>
    <w:p w14:paraId="27663175" w14:textId="77777777" w:rsidR="00945712" w:rsidRDefault="00945712" w:rsidP="00972749">
      <w:pPr>
        <w:numPr>
          <w:ilvl w:val="0"/>
          <w:numId w:val="15"/>
        </w:numPr>
        <w:tabs>
          <w:tab w:val="clear" w:pos="1866"/>
          <w:tab w:val="num" w:pos="1134"/>
        </w:tabs>
        <w:spacing w:after="60"/>
        <w:ind w:left="1134" w:hanging="567"/>
        <w:rPr>
          <w:rFonts w:ascii="Arial" w:hAnsi="Arial"/>
        </w:rPr>
      </w:pPr>
      <w:r>
        <w:rPr>
          <w:rFonts w:ascii="Arial" w:hAnsi="Arial"/>
        </w:rPr>
        <w:t>provides a record</w:t>
      </w:r>
      <w:r w:rsidR="00864744">
        <w:rPr>
          <w:rFonts w:ascii="Arial" w:hAnsi="Arial"/>
        </w:rPr>
        <w:t xml:space="preserve"> of the decision-making process</w:t>
      </w:r>
    </w:p>
    <w:p w14:paraId="27663178" w14:textId="5474BBE8" w:rsidR="00C44B7E" w:rsidRPr="00A65B00" w:rsidRDefault="00945712" w:rsidP="00A65B00">
      <w:pPr>
        <w:numPr>
          <w:ilvl w:val="0"/>
          <w:numId w:val="15"/>
        </w:numPr>
        <w:tabs>
          <w:tab w:val="clear" w:pos="1866"/>
          <w:tab w:val="num" w:pos="1134"/>
        </w:tabs>
        <w:spacing w:after="60"/>
        <w:ind w:left="1134" w:hanging="567"/>
        <w:rPr>
          <w:rFonts w:ascii="Arial" w:hAnsi="Arial"/>
        </w:rPr>
      </w:pPr>
      <w:r>
        <w:rPr>
          <w:rFonts w:ascii="Arial" w:hAnsi="Arial"/>
        </w:rPr>
        <w:t>shows how all relevant factors have been tak</w:t>
      </w:r>
      <w:r w:rsidR="00864744">
        <w:rPr>
          <w:rFonts w:ascii="Arial" w:hAnsi="Arial"/>
        </w:rPr>
        <w:t>en into account</w:t>
      </w:r>
    </w:p>
    <w:p w14:paraId="27663179" w14:textId="77777777" w:rsidR="00476B14" w:rsidRDefault="00476B14">
      <w:pPr>
        <w:rPr>
          <w:rFonts w:ascii="Arial" w:hAnsi="Arial"/>
        </w:rPr>
      </w:pPr>
    </w:p>
    <w:p w14:paraId="2766317A" w14:textId="34378288" w:rsidR="00476B14" w:rsidRDefault="00476B14">
      <w:pPr>
        <w:rPr>
          <w:rFonts w:ascii="Arial" w:hAnsi="Arial"/>
          <w:b/>
          <w:sz w:val="28"/>
          <w:szCs w:val="28"/>
        </w:rPr>
      </w:pPr>
      <w:r w:rsidRPr="00476B14">
        <w:rPr>
          <w:rFonts w:ascii="Arial" w:hAnsi="Arial"/>
          <w:b/>
          <w:sz w:val="28"/>
          <w:szCs w:val="28"/>
        </w:rPr>
        <w:t>Structure of this document</w:t>
      </w:r>
    </w:p>
    <w:p w14:paraId="50975E64" w14:textId="77777777" w:rsidR="00D173F2" w:rsidRPr="00476B14" w:rsidRDefault="00D173F2">
      <w:pPr>
        <w:rPr>
          <w:rFonts w:ascii="Arial" w:hAnsi="Arial"/>
          <w:b/>
          <w:caps/>
          <w:sz w:val="28"/>
          <w:szCs w:val="28"/>
        </w:rPr>
      </w:pPr>
    </w:p>
    <w:p w14:paraId="2766317C" w14:textId="77777777" w:rsidR="00384396" w:rsidRPr="0067478B" w:rsidRDefault="00384396" w:rsidP="00384396">
      <w:pPr>
        <w:numPr>
          <w:ilvl w:val="0"/>
          <w:numId w:val="13"/>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7663181" w14:textId="77777777" w:rsidR="00622014" w:rsidRPr="003546B3" w:rsidRDefault="00622014" w:rsidP="00622014">
      <w:pPr>
        <w:spacing w:after="120"/>
        <w:rPr>
          <w:rFonts w:ascii="Arial" w:hAnsi="Arial"/>
        </w:rPr>
      </w:pPr>
    </w:p>
    <w:p w14:paraId="2766318F" w14:textId="77B8C170" w:rsidR="00D7535C" w:rsidRPr="00A62285" w:rsidRDefault="00D7535C" w:rsidP="00BF4D0B">
      <w:pPr>
        <w:rPr>
          <w:rFonts w:ascii="Arial" w:hAnsi="Arial"/>
          <w:b/>
          <w:color w:val="FF0000"/>
          <w:kern w:val="28"/>
          <w:sz w:val="28"/>
          <w:szCs w:val="28"/>
        </w:rPr>
      </w:pPr>
    </w:p>
    <w:p w14:paraId="27663190" w14:textId="77777777" w:rsidR="00D7535C" w:rsidRPr="008642DA" w:rsidRDefault="00D7535C" w:rsidP="00D7535C">
      <w:pPr>
        <w:ind w:left="360"/>
        <w:rPr>
          <w:rFonts w:ascii="Arial" w:hAnsi="Arial"/>
        </w:rPr>
      </w:pPr>
    </w:p>
    <w:p w14:paraId="27663191" w14:textId="77777777" w:rsidR="00DE632F" w:rsidRDefault="00C44B7E" w:rsidP="00A2493A">
      <w:pPr>
        <w:pStyle w:val="Heading112"/>
      </w:pPr>
      <w:r>
        <w:br w:type="page"/>
      </w:r>
      <w:r w:rsidR="00527E97" w:rsidRPr="008A1FB1">
        <w:lastRenderedPageBreak/>
        <w:t xml:space="preserve">Annex 1: decision </w:t>
      </w:r>
      <w:r w:rsidR="00ED0093">
        <w:t>checklist</w:t>
      </w:r>
    </w:p>
    <w:p w14:paraId="27663192" w14:textId="77777777" w:rsidR="00BF4D0B" w:rsidRDefault="00BF4D0B" w:rsidP="00E5577A">
      <w:pPr>
        <w:rPr>
          <w:rFonts w:ascii="Arial" w:hAnsi="Arial" w:cs="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p>
    <w:p w14:paraId="27663193" w14:textId="77777777" w:rsidR="00BF4D0B" w:rsidRDefault="00BF4D0B" w:rsidP="00E5577A">
      <w:pPr>
        <w:rPr>
          <w:rFonts w:ascii="Arial" w:hAnsi="Arial" w:cs="Arial"/>
          <w:color w:val="000000"/>
          <w:szCs w:val="24"/>
        </w:rPr>
      </w:pPr>
    </w:p>
    <w:p w14:paraId="27663198" w14:textId="0C279D34" w:rsidR="00E5577A" w:rsidRPr="00E5577A" w:rsidRDefault="00E5577A" w:rsidP="009F3269">
      <w:pPr>
        <w:rPr>
          <w:rFonts w:ascii="Arial" w:hAnsi="Arial" w:cs="Arial"/>
          <w:color w:val="FF00FF"/>
          <w:szCs w:val="24"/>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19"/>
        <w:gridCol w:w="3544"/>
        <w:gridCol w:w="1701"/>
      </w:tblGrid>
      <w:tr w:rsidR="00DE632F" w:rsidRPr="00BF4D0B" w14:paraId="2766319C" w14:textId="77777777" w:rsidTr="00AA5A1B">
        <w:trPr>
          <w:cantSplit/>
          <w:tblHeader/>
        </w:trPr>
        <w:tc>
          <w:tcPr>
            <w:tcW w:w="4219" w:type="dxa"/>
            <w:vMerge w:val="restart"/>
            <w:shd w:val="clear" w:color="auto" w:fill="00B050"/>
          </w:tcPr>
          <w:p w14:paraId="27663199" w14:textId="77777777" w:rsidR="00DE632F" w:rsidRPr="00BF4D0B" w:rsidRDefault="00BF4D0B" w:rsidP="002B0D8B">
            <w:pPr>
              <w:pStyle w:val="Heading3"/>
              <w:rPr>
                <w:rFonts w:ascii="Arial" w:hAnsi="Arial" w:cs="Arial"/>
                <w:color w:val="FFFFFF"/>
                <w:szCs w:val="24"/>
              </w:rPr>
            </w:pPr>
            <w:r w:rsidRPr="00CF487C">
              <w:rPr>
                <w:rFonts w:ascii="Arial" w:hAnsi="Arial" w:cs="Arial"/>
                <w:color w:val="FFFFFF"/>
                <w:szCs w:val="24"/>
              </w:rPr>
              <w:t>Aspect considered</w:t>
            </w:r>
          </w:p>
        </w:tc>
        <w:tc>
          <w:tcPr>
            <w:tcW w:w="3544" w:type="dxa"/>
            <w:vMerge w:val="restart"/>
            <w:shd w:val="clear" w:color="auto" w:fill="00B050"/>
          </w:tcPr>
          <w:p w14:paraId="2766319A" w14:textId="77777777" w:rsidR="00DE632F" w:rsidRPr="00BF4D0B" w:rsidRDefault="00DE632F" w:rsidP="002B0D8B">
            <w:pPr>
              <w:pStyle w:val="Heading3"/>
              <w:rPr>
                <w:rFonts w:ascii="Arial" w:hAnsi="Arial" w:cs="Arial"/>
                <w:color w:val="FFFFFF"/>
                <w:szCs w:val="24"/>
              </w:rPr>
            </w:pPr>
            <w:r w:rsidRPr="00BF4D0B">
              <w:rPr>
                <w:rFonts w:ascii="Arial" w:hAnsi="Arial" w:cs="Arial"/>
                <w:color w:val="FFFFFF"/>
                <w:szCs w:val="24"/>
              </w:rPr>
              <w:t>Justification / Detail</w:t>
            </w:r>
          </w:p>
        </w:tc>
        <w:tc>
          <w:tcPr>
            <w:tcW w:w="1701" w:type="dxa"/>
            <w:shd w:val="clear" w:color="auto" w:fill="00B050"/>
          </w:tcPr>
          <w:p w14:paraId="2766319B" w14:textId="77777777" w:rsidR="00DE632F" w:rsidRPr="00BF4D0B" w:rsidRDefault="00BF4D0B" w:rsidP="002B0D8B">
            <w:pPr>
              <w:rPr>
                <w:rFonts w:ascii="Arial" w:hAnsi="Arial" w:cs="Arial"/>
                <w:b/>
                <w:color w:val="FFFFFF"/>
                <w:szCs w:val="24"/>
              </w:rPr>
            </w:pPr>
            <w:r>
              <w:rPr>
                <w:rFonts w:ascii="Arial" w:hAnsi="Arial" w:cs="Arial"/>
                <w:b/>
                <w:color w:val="FFFFFF"/>
                <w:szCs w:val="24"/>
              </w:rPr>
              <w:t>C</w:t>
            </w:r>
            <w:r w:rsidR="00DE632F" w:rsidRPr="00BF4D0B">
              <w:rPr>
                <w:rFonts w:ascii="Arial" w:hAnsi="Arial" w:cs="Arial"/>
                <w:b/>
                <w:color w:val="FFFFFF"/>
                <w:szCs w:val="24"/>
              </w:rPr>
              <w:t>riteria met</w:t>
            </w:r>
          </w:p>
        </w:tc>
      </w:tr>
      <w:tr w:rsidR="00BF4D0B" w:rsidRPr="00BF4D0B" w14:paraId="276631A0" w14:textId="77777777" w:rsidTr="00AA5A1B">
        <w:trPr>
          <w:cantSplit/>
          <w:trHeight w:val="276"/>
          <w:tblHeader/>
        </w:trPr>
        <w:tc>
          <w:tcPr>
            <w:tcW w:w="4219" w:type="dxa"/>
            <w:vMerge/>
            <w:tcBorders>
              <w:bottom w:val="single" w:sz="4" w:space="0" w:color="auto"/>
            </w:tcBorders>
          </w:tcPr>
          <w:p w14:paraId="2766319D" w14:textId="77777777" w:rsidR="00BF4D0B" w:rsidRPr="00BF4D0B" w:rsidRDefault="00BF4D0B" w:rsidP="002B0D8B">
            <w:pPr>
              <w:pStyle w:val="Heading3"/>
              <w:rPr>
                <w:rFonts w:ascii="Arial" w:hAnsi="Arial" w:cs="Arial"/>
                <w:szCs w:val="24"/>
              </w:rPr>
            </w:pPr>
          </w:p>
        </w:tc>
        <w:tc>
          <w:tcPr>
            <w:tcW w:w="3544" w:type="dxa"/>
            <w:vMerge/>
            <w:tcBorders>
              <w:bottom w:val="single" w:sz="4" w:space="0" w:color="auto"/>
            </w:tcBorders>
          </w:tcPr>
          <w:p w14:paraId="2766319E" w14:textId="77777777" w:rsidR="00BF4D0B" w:rsidRPr="00BF4D0B" w:rsidRDefault="00BF4D0B" w:rsidP="002B0D8B">
            <w:pPr>
              <w:pStyle w:val="Heading3"/>
              <w:rPr>
                <w:rFonts w:ascii="Arial" w:hAnsi="Arial" w:cs="Arial"/>
                <w:szCs w:val="24"/>
              </w:rPr>
            </w:pPr>
          </w:p>
        </w:tc>
        <w:tc>
          <w:tcPr>
            <w:tcW w:w="1701" w:type="dxa"/>
            <w:tcBorders>
              <w:bottom w:val="nil"/>
            </w:tcBorders>
            <w:shd w:val="clear" w:color="auto" w:fill="auto"/>
          </w:tcPr>
          <w:p w14:paraId="2766319F" w14:textId="77777777" w:rsidR="00BF4D0B" w:rsidRPr="00BF4D0B" w:rsidRDefault="00BF4D0B" w:rsidP="008303D9">
            <w:pPr>
              <w:jc w:val="center"/>
              <w:rPr>
                <w:rFonts w:ascii="Arial" w:hAnsi="Arial" w:cs="Arial"/>
                <w:b/>
                <w:szCs w:val="24"/>
              </w:rPr>
            </w:pPr>
            <w:r w:rsidRPr="00BF4D0B">
              <w:rPr>
                <w:rFonts w:ascii="Arial" w:hAnsi="Arial" w:cs="Arial"/>
                <w:b/>
                <w:szCs w:val="24"/>
              </w:rPr>
              <w:t>Yes</w:t>
            </w:r>
          </w:p>
        </w:tc>
      </w:tr>
      <w:tr w:rsidR="00237BA4" w:rsidRPr="00BF4D0B" w14:paraId="50653E33" w14:textId="77777777" w:rsidTr="00AA5A1B">
        <w:trPr>
          <w:trHeight w:val="403"/>
        </w:trPr>
        <w:tc>
          <w:tcPr>
            <w:tcW w:w="9464" w:type="dxa"/>
            <w:gridSpan w:val="3"/>
            <w:tcBorders>
              <w:bottom w:val="single" w:sz="4" w:space="0" w:color="auto"/>
            </w:tcBorders>
            <w:shd w:val="clear" w:color="auto" w:fill="00B050"/>
          </w:tcPr>
          <w:p w14:paraId="5F07FC41" w14:textId="3751B374" w:rsidR="00237BA4" w:rsidRPr="00BF4D0B" w:rsidRDefault="00237BA4" w:rsidP="002B0D8B">
            <w:pPr>
              <w:rPr>
                <w:rFonts w:ascii="Arial" w:hAnsi="Arial" w:cs="Arial"/>
                <w:szCs w:val="24"/>
              </w:rPr>
            </w:pPr>
            <w:r w:rsidRPr="00995517">
              <w:rPr>
                <w:rFonts w:ascii="Arial" w:hAnsi="Arial" w:cs="Arial"/>
                <w:b/>
                <w:color w:val="FFFFFF" w:themeColor="background1"/>
                <w:sz w:val="22"/>
                <w:szCs w:val="24"/>
              </w:rPr>
              <w:t>Sustainable Management of Natural Resources (SMNR)</w:t>
            </w:r>
          </w:p>
        </w:tc>
      </w:tr>
      <w:tr w:rsidR="00237BA4" w:rsidRPr="00CF487C" w14:paraId="276631B3" w14:textId="4F0DFEA7" w:rsidTr="00AA5A1B">
        <w:tc>
          <w:tcPr>
            <w:tcW w:w="4219" w:type="dxa"/>
            <w:tcBorders>
              <w:bottom w:val="single" w:sz="4" w:space="0" w:color="auto"/>
            </w:tcBorders>
          </w:tcPr>
          <w:p w14:paraId="276631B2" w14:textId="5C80C9C8" w:rsidR="00237BA4" w:rsidRPr="00BF4D0B" w:rsidRDefault="00237BA4" w:rsidP="00BF4D0B">
            <w:pPr>
              <w:rPr>
                <w:rFonts w:ascii="Arial" w:hAnsi="Arial" w:cs="Arial"/>
                <w:szCs w:val="24"/>
              </w:rPr>
            </w:pPr>
            <w:r>
              <w:rPr>
                <w:rFonts w:ascii="Arial" w:hAnsi="Arial" w:cs="Arial"/>
              </w:rPr>
              <w:t>Considerations of SMNR - Compliance with our General Purpose</w:t>
            </w:r>
          </w:p>
        </w:tc>
        <w:tc>
          <w:tcPr>
            <w:tcW w:w="3544" w:type="dxa"/>
          </w:tcPr>
          <w:p w14:paraId="66EF259B" w14:textId="7CB638D1" w:rsidR="00237BA4" w:rsidRPr="0017084D" w:rsidRDefault="00237BA4" w:rsidP="0017084D">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p>
        </w:tc>
        <w:tc>
          <w:tcPr>
            <w:tcW w:w="1701" w:type="dxa"/>
          </w:tcPr>
          <w:p w14:paraId="7F829C72" w14:textId="6054B94A" w:rsidR="00237BA4" w:rsidRPr="00CF487C" w:rsidRDefault="00237BA4">
            <w:r>
              <w:rPr>
                <w:rFonts w:ascii="Wingdings" w:hAnsi="Wingdings"/>
                <w:color w:val="000000"/>
              </w:rPr>
              <w:t></w:t>
            </w:r>
          </w:p>
        </w:tc>
      </w:tr>
      <w:tr w:rsidR="00AA5A1B" w:rsidRPr="00CF487C" w14:paraId="4AE4AFE0" w14:textId="7678EF27" w:rsidTr="00AA5A1B">
        <w:trPr>
          <w:trHeight w:val="268"/>
        </w:trPr>
        <w:tc>
          <w:tcPr>
            <w:tcW w:w="9464" w:type="dxa"/>
            <w:gridSpan w:val="3"/>
            <w:shd w:val="clear" w:color="auto" w:fill="00B050"/>
          </w:tcPr>
          <w:p w14:paraId="50759BBE" w14:textId="12EBB461" w:rsidR="00AA5A1B" w:rsidRPr="00BF4D0B" w:rsidRDefault="00AA5A1B" w:rsidP="00BF4D0B">
            <w:pPr>
              <w:rPr>
                <w:rFonts w:ascii="Arial" w:hAnsi="Arial" w:cs="Arial"/>
                <w:szCs w:val="24"/>
              </w:rPr>
            </w:pPr>
            <w:r w:rsidRPr="00BF4D0B">
              <w:rPr>
                <w:rFonts w:ascii="Arial" w:hAnsi="Arial" w:cs="Arial"/>
                <w:b/>
                <w:color w:val="FFFFFF"/>
                <w:szCs w:val="24"/>
              </w:rPr>
              <w:t>The site</w:t>
            </w:r>
          </w:p>
        </w:tc>
      </w:tr>
      <w:tr w:rsidR="00AA5A1B" w:rsidRPr="00BF4D0B" w14:paraId="276631C0" w14:textId="515D26EB" w:rsidTr="00AA5A1B">
        <w:tc>
          <w:tcPr>
            <w:tcW w:w="4219" w:type="dxa"/>
          </w:tcPr>
          <w:p w14:paraId="3FF5F113" w14:textId="0A65684F" w:rsidR="00AA5A1B" w:rsidRDefault="00AA5A1B" w:rsidP="00282561">
            <w:pPr>
              <w:rPr>
                <w:rFonts w:ascii="Arial" w:hAnsi="Arial" w:cs="Arial"/>
                <w:color w:val="000000"/>
                <w:szCs w:val="24"/>
              </w:rPr>
            </w:pPr>
            <w:r w:rsidRPr="00BF4D0B">
              <w:rPr>
                <w:rFonts w:ascii="Arial" w:hAnsi="Arial" w:cs="Arial"/>
                <w:szCs w:val="24"/>
              </w:rPr>
              <w:t>Pollution risk</w:t>
            </w:r>
          </w:p>
        </w:tc>
        <w:tc>
          <w:tcPr>
            <w:tcW w:w="3544" w:type="dxa"/>
          </w:tcPr>
          <w:p w14:paraId="38646890" w14:textId="77777777" w:rsidR="00AA5A1B" w:rsidRDefault="00AA5A1B" w:rsidP="00F22A07">
            <w:pPr>
              <w:pStyle w:val="BodyText"/>
              <w:rPr>
                <w:rFonts w:ascii="Arial" w:hAnsi="Arial" w:cs="Arial"/>
                <w:color w:val="FF00FF"/>
                <w:szCs w:val="24"/>
              </w:rPr>
            </w:pPr>
            <w:r w:rsidRPr="00BF4D0B">
              <w:rPr>
                <w:rFonts w:ascii="Arial" w:hAnsi="Arial" w:cs="Arial"/>
                <w:szCs w:val="24"/>
              </w:rPr>
              <w:t>We are satisfied that the necessary measures have been taken to avoid a pollution risk resulting from the operation of the regulated facility.</w:t>
            </w:r>
            <w:r w:rsidRPr="00BF4D0B">
              <w:rPr>
                <w:rFonts w:ascii="Arial" w:hAnsi="Arial" w:cs="Arial"/>
                <w:color w:val="FF00FF"/>
                <w:szCs w:val="24"/>
              </w:rPr>
              <w:t xml:space="preserve"> </w:t>
            </w:r>
          </w:p>
          <w:p w14:paraId="43C3E3F8" w14:textId="6F5F5C4A" w:rsidR="00AA5A1B" w:rsidRDefault="00AA5A1B" w:rsidP="00D13486">
            <w:pPr>
              <w:spacing w:before="60"/>
              <w:rPr>
                <w:rFonts w:ascii="Arial" w:hAnsi="Arial" w:cs="Arial"/>
                <w:color w:val="FF00FF"/>
                <w:szCs w:val="24"/>
              </w:rPr>
            </w:pPr>
          </w:p>
        </w:tc>
        <w:tc>
          <w:tcPr>
            <w:tcW w:w="1701" w:type="dxa"/>
          </w:tcPr>
          <w:p w14:paraId="276631BF" w14:textId="1D19B9D2" w:rsidR="00AA5A1B" w:rsidRPr="00BF4D0B" w:rsidRDefault="00AA5A1B" w:rsidP="0049645D">
            <w:pPr>
              <w:rPr>
                <w:rFonts w:ascii="Arial" w:hAnsi="Arial" w:cs="Arial"/>
                <w:szCs w:val="24"/>
              </w:rPr>
            </w:pPr>
            <w:r w:rsidRPr="00BF4D0B">
              <w:rPr>
                <w:rFonts w:ascii="Arial" w:hAnsi="Arial" w:cs="Arial"/>
                <w:color w:val="000000"/>
                <w:szCs w:val="24"/>
              </w:rPr>
              <w:sym w:font="Wingdings" w:char="F0FC"/>
            </w:r>
          </w:p>
        </w:tc>
      </w:tr>
      <w:tr w:rsidR="00AA5A1B" w:rsidRPr="00CF487C" w14:paraId="276631CA" w14:textId="5D2454CC" w:rsidTr="00AA5A1B">
        <w:tc>
          <w:tcPr>
            <w:tcW w:w="4219" w:type="dxa"/>
          </w:tcPr>
          <w:p w14:paraId="01B48314" w14:textId="551F9F48" w:rsidR="00AA5A1B" w:rsidRPr="00664A25" w:rsidRDefault="00AA5A1B" w:rsidP="00F22A07">
            <w:pPr>
              <w:rPr>
                <w:rFonts w:ascii="Arial" w:hAnsi="Arial" w:cs="Arial"/>
                <w:szCs w:val="24"/>
                <w:highlight w:val="yellow"/>
              </w:rPr>
            </w:pPr>
            <w:r w:rsidRPr="00ED13B9">
              <w:rPr>
                <w:rFonts w:ascii="Arial" w:hAnsi="Arial" w:cs="Arial"/>
                <w:szCs w:val="24"/>
              </w:rPr>
              <w:t>Satisfactory state</w:t>
            </w:r>
          </w:p>
        </w:tc>
        <w:tc>
          <w:tcPr>
            <w:tcW w:w="3544" w:type="dxa"/>
          </w:tcPr>
          <w:p w14:paraId="7F771091" w14:textId="77777777" w:rsidR="00AA5A1B" w:rsidRPr="004B1D4D" w:rsidRDefault="00AA5A1B" w:rsidP="00AA5A1B">
            <w:pPr>
              <w:pStyle w:val="BodyText"/>
              <w:rPr>
                <w:rFonts w:ascii="Arial" w:hAnsi="Arial" w:cs="Arial"/>
                <w:szCs w:val="24"/>
              </w:rPr>
            </w:pPr>
            <w:r w:rsidRPr="004B1D4D">
              <w:rPr>
                <w:rFonts w:ascii="Arial" w:hAnsi="Arial" w:cs="Arial"/>
                <w:szCs w:val="24"/>
              </w:rPr>
              <w:t>We are satisfied that the necessary measures have been taken to return the site of the regulated facility to a satisfactory state.</w:t>
            </w:r>
          </w:p>
          <w:p w14:paraId="15C385A3" w14:textId="0C2D26D1" w:rsidR="00AA5A1B" w:rsidRPr="004B1D4D" w:rsidRDefault="00AA5A1B" w:rsidP="00AA5A1B">
            <w:pPr>
              <w:pStyle w:val="BodyText"/>
              <w:rPr>
                <w:rFonts w:ascii="Arial" w:hAnsi="Arial" w:cs="Arial"/>
                <w:szCs w:val="24"/>
              </w:rPr>
            </w:pPr>
          </w:p>
          <w:p w14:paraId="2A17466A" w14:textId="419676F7" w:rsidR="00431856" w:rsidRPr="004B1D4D" w:rsidRDefault="00431856" w:rsidP="00664A25">
            <w:pPr>
              <w:pStyle w:val="BodyText"/>
              <w:rPr>
                <w:rFonts w:ascii="Arial" w:hAnsi="Arial" w:cs="Arial"/>
                <w:szCs w:val="24"/>
              </w:rPr>
            </w:pPr>
            <w:r w:rsidRPr="004B1D4D">
              <w:rPr>
                <w:rFonts w:ascii="Arial" w:hAnsi="Arial" w:cs="Arial"/>
                <w:szCs w:val="24"/>
              </w:rPr>
              <w:t>A car form review was undertaken as part of duly making w</w:t>
            </w:r>
            <w:r w:rsidR="00037D56">
              <w:rPr>
                <w:rFonts w:ascii="Arial" w:hAnsi="Arial" w:cs="Arial"/>
                <w:szCs w:val="24"/>
              </w:rPr>
              <w:t xml:space="preserve">here </w:t>
            </w:r>
            <w:r w:rsidRPr="004B1D4D">
              <w:rPr>
                <w:rFonts w:ascii="Arial" w:hAnsi="Arial" w:cs="Arial"/>
                <w:szCs w:val="24"/>
              </w:rPr>
              <w:t>it was discovered two fires had taken place on the site o</w:t>
            </w:r>
            <w:r w:rsidR="00664A25" w:rsidRPr="004B1D4D">
              <w:rPr>
                <w:rFonts w:ascii="Arial" w:hAnsi="Arial" w:cs="Arial"/>
                <w:szCs w:val="24"/>
              </w:rPr>
              <w:t xml:space="preserve">ne in September 2016 </w:t>
            </w:r>
            <w:r w:rsidRPr="004B1D4D">
              <w:rPr>
                <w:rFonts w:ascii="Arial" w:hAnsi="Arial" w:cs="Arial"/>
                <w:szCs w:val="24"/>
              </w:rPr>
              <w:t>and the other in</w:t>
            </w:r>
            <w:r w:rsidRPr="004B1D4D">
              <w:rPr>
                <w:rFonts w:ascii="Arial" w:hAnsi="Arial" w:cs="Arial"/>
                <w:color w:val="auto"/>
                <w:szCs w:val="24"/>
              </w:rPr>
              <w:t xml:space="preserve"> </w:t>
            </w:r>
            <w:r w:rsidRPr="004B1D4D">
              <w:rPr>
                <w:rFonts w:ascii="Arial" w:hAnsi="Arial" w:cs="Arial"/>
                <w:szCs w:val="24"/>
              </w:rPr>
              <w:t>July 2018.</w:t>
            </w:r>
          </w:p>
          <w:p w14:paraId="28A3A0D7" w14:textId="77777777" w:rsidR="00431856" w:rsidRPr="004B1D4D" w:rsidRDefault="00431856" w:rsidP="00664A25">
            <w:pPr>
              <w:pStyle w:val="BodyText"/>
              <w:rPr>
                <w:rFonts w:ascii="Arial" w:hAnsi="Arial" w:cs="Arial"/>
                <w:szCs w:val="24"/>
              </w:rPr>
            </w:pPr>
          </w:p>
          <w:p w14:paraId="1A9C541D" w14:textId="4E798429" w:rsidR="00664A25" w:rsidRPr="004B1D4D" w:rsidRDefault="00431856" w:rsidP="00664A25">
            <w:pPr>
              <w:pStyle w:val="BodyText"/>
              <w:rPr>
                <w:rFonts w:ascii="Arial" w:hAnsi="Arial" w:cs="Arial"/>
                <w:szCs w:val="24"/>
              </w:rPr>
            </w:pPr>
            <w:r w:rsidRPr="004B1D4D">
              <w:rPr>
                <w:rFonts w:ascii="Arial" w:hAnsi="Arial" w:cs="Arial"/>
                <w:szCs w:val="24"/>
              </w:rPr>
              <w:t xml:space="preserve">The 2016 fire consisted of a  large wood chip fire. Approximately 1500 tonnes of woodchip had been </w:t>
            </w:r>
            <w:proofErr w:type="gramStart"/>
            <w:r w:rsidRPr="004B1D4D">
              <w:rPr>
                <w:rFonts w:ascii="Arial" w:hAnsi="Arial" w:cs="Arial"/>
                <w:szCs w:val="24"/>
              </w:rPr>
              <w:t>effected</w:t>
            </w:r>
            <w:proofErr w:type="gramEnd"/>
            <w:r w:rsidRPr="004B1D4D">
              <w:rPr>
                <w:rFonts w:ascii="Arial" w:hAnsi="Arial" w:cs="Arial"/>
                <w:szCs w:val="24"/>
              </w:rPr>
              <w:t xml:space="preserve">. This had been moved off site, beyond the permitted boundary, onto land directly behind the site on the old Garden centre (Old nursey). </w:t>
            </w:r>
            <w:r w:rsidR="00664A25" w:rsidRPr="004B1D4D">
              <w:rPr>
                <w:rFonts w:ascii="Arial" w:hAnsi="Arial" w:cs="Arial"/>
                <w:szCs w:val="24"/>
              </w:rPr>
              <w:t xml:space="preserve"> It </w:t>
            </w:r>
            <w:r w:rsidR="00664A25" w:rsidRPr="004B1D4D">
              <w:rPr>
                <w:rFonts w:ascii="Arial" w:hAnsi="Arial" w:cs="Arial"/>
                <w:szCs w:val="24"/>
              </w:rPr>
              <w:lastRenderedPageBreak/>
              <w:t xml:space="preserve">was agreed with operations to bring soil into this site for the purposes of stabilisation and removal of </w:t>
            </w:r>
            <w:proofErr w:type="gramStart"/>
            <w:r w:rsidR="00664A25" w:rsidRPr="004B1D4D">
              <w:rPr>
                <w:rFonts w:ascii="Arial" w:hAnsi="Arial" w:cs="Arial"/>
                <w:szCs w:val="24"/>
              </w:rPr>
              <w:t>fire wood</w:t>
            </w:r>
            <w:proofErr w:type="gramEnd"/>
            <w:r w:rsidR="00664A25" w:rsidRPr="004B1D4D">
              <w:rPr>
                <w:rFonts w:ascii="Arial" w:hAnsi="Arial" w:cs="Arial"/>
                <w:szCs w:val="24"/>
              </w:rPr>
              <w:t xml:space="preserve">. </w:t>
            </w:r>
            <w:r w:rsidRPr="004B1D4D">
              <w:rPr>
                <w:rFonts w:ascii="Arial" w:hAnsi="Arial" w:cs="Arial"/>
                <w:szCs w:val="24"/>
              </w:rPr>
              <w:t xml:space="preserve">The following CAR forms confirmed significant amount of material has been removed from site. </w:t>
            </w:r>
          </w:p>
          <w:p w14:paraId="52A223DB" w14:textId="77777777" w:rsidR="00664A25" w:rsidRPr="004B1D4D" w:rsidRDefault="00664A25" w:rsidP="00664A25">
            <w:pPr>
              <w:pStyle w:val="BodyText"/>
              <w:rPr>
                <w:rFonts w:ascii="Arial" w:hAnsi="Arial" w:cs="Arial"/>
                <w:szCs w:val="24"/>
              </w:rPr>
            </w:pPr>
          </w:p>
          <w:p w14:paraId="74A40FF0" w14:textId="54705210" w:rsidR="00664A25" w:rsidRPr="004B1D4D" w:rsidRDefault="00431856" w:rsidP="00431856">
            <w:pPr>
              <w:pStyle w:val="BodyText"/>
              <w:rPr>
                <w:rFonts w:ascii="Arial" w:hAnsi="Arial" w:cs="Arial"/>
                <w:szCs w:val="24"/>
              </w:rPr>
            </w:pPr>
            <w:r w:rsidRPr="004B1D4D">
              <w:rPr>
                <w:rFonts w:ascii="Arial" w:hAnsi="Arial" w:cs="Arial"/>
                <w:szCs w:val="24"/>
              </w:rPr>
              <w:t xml:space="preserve">The fire that took place in </w:t>
            </w:r>
            <w:r w:rsidR="00664A25" w:rsidRPr="004B1D4D">
              <w:rPr>
                <w:rFonts w:ascii="Arial" w:hAnsi="Arial" w:cs="Arial"/>
                <w:szCs w:val="24"/>
              </w:rPr>
              <w:t xml:space="preserve">July 2018 </w:t>
            </w:r>
            <w:r w:rsidRPr="004B1D4D">
              <w:rPr>
                <w:rFonts w:ascii="Arial" w:hAnsi="Arial" w:cs="Arial"/>
                <w:szCs w:val="24"/>
              </w:rPr>
              <w:t xml:space="preserve">consisted of plant fire (chipper) that spread to a nearby building and suffered minor damage. </w:t>
            </w:r>
          </w:p>
          <w:p w14:paraId="55046AEA" w14:textId="77777777" w:rsidR="00664A25" w:rsidRPr="004B1D4D" w:rsidRDefault="00664A25" w:rsidP="00664A25">
            <w:pPr>
              <w:pStyle w:val="BodyText"/>
              <w:rPr>
                <w:rFonts w:ascii="Arial" w:hAnsi="Arial" w:cs="Arial"/>
                <w:szCs w:val="24"/>
              </w:rPr>
            </w:pPr>
          </w:p>
          <w:p w14:paraId="25866F3F" w14:textId="3CEB194E" w:rsidR="00664A25" w:rsidRDefault="00664A25" w:rsidP="00664A25">
            <w:pPr>
              <w:pStyle w:val="BodyText"/>
              <w:rPr>
                <w:rFonts w:ascii="Arial" w:hAnsi="Arial" w:cs="Arial"/>
                <w:szCs w:val="24"/>
              </w:rPr>
            </w:pPr>
            <w:r w:rsidRPr="004B1D4D">
              <w:rPr>
                <w:rFonts w:ascii="Arial" w:hAnsi="Arial" w:cs="Arial"/>
                <w:szCs w:val="24"/>
              </w:rPr>
              <w:t xml:space="preserve">From the consultation on the intrusive data with geoscience these two fires on site have not had an impact to the ground or surrounding waters. This is based on the intrusive data collected in conjunction with the site condition report which concluded the pollutants located in the made ground and waters (EQS,PAH and TPH) are not related to wood products but from the previous land use, this suggests the measures taken to protect land </w:t>
            </w:r>
            <w:proofErr w:type="gramStart"/>
            <w:r w:rsidRPr="004B1D4D">
              <w:rPr>
                <w:rFonts w:ascii="Arial" w:hAnsi="Arial" w:cs="Arial"/>
                <w:szCs w:val="24"/>
              </w:rPr>
              <w:t>i.e.</w:t>
            </w:r>
            <w:proofErr w:type="gramEnd"/>
            <w:r w:rsidRPr="004B1D4D">
              <w:rPr>
                <w:rFonts w:ascii="Arial" w:hAnsi="Arial" w:cs="Arial"/>
                <w:szCs w:val="24"/>
              </w:rPr>
              <w:t xml:space="preserve"> site permit and environmental management system have worked to protect the land as pollutants related to wood products were not found from the intrusive data collected.</w:t>
            </w:r>
          </w:p>
          <w:p w14:paraId="22369A9B" w14:textId="23D5FAE9" w:rsidR="00D73AF0" w:rsidRDefault="00D73AF0" w:rsidP="00664A25">
            <w:pPr>
              <w:pStyle w:val="BodyText"/>
              <w:rPr>
                <w:rFonts w:ascii="Arial" w:hAnsi="Arial" w:cs="Arial"/>
                <w:szCs w:val="24"/>
              </w:rPr>
            </w:pPr>
          </w:p>
          <w:p w14:paraId="630784E0" w14:textId="1BCBC2C6" w:rsidR="00D73AF0" w:rsidRDefault="00D73AF0" w:rsidP="00664A25">
            <w:pPr>
              <w:pStyle w:val="BodyText"/>
              <w:rPr>
                <w:rFonts w:ascii="Arial" w:hAnsi="Arial"/>
                <w:color w:val="auto"/>
                <w:szCs w:val="24"/>
              </w:rPr>
            </w:pPr>
            <w:r w:rsidRPr="00D73AF0">
              <w:rPr>
                <w:rFonts w:ascii="Arial" w:hAnsi="Arial" w:cs="Arial"/>
                <w:szCs w:val="24"/>
              </w:rPr>
              <w:t xml:space="preserve">The final site visit took place in </w:t>
            </w:r>
            <w:r w:rsidRPr="00D73AF0">
              <w:rPr>
                <w:rFonts w:ascii="Arial" w:hAnsi="Arial"/>
                <w:color w:val="auto"/>
                <w:szCs w:val="24"/>
              </w:rPr>
              <w:t>24/04/2023</w:t>
            </w:r>
            <w:r>
              <w:rPr>
                <w:rFonts w:ascii="Arial" w:hAnsi="Arial"/>
                <w:color w:val="auto"/>
                <w:szCs w:val="24"/>
              </w:rPr>
              <w:t xml:space="preserve"> and concluded the following:</w:t>
            </w:r>
          </w:p>
          <w:p w14:paraId="334AA865" w14:textId="72FBF114" w:rsidR="00D73AF0" w:rsidRDefault="00D73AF0" w:rsidP="00664A25">
            <w:pPr>
              <w:pStyle w:val="BodyText"/>
              <w:rPr>
                <w:rFonts w:ascii="Arial" w:hAnsi="Arial"/>
                <w:color w:val="auto"/>
                <w:szCs w:val="24"/>
              </w:rPr>
            </w:pPr>
          </w:p>
          <w:p w14:paraId="465C9396" w14:textId="1DF62A16" w:rsidR="00D73AF0" w:rsidRPr="00D73AF0" w:rsidRDefault="00D73AF0" w:rsidP="00664A25">
            <w:pPr>
              <w:pStyle w:val="BodyText"/>
              <w:rPr>
                <w:rFonts w:ascii="Arial" w:hAnsi="Arial"/>
                <w:i/>
                <w:iCs/>
                <w:color w:val="auto"/>
                <w:szCs w:val="24"/>
              </w:rPr>
            </w:pPr>
            <w:r w:rsidRPr="00D73AF0">
              <w:rPr>
                <w:rFonts w:ascii="Arial" w:hAnsi="Arial"/>
                <w:i/>
                <w:iCs/>
                <w:color w:val="auto"/>
                <w:szCs w:val="24"/>
              </w:rPr>
              <w:t xml:space="preserve">‘Actions required to decommission the site have been completed by the Operator and confirm that the site, has now been cleared of wood waste and swept clean, removing debris, as shown </w:t>
            </w:r>
            <w:r w:rsidRPr="00D73AF0">
              <w:rPr>
                <w:rFonts w:ascii="Arial" w:hAnsi="Arial"/>
                <w:i/>
                <w:iCs/>
                <w:color w:val="auto"/>
                <w:szCs w:val="24"/>
              </w:rPr>
              <w:lastRenderedPageBreak/>
              <w:t>below. Plant machinery, firefighting equipment, diesel tanks, water tanks, chemicals and oil stores have all been removed. Ceasing all operations associated with the storage and treatment of wood waste permitted under environmental permit EPR/FP3095ET and conclude that the site has been returned to a satisfactory state’.</w:t>
            </w:r>
          </w:p>
          <w:p w14:paraId="3B36D068" w14:textId="64F032EA" w:rsidR="00664A25" w:rsidRPr="004B1D4D" w:rsidRDefault="00664A25" w:rsidP="00AA5A1B">
            <w:pPr>
              <w:pStyle w:val="BodyText"/>
              <w:rPr>
                <w:rFonts w:ascii="Arial" w:hAnsi="Arial" w:cs="Arial"/>
                <w:szCs w:val="24"/>
              </w:rPr>
            </w:pPr>
          </w:p>
          <w:p w14:paraId="08EA748B" w14:textId="77777777" w:rsidR="00AA5A1B" w:rsidRPr="004B1D4D" w:rsidRDefault="00AA5A1B" w:rsidP="00AA5A1B">
            <w:pPr>
              <w:rPr>
                <w:rFonts w:ascii="Arial" w:hAnsi="Arial" w:cs="Arial"/>
                <w:szCs w:val="24"/>
              </w:rPr>
            </w:pPr>
            <w:r w:rsidRPr="004B1D4D">
              <w:rPr>
                <w:rFonts w:ascii="Arial" w:hAnsi="Arial" w:cs="Arial"/>
                <w:szCs w:val="24"/>
              </w:rPr>
              <w:t xml:space="preserve">In coming to this </w:t>
            </w:r>
            <w:proofErr w:type="gramStart"/>
            <w:r w:rsidRPr="004B1D4D">
              <w:rPr>
                <w:rFonts w:ascii="Arial" w:hAnsi="Arial" w:cs="Arial"/>
                <w:szCs w:val="24"/>
              </w:rPr>
              <w:t>decision</w:t>
            </w:r>
            <w:proofErr w:type="gramEnd"/>
            <w:r w:rsidRPr="004B1D4D">
              <w:rPr>
                <w:rFonts w:ascii="Arial" w:hAnsi="Arial" w:cs="Arial"/>
                <w:szCs w:val="24"/>
              </w:rPr>
              <w:t xml:space="preserve"> we have had regard to the state of the site before the facility was put into operation.</w:t>
            </w:r>
          </w:p>
          <w:p w14:paraId="30F0B58B" w14:textId="77777777" w:rsidR="00AA5A1B" w:rsidRPr="004B1D4D" w:rsidRDefault="00AA5A1B" w:rsidP="00D13486">
            <w:pPr>
              <w:rPr>
                <w:rFonts w:ascii="Arial" w:hAnsi="Arial" w:cs="Arial"/>
                <w:szCs w:val="24"/>
              </w:rPr>
            </w:pPr>
          </w:p>
        </w:tc>
        <w:tc>
          <w:tcPr>
            <w:tcW w:w="1701" w:type="dxa"/>
          </w:tcPr>
          <w:p w14:paraId="276631C9" w14:textId="6BDD98B6" w:rsidR="00AA5A1B" w:rsidRPr="00CF487C" w:rsidRDefault="00AA5A1B" w:rsidP="00C36A7C">
            <w:pPr>
              <w:rPr>
                <w:rFonts w:ascii="Arial" w:hAnsi="Arial" w:cs="Arial"/>
                <w:color w:val="000000"/>
                <w:szCs w:val="24"/>
              </w:rPr>
            </w:pPr>
            <w:r w:rsidRPr="00ED13B9">
              <w:rPr>
                <w:rFonts w:ascii="Arial" w:hAnsi="Arial" w:cs="Arial"/>
                <w:color w:val="000000"/>
                <w:szCs w:val="24"/>
              </w:rPr>
              <w:lastRenderedPageBreak/>
              <w:sym w:font="Wingdings" w:char="F0FC"/>
            </w:r>
          </w:p>
        </w:tc>
      </w:tr>
    </w:tbl>
    <w:p w14:paraId="276631E6" w14:textId="77777777" w:rsidR="00C44B7E" w:rsidRDefault="00C44B7E" w:rsidP="008B2DDF">
      <w:pPr>
        <w:pStyle w:val="Heading1"/>
        <w:jc w:val="left"/>
      </w:pPr>
    </w:p>
    <w:sectPr w:rsidR="00C44B7E" w:rsidSect="002B61AE">
      <w:footerReference w:type="even" r:id="rId7"/>
      <w:footerReference w:type="default" r:id="rId8"/>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6631E9" w14:textId="77777777" w:rsidR="007131B8" w:rsidRDefault="007131B8">
      <w:r>
        <w:separator/>
      </w:r>
    </w:p>
  </w:endnote>
  <w:endnote w:type="continuationSeparator" w:id="0">
    <w:p w14:paraId="276631EA" w14:textId="77777777" w:rsidR="007131B8" w:rsidRDefault="007131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631EB" w14:textId="77777777" w:rsidR="00972749" w:rsidRDefault="0097274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76631EC" w14:textId="77777777" w:rsidR="00972749" w:rsidRDefault="009727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972749" w:rsidRPr="002B61AE" w14:paraId="276631F1" w14:textId="77777777" w:rsidTr="002B61AE">
      <w:trPr>
        <w:trHeight w:val="286"/>
      </w:trPr>
      <w:tc>
        <w:tcPr>
          <w:tcW w:w="2659" w:type="dxa"/>
        </w:tcPr>
        <w:p w14:paraId="276631ED"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233_08_SD4</w:t>
          </w:r>
          <w:r>
            <w:rPr>
              <w:rStyle w:val="PageNumber"/>
              <w:rFonts w:ascii="Arial" w:hAnsi="Arial" w:cs="Arial"/>
              <w:color w:val="808000"/>
              <w:sz w:val="20"/>
              <w:lang w:val="en-US"/>
            </w:rPr>
            <w:t>9</w:t>
          </w:r>
        </w:p>
      </w:tc>
      <w:tc>
        <w:tcPr>
          <w:tcW w:w="2659" w:type="dxa"/>
        </w:tcPr>
        <w:p w14:paraId="276631EE"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Pr>
              <w:rStyle w:val="PageNumber"/>
              <w:rFonts w:ascii="Arial" w:hAnsi="Arial" w:cs="Arial"/>
              <w:color w:val="808000"/>
              <w:sz w:val="20"/>
              <w:lang w:val="en-US"/>
            </w:rPr>
            <w:t>4</w:t>
          </w:r>
        </w:p>
      </w:tc>
      <w:tc>
        <w:tcPr>
          <w:tcW w:w="2926" w:type="dxa"/>
        </w:tcPr>
        <w:p w14:paraId="276631EF"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5D724D">
            <w:rPr>
              <w:rStyle w:val="PageNumber"/>
              <w:rFonts w:ascii="Arial" w:hAnsi="Arial" w:cs="Arial"/>
              <w:color w:val="808000"/>
              <w:sz w:val="20"/>
              <w:lang w:val="en-US"/>
            </w:rPr>
            <w:t>1</w:t>
          </w:r>
          <w:r w:rsidR="0058029C">
            <w:rPr>
              <w:rStyle w:val="PageNumber"/>
              <w:rFonts w:ascii="Arial" w:hAnsi="Arial" w:cs="Arial"/>
              <w:color w:val="808000"/>
              <w:sz w:val="20"/>
              <w:lang w:val="en-US"/>
            </w:rPr>
            <w:t>9</w:t>
          </w:r>
          <w:r w:rsidR="005D724D">
            <w:rPr>
              <w:rStyle w:val="PageNumber"/>
              <w:rFonts w:ascii="Arial" w:hAnsi="Arial" w:cs="Arial"/>
              <w:color w:val="808000"/>
              <w:sz w:val="20"/>
              <w:lang w:val="en-US"/>
            </w:rPr>
            <w:t xml:space="preserve"> July 2011</w:t>
          </w:r>
        </w:p>
      </w:tc>
      <w:tc>
        <w:tcPr>
          <w:tcW w:w="2392" w:type="dxa"/>
        </w:tcPr>
        <w:p w14:paraId="276631F0" w14:textId="28529AC7" w:rsidR="00972749" w:rsidRPr="002B61AE" w:rsidRDefault="00972749" w:rsidP="004E358A">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995517">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995517">
            <w:rPr>
              <w:rStyle w:val="PageNumber"/>
              <w:rFonts w:ascii="Arial" w:hAnsi="Arial" w:cs="Arial"/>
              <w:noProof/>
              <w:color w:val="808000"/>
              <w:sz w:val="20"/>
              <w:lang w:val="en-US"/>
            </w:rPr>
            <w:t>5</w:t>
          </w:r>
          <w:r w:rsidRPr="002B61AE">
            <w:rPr>
              <w:rStyle w:val="PageNumber"/>
              <w:rFonts w:ascii="Arial" w:hAnsi="Arial" w:cs="Arial"/>
              <w:color w:val="808000"/>
              <w:sz w:val="20"/>
              <w:lang w:val="en-US"/>
            </w:rPr>
            <w:fldChar w:fldCharType="end"/>
          </w:r>
        </w:p>
      </w:tc>
    </w:tr>
  </w:tbl>
  <w:p w14:paraId="276631F2" w14:textId="77777777" w:rsidR="00972749" w:rsidRPr="002B61AE" w:rsidRDefault="00176E4C" w:rsidP="002B61AE">
    <w:pPr>
      <w:pStyle w:val="Footer"/>
    </w:pPr>
    <w:r>
      <w:rPr>
        <w:noProof/>
      </w:rPr>
      <w:drawing>
        <wp:anchor distT="0" distB="0" distL="114300" distR="114300" simplePos="0" relativeHeight="251657728" behindDoc="1" locked="1" layoutInCell="1" allowOverlap="1" wp14:anchorId="276631F3" wp14:editId="276631F4">
          <wp:simplePos x="0" y="0"/>
          <wp:positionH relativeFrom="column">
            <wp:posOffset>-977265</wp:posOffset>
          </wp:positionH>
          <wp:positionV relativeFrom="paragraph">
            <wp:posOffset>-217805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6631E7" w14:textId="77777777" w:rsidR="007131B8" w:rsidRDefault="007131B8">
      <w:r>
        <w:separator/>
      </w:r>
    </w:p>
  </w:footnote>
  <w:footnote w:type="continuationSeparator" w:id="0">
    <w:p w14:paraId="276631E8" w14:textId="77777777" w:rsidR="007131B8" w:rsidRDefault="007131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8A0ED0"/>
    <w:multiLevelType w:val="hybridMultilevel"/>
    <w:tmpl w:val="0444DCAA"/>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470825881">
    <w:abstractNumId w:val="2"/>
  </w:num>
  <w:num w:numId="2" w16cid:durableId="1682582292">
    <w:abstractNumId w:val="13"/>
  </w:num>
  <w:num w:numId="3" w16cid:durableId="1617565106">
    <w:abstractNumId w:val="10"/>
  </w:num>
  <w:num w:numId="4" w16cid:durableId="1806577472">
    <w:abstractNumId w:val="3"/>
  </w:num>
  <w:num w:numId="5" w16cid:durableId="676734290">
    <w:abstractNumId w:val="5"/>
  </w:num>
  <w:num w:numId="6" w16cid:durableId="1680086294">
    <w:abstractNumId w:val="4"/>
  </w:num>
  <w:num w:numId="7" w16cid:durableId="1379280568">
    <w:abstractNumId w:val="7"/>
  </w:num>
  <w:num w:numId="8" w16cid:durableId="1379206284">
    <w:abstractNumId w:val="12"/>
  </w:num>
  <w:num w:numId="9" w16cid:durableId="1433937952">
    <w:abstractNumId w:val="14"/>
  </w:num>
  <w:num w:numId="10" w16cid:durableId="1621835391">
    <w:abstractNumId w:val="9"/>
  </w:num>
  <w:num w:numId="11" w16cid:durableId="840464636">
    <w:abstractNumId w:val="11"/>
  </w:num>
  <w:num w:numId="12" w16cid:durableId="1404915479">
    <w:abstractNumId w:val="6"/>
  </w:num>
  <w:num w:numId="13" w16cid:durableId="1624072839">
    <w:abstractNumId w:val="0"/>
  </w:num>
  <w:num w:numId="14" w16cid:durableId="1608929951">
    <w:abstractNumId w:val="8"/>
  </w:num>
  <w:num w:numId="15" w16cid:durableId="243686127">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76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11DD3"/>
    <w:rsid w:val="00027D29"/>
    <w:rsid w:val="000331CD"/>
    <w:rsid w:val="00037D56"/>
    <w:rsid w:val="000436A8"/>
    <w:rsid w:val="00052697"/>
    <w:rsid w:val="00062189"/>
    <w:rsid w:val="00067A5C"/>
    <w:rsid w:val="00081421"/>
    <w:rsid w:val="000903DD"/>
    <w:rsid w:val="000B44FE"/>
    <w:rsid w:val="000C15DB"/>
    <w:rsid w:val="000C1DFD"/>
    <w:rsid w:val="000C3151"/>
    <w:rsid w:val="000D35D6"/>
    <w:rsid w:val="000E54AC"/>
    <w:rsid w:val="000F3D3D"/>
    <w:rsid w:val="00104834"/>
    <w:rsid w:val="00116716"/>
    <w:rsid w:val="00120FD3"/>
    <w:rsid w:val="00141DD3"/>
    <w:rsid w:val="0014221D"/>
    <w:rsid w:val="00147725"/>
    <w:rsid w:val="00160E61"/>
    <w:rsid w:val="0017084D"/>
    <w:rsid w:val="00176E4C"/>
    <w:rsid w:val="00184B56"/>
    <w:rsid w:val="001868FC"/>
    <w:rsid w:val="001A15CF"/>
    <w:rsid w:val="001A79EC"/>
    <w:rsid w:val="001B6FF6"/>
    <w:rsid w:val="001C1F18"/>
    <w:rsid w:val="001F23BB"/>
    <w:rsid w:val="002013C8"/>
    <w:rsid w:val="00202B65"/>
    <w:rsid w:val="002152FD"/>
    <w:rsid w:val="00216630"/>
    <w:rsid w:val="00237BA4"/>
    <w:rsid w:val="0026391A"/>
    <w:rsid w:val="002650C2"/>
    <w:rsid w:val="00282561"/>
    <w:rsid w:val="00293BB7"/>
    <w:rsid w:val="002B0D8B"/>
    <w:rsid w:val="002B2C72"/>
    <w:rsid w:val="002B61AE"/>
    <w:rsid w:val="002D0A0C"/>
    <w:rsid w:val="002E7B31"/>
    <w:rsid w:val="002F2FAB"/>
    <w:rsid w:val="002F6560"/>
    <w:rsid w:val="00331EAB"/>
    <w:rsid w:val="00346CF0"/>
    <w:rsid w:val="00351A0A"/>
    <w:rsid w:val="003771A3"/>
    <w:rsid w:val="0038174A"/>
    <w:rsid w:val="00384396"/>
    <w:rsid w:val="00386293"/>
    <w:rsid w:val="003A3744"/>
    <w:rsid w:val="003C0DE9"/>
    <w:rsid w:val="003C6618"/>
    <w:rsid w:val="003D1803"/>
    <w:rsid w:val="003F3681"/>
    <w:rsid w:val="00416EA2"/>
    <w:rsid w:val="00427643"/>
    <w:rsid w:val="00431856"/>
    <w:rsid w:val="004338CF"/>
    <w:rsid w:val="00433E58"/>
    <w:rsid w:val="00444D3F"/>
    <w:rsid w:val="00453B82"/>
    <w:rsid w:val="00475B36"/>
    <w:rsid w:val="00476B14"/>
    <w:rsid w:val="00481C68"/>
    <w:rsid w:val="004844DC"/>
    <w:rsid w:val="00486C2B"/>
    <w:rsid w:val="0049645D"/>
    <w:rsid w:val="004A5C5D"/>
    <w:rsid w:val="004B0339"/>
    <w:rsid w:val="004B1D4D"/>
    <w:rsid w:val="004B6D02"/>
    <w:rsid w:val="004E358A"/>
    <w:rsid w:val="004E7719"/>
    <w:rsid w:val="00527E97"/>
    <w:rsid w:val="0053399B"/>
    <w:rsid w:val="005761B2"/>
    <w:rsid w:val="0058029C"/>
    <w:rsid w:val="005A03E8"/>
    <w:rsid w:val="005C1C26"/>
    <w:rsid w:val="005D0E13"/>
    <w:rsid w:val="005D2F11"/>
    <w:rsid w:val="005D724D"/>
    <w:rsid w:val="005E016E"/>
    <w:rsid w:val="0060315D"/>
    <w:rsid w:val="00612267"/>
    <w:rsid w:val="00614A77"/>
    <w:rsid w:val="00615736"/>
    <w:rsid w:val="00622014"/>
    <w:rsid w:val="00631592"/>
    <w:rsid w:val="00631CDF"/>
    <w:rsid w:val="006337DD"/>
    <w:rsid w:val="00641913"/>
    <w:rsid w:val="00646BEE"/>
    <w:rsid w:val="00664A25"/>
    <w:rsid w:val="006650E8"/>
    <w:rsid w:val="006765AE"/>
    <w:rsid w:val="006926EA"/>
    <w:rsid w:val="006933D4"/>
    <w:rsid w:val="006B2C5B"/>
    <w:rsid w:val="006B6FE1"/>
    <w:rsid w:val="006F331E"/>
    <w:rsid w:val="006F4CBC"/>
    <w:rsid w:val="00712437"/>
    <w:rsid w:val="007131B8"/>
    <w:rsid w:val="0072381C"/>
    <w:rsid w:val="00724050"/>
    <w:rsid w:val="00724DA8"/>
    <w:rsid w:val="00725A25"/>
    <w:rsid w:val="007335DF"/>
    <w:rsid w:val="00742787"/>
    <w:rsid w:val="00773847"/>
    <w:rsid w:val="00792990"/>
    <w:rsid w:val="00792BC2"/>
    <w:rsid w:val="007C30A1"/>
    <w:rsid w:val="007D2A88"/>
    <w:rsid w:val="007D2EFE"/>
    <w:rsid w:val="007E01FD"/>
    <w:rsid w:val="007F1354"/>
    <w:rsid w:val="00804C59"/>
    <w:rsid w:val="008303D9"/>
    <w:rsid w:val="00835515"/>
    <w:rsid w:val="00836B03"/>
    <w:rsid w:val="0084654C"/>
    <w:rsid w:val="008642DA"/>
    <w:rsid w:val="00864744"/>
    <w:rsid w:val="008761F4"/>
    <w:rsid w:val="00882814"/>
    <w:rsid w:val="008828A9"/>
    <w:rsid w:val="00893C8B"/>
    <w:rsid w:val="008A18A5"/>
    <w:rsid w:val="008A5C1D"/>
    <w:rsid w:val="008B2DDF"/>
    <w:rsid w:val="008D0A1D"/>
    <w:rsid w:val="008D1489"/>
    <w:rsid w:val="00901CB9"/>
    <w:rsid w:val="00901DC1"/>
    <w:rsid w:val="00912E58"/>
    <w:rsid w:val="00930ABE"/>
    <w:rsid w:val="00945712"/>
    <w:rsid w:val="00960A85"/>
    <w:rsid w:val="00972749"/>
    <w:rsid w:val="009864F9"/>
    <w:rsid w:val="0099167A"/>
    <w:rsid w:val="00995381"/>
    <w:rsid w:val="00995517"/>
    <w:rsid w:val="009B7411"/>
    <w:rsid w:val="009C0C22"/>
    <w:rsid w:val="009F3269"/>
    <w:rsid w:val="00A10EAF"/>
    <w:rsid w:val="00A12067"/>
    <w:rsid w:val="00A21019"/>
    <w:rsid w:val="00A2493A"/>
    <w:rsid w:val="00A50874"/>
    <w:rsid w:val="00A569FF"/>
    <w:rsid w:val="00A62285"/>
    <w:rsid w:val="00A65B00"/>
    <w:rsid w:val="00AA4DA1"/>
    <w:rsid w:val="00AA5A1B"/>
    <w:rsid w:val="00AC66F9"/>
    <w:rsid w:val="00AD4B61"/>
    <w:rsid w:val="00AD4B73"/>
    <w:rsid w:val="00AD4DCA"/>
    <w:rsid w:val="00AD731D"/>
    <w:rsid w:val="00AE70BF"/>
    <w:rsid w:val="00B00F7A"/>
    <w:rsid w:val="00B10601"/>
    <w:rsid w:val="00B267CC"/>
    <w:rsid w:val="00B36EE5"/>
    <w:rsid w:val="00B52DFF"/>
    <w:rsid w:val="00BA716E"/>
    <w:rsid w:val="00BB408D"/>
    <w:rsid w:val="00BB4528"/>
    <w:rsid w:val="00BB7409"/>
    <w:rsid w:val="00BC25E6"/>
    <w:rsid w:val="00BF3244"/>
    <w:rsid w:val="00BF4D0B"/>
    <w:rsid w:val="00C36A7C"/>
    <w:rsid w:val="00C43A22"/>
    <w:rsid w:val="00C44B7E"/>
    <w:rsid w:val="00C818BF"/>
    <w:rsid w:val="00C91798"/>
    <w:rsid w:val="00C941A1"/>
    <w:rsid w:val="00CA4E7D"/>
    <w:rsid w:val="00CC2629"/>
    <w:rsid w:val="00CD5A22"/>
    <w:rsid w:val="00CF0436"/>
    <w:rsid w:val="00D13486"/>
    <w:rsid w:val="00D173F2"/>
    <w:rsid w:val="00D2672F"/>
    <w:rsid w:val="00D540FD"/>
    <w:rsid w:val="00D57A4B"/>
    <w:rsid w:val="00D607DE"/>
    <w:rsid w:val="00D61AB7"/>
    <w:rsid w:val="00D67CCD"/>
    <w:rsid w:val="00D73AF0"/>
    <w:rsid w:val="00D7535C"/>
    <w:rsid w:val="00D7711B"/>
    <w:rsid w:val="00D77667"/>
    <w:rsid w:val="00D8193B"/>
    <w:rsid w:val="00D825C3"/>
    <w:rsid w:val="00D95400"/>
    <w:rsid w:val="00DB74B1"/>
    <w:rsid w:val="00DC16D7"/>
    <w:rsid w:val="00DC28B8"/>
    <w:rsid w:val="00DD7180"/>
    <w:rsid w:val="00DE3870"/>
    <w:rsid w:val="00DE632F"/>
    <w:rsid w:val="00E14190"/>
    <w:rsid w:val="00E21542"/>
    <w:rsid w:val="00E235A6"/>
    <w:rsid w:val="00E33C7B"/>
    <w:rsid w:val="00E41366"/>
    <w:rsid w:val="00E450D5"/>
    <w:rsid w:val="00E512FF"/>
    <w:rsid w:val="00E5577A"/>
    <w:rsid w:val="00E71881"/>
    <w:rsid w:val="00E84E81"/>
    <w:rsid w:val="00EA2951"/>
    <w:rsid w:val="00EA3AB8"/>
    <w:rsid w:val="00EA4DEE"/>
    <w:rsid w:val="00ED0093"/>
    <w:rsid w:val="00ED13B9"/>
    <w:rsid w:val="00ED1D92"/>
    <w:rsid w:val="00ED50CB"/>
    <w:rsid w:val="00EE5639"/>
    <w:rsid w:val="00F0619C"/>
    <w:rsid w:val="00F07B40"/>
    <w:rsid w:val="00F22A07"/>
    <w:rsid w:val="00F327DA"/>
    <w:rsid w:val="00F37C15"/>
    <w:rsid w:val="00F51835"/>
    <w:rsid w:val="00FA4824"/>
    <w:rsid w:val="00FC29AE"/>
    <w:rsid w:val="00FD235E"/>
    <w:rsid w:val="00FD759F"/>
    <w:rsid w:val="00FE5339"/>
    <w:rsid w:val="00FF7D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27663162"/>
  <w15:docId w15:val="{F3B3D60E-6313-4BE4-A290-1E02BD168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49645D"/>
    <w:rPr>
      <w:sz w:val="16"/>
      <w:szCs w:val="16"/>
    </w:rPr>
  </w:style>
  <w:style w:type="paragraph" w:styleId="CommentText">
    <w:name w:val="annotation text"/>
    <w:basedOn w:val="Normal"/>
    <w:semiHidden/>
    <w:rsid w:val="0049645D"/>
    <w:rPr>
      <w:sz w:val="20"/>
    </w:rPr>
  </w:style>
  <w:style w:type="paragraph" w:styleId="CommentSubject">
    <w:name w:val="annotation subject"/>
    <w:basedOn w:val="CommentText"/>
    <w:next w:val="CommentText"/>
    <w:semiHidden/>
    <w:rsid w:val="0049645D"/>
    <w:rPr>
      <w:b/>
      <w:bCs/>
    </w:rPr>
  </w:style>
  <w:style w:type="paragraph" w:styleId="BalloonText">
    <w:name w:val="Balloon Text"/>
    <w:basedOn w:val="Normal"/>
    <w:semiHidden/>
    <w:rsid w:val="0049645D"/>
    <w:rPr>
      <w:rFonts w:ascii="Tahoma" w:hAnsi="Tahoma" w:cs="Tahoma"/>
      <w:sz w:val="16"/>
      <w:szCs w:val="16"/>
    </w:rPr>
  </w:style>
  <w:style w:type="paragraph" w:customStyle="1" w:styleId="Heading112">
    <w:name w:val="Heading 1 + 12"/>
    <w:basedOn w:val="Heading1"/>
    <w:rsid w:val="00A2493A"/>
    <w:rPr>
      <w:sz w:val="24"/>
    </w:rPr>
  </w:style>
  <w:style w:type="paragraph" w:styleId="NormalWeb">
    <w:name w:val="Normal (Web)"/>
    <w:basedOn w:val="Normal"/>
    <w:uiPriority w:val="99"/>
    <w:unhideWhenUsed/>
    <w:rsid w:val="00995517"/>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7547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278</TotalTime>
  <Pages>4</Pages>
  <Words>555</Words>
  <Characters>3169</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233_08_SD49 Environment permitting surrender decision</vt:lpstr>
    </vt:vector>
  </TitlesOfParts>
  <Company>Environment Agency</Company>
  <LinksUpToDate>false</LinksUpToDate>
  <CharactersWithSpaces>3717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233_08_SD49 Environment permitting surrender decision</dc:title>
  <dc:creator>Nadine Jones</dc:creator>
  <cp:keywords>23308SD49, 233 08 SD49, 233-08-SD49</cp:keywords>
  <dc:description>233_08_SD49, Version 4_x000d_
Issue date: 19/07/2011</dc:description>
  <cp:lastModifiedBy>Clee, Owen</cp:lastModifiedBy>
  <cp:revision>39</cp:revision>
  <cp:lastPrinted>2006-03-10T14:23:00Z</cp:lastPrinted>
  <dcterms:created xsi:type="dcterms:W3CDTF">2013-03-28T11:21:00Z</dcterms:created>
  <dcterms:modified xsi:type="dcterms:W3CDTF">2023-08-08T12:34:00Z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