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0EBC4312"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5E29AD">
        <w:rPr>
          <w:rFonts w:ascii="Arial" w:hAnsi="Arial" w:cs="Arial"/>
          <w:szCs w:val="24"/>
        </w:rPr>
        <w:t>a s</w:t>
      </w:r>
      <w:r w:rsidR="005E29AD" w:rsidRPr="005E29AD">
        <w:rPr>
          <w:rFonts w:ascii="Arial" w:hAnsi="Arial" w:cs="Arial"/>
          <w:szCs w:val="24"/>
        </w:rPr>
        <w:t>eptic tank and infiltration system serving The Nook</w:t>
      </w:r>
      <w:r w:rsidR="005E29AD">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4A5036" w:rsidRPr="004A5036">
        <w:rPr>
          <w:rFonts w:ascii="Arial" w:hAnsi="Arial" w:cs="Arial"/>
          <w:szCs w:val="24"/>
        </w:rPr>
        <w:t>Mr. Martin Hall</w:t>
      </w:r>
      <w:r w:rsidR="00495730">
        <w:rPr>
          <w:rFonts w:ascii="Arial" w:hAnsi="Arial" w:cs="Arial"/>
          <w:szCs w:val="24"/>
        </w:rPr>
        <w:t xml:space="preserve">. </w:t>
      </w:r>
      <w:r w:rsidR="00797C88">
        <w:rPr>
          <w:rFonts w:ascii="Arial" w:hAnsi="Arial" w:cs="Arial"/>
          <w:szCs w:val="24"/>
        </w:rPr>
        <w:t xml:space="preserve"> </w:t>
      </w:r>
      <w:r w:rsidR="00FA5E9E">
        <w:rPr>
          <w:rFonts w:ascii="Arial" w:hAnsi="Arial" w:cs="Arial"/>
          <w:szCs w:val="24"/>
        </w:rPr>
        <w:t xml:space="preserve"> </w:t>
      </w:r>
      <w:r w:rsidR="00904554">
        <w:rPr>
          <w:rFonts w:ascii="Arial" w:hAnsi="Arial" w:cs="Arial"/>
          <w:szCs w:val="24"/>
        </w:rPr>
        <w:t xml:space="preserve"> </w:t>
      </w:r>
    </w:p>
    <w:p w14:paraId="71E67398" w14:textId="49009CCF"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w:t>
      </w:r>
      <w:r w:rsidR="00797C88">
        <w:rPr>
          <w:rFonts w:ascii="Arial" w:hAnsi="Arial"/>
          <w:szCs w:val="24"/>
        </w:rPr>
        <w:t>02</w:t>
      </w:r>
      <w:r w:rsidR="004A5036">
        <w:rPr>
          <w:rFonts w:ascii="Arial" w:hAnsi="Arial"/>
          <w:szCs w:val="24"/>
        </w:rPr>
        <w:t>1179</w:t>
      </w:r>
      <w:r w:rsidR="00495730">
        <w:rPr>
          <w:rFonts w:ascii="Arial" w:hAnsi="Arial"/>
          <w:szCs w:val="24"/>
        </w:rPr>
        <w:t xml:space="preserve">. </w:t>
      </w:r>
      <w:r w:rsidRPr="00C331A5">
        <w:rPr>
          <w:rFonts w:ascii="Arial" w:hAnsi="Arial"/>
          <w:szCs w:val="24"/>
        </w:rPr>
        <w:t xml:space="preserve"> </w:t>
      </w:r>
    </w:p>
    <w:p w14:paraId="30ED917F" w14:textId="0F18D15C"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43085">
        <w:rPr>
          <w:rFonts w:ascii="Arial" w:hAnsi="Arial"/>
          <w:szCs w:val="24"/>
        </w:rPr>
        <w:t>EPR/</w:t>
      </w:r>
      <w:r w:rsidR="00343085">
        <w:rPr>
          <w:rFonts w:ascii="Arial" w:hAnsi="Arial" w:cs="Arial"/>
          <w:sz w:val="22"/>
          <w:szCs w:val="22"/>
        </w:rPr>
        <w:t>CB3993FW</w:t>
      </w:r>
      <w:r w:rsidR="00343085">
        <w:rPr>
          <w:rFonts w:ascii="Arial" w:hAnsi="Arial" w:cs="Arial"/>
          <w:sz w:val="22"/>
          <w:szCs w:val="22"/>
        </w:rPr>
        <w:t>.</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3FC5D807" w14:textId="77777777" w:rsidR="004363B2" w:rsidRDefault="004363B2" w:rsidP="004363B2">
      <w:pPr>
        <w:pStyle w:val="Draftingnote"/>
        <w:jc w:val="both"/>
        <w:rPr>
          <w:bCs/>
          <w:i w:val="0"/>
          <w:color w:val="000000"/>
          <w:sz w:val="22"/>
          <w:szCs w:val="22"/>
        </w:rPr>
      </w:pPr>
      <w:r w:rsidRPr="00D345CA">
        <w:rPr>
          <w:bCs/>
          <w:i w:val="0"/>
          <w:color w:val="000000"/>
          <w:sz w:val="22"/>
          <w:szCs w:val="22"/>
        </w:rPr>
        <w:t xml:space="preserve">The permit regulates an existing ground water discharge from </w:t>
      </w:r>
      <w:r>
        <w:rPr>
          <w:bCs/>
          <w:i w:val="0"/>
          <w:color w:val="000000"/>
          <w:sz w:val="22"/>
          <w:szCs w:val="22"/>
        </w:rPr>
        <w:t>a</w:t>
      </w:r>
      <w:r w:rsidRPr="00D345CA">
        <w:rPr>
          <w:bCs/>
          <w:i w:val="0"/>
          <w:color w:val="000000"/>
          <w:sz w:val="22"/>
          <w:szCs w:val="22"/>
        </w:rPr>
        <w:t xml:space="preserve"> septic tank at </w:t>
      </w:r>
      <w:r>
        <w:rPr>
          <w:bCs/>
          <w:i w:val="0"/>
          <w:color w:val="000000"/>
          <w:sz w:val="22"/>
          <w:szCs w:val="22"/>
        </w:rPr>
        <w:t>The Nook</w:t>
      </w:r>
      <w:r w:rsidRPr="00D345CA">
        <w:rPr>
          <w:bCs/>
          <w:i w:val="0"/>
          <w:color w:val="000000"/>
          <w:sz w:val="22"/>
          <w:szCs w:val="22"/>
        </w:rPr>
        <w:t>,</w:t>
      </w:r>
      <w:r w:rsidRPr="00F74016">
        <w:t xml:space="preserve"> </w:t>
      </w:r>
      <w:r w:rsidRPr="00F74016">
        <w:rPr>
          <w:bCs/>
          <w:i w:val="0"/>
          <w:color w:val="000000"/>
          <w:sz w:val="22"/>
          <w:szCs w:val="22"/>
        </w:rPr>
        <w:t>Earlswood</w:t>
      </w:r>
      <w:r>
        <w:rPr>
          <w:bCs/>
          <w:i w:val="0"/>
          <w:color w:val="000000"/>
          <w:sz w:val="22"/>
          <w:szCs w:val="22"/>
        </w:rPr>
        <w:t xml:space="preserve">, </w:t>
      </w:r>
      <w:proofErr w:type="gramStart"/>
      <w:r w:rsidRPr="00F74016">
        <w:rPr>
          <w:bCs/>
          <w:i w:val="0"/>
          <w:color w:val="000000"/>
          <w:sz w:val="22"/>
          <w:szCs w:val="22"/>
        </w:rPr>
        <w:t>Chepstow</w:t>
      </w:r>
      <w:r>
        <w:rPr>
          <w:bCs/>
          <w:i w:val="0"/>
          <w:color w:val="000000"/>
          <w:sz w:val="22"/>
          <w:szCs w:val="22"/>
        </w:rPr>
        <w:t>,</w:t>
      </w:r>
      <w:r w:rsidRPr="00F74016">
        <w:rPr>
          <w:bCs/>
          <w:i w:val="0"/>
          <w:color w:val="000000"/>
          <w:sz w:val="22"/>
          <w:szCs w:val="22"/>
        </w:rPr>
        <w:t xml:space="preserve">  </w:t>
      </w:r>
      <w:r w:rsidRPr="00D345CA">
        <w:rPr>
          <w:bCs/>
          <w:i w:val="0"/>
          <w:color w:val="000000"/>
          <w:sz w:val="22"/>
          <w:szCs w:val="22"/>
        </w:rPr>
        <w:t>NP</w:t>
      </w:r>
      <w:proofErr w:type="gramEnd"/>
      <w:r w:rsidRPr="00D345CA">
        <w:rPr>
          <w:bCs/>
          <w:i w:val="0"/>
          <w:color w:val="000000"/>
          <w:sz w:val="22"/>
          <w:szCs w:val="22"/>
        </w:rPr>
        <w:t>16 6R</w:t>
      </w:r>
      <w:r>
        <w:rPr>
          <w:bCs/>
          <w:i w:val="0"/>
          <w:color w:val="000000"/>
          <w:sz w:val="22"/>
          <w:szCs w:val="22"/>
        </w:rPr>
        <w:t>E</w:t>
      </w:r>
      <w:r w:rsidRPr="00D345CA">
        <w:rPr>
          <w:bCs/>
          <w:i w:val="0"/>
          <w:color w:val="000000"/>
          <w:sz w:val="22"/>
          <w:szCs w:val="22"/>
        </w:rPr>
        <w:t xml:space="preserve">. </w:t>
      </w:r>
      <w:r w:rsidRPr="00007E42">
        <w:rPr>
          <w:bCs/>
          <w:i w:val="0"/>
          <w:color w:val="000000"/>
          <w:sz w:val="22"/>
          <w:szCs w:val="22"/>
        </w:rPr>
        <w:t xml:space="preserve">This was a previous exemption for an existing septic tank and subsequent groundwater discharge built in the 1970’s, however due to a SPZ boundary change the operator is now required to obtain a permit. </w:t>
      </w:r>
      <w:r w:rsidRPr="00D345CA">
        <w:rPr>
          <w:bCs/>
          <w:i w:val="0"/>
          <w:color w:val="000000"/>
          <w:sz w:val="22"/>
          <w:szCs w:val="22"/>
        </w:rPr>
        <w:t xml:space="preserve">The system </w:t>
      </w:r>
      <w:r>
        <w:rPr>
          <w:bCs/>
          <w:i w:val="0"/>
          <w:color w:val="000000"/>
          <w:sz w:val="22"/>
          <w:szCs w:val="22"/>
        </w:rPr>
        <w:t xml:space="preserve">serves a single </w:t>
      </w:r>
      <w:proofErr w:type="gramStart"/>
      <w:r>
        <w:rPr>
          <w:bCs/>
          <w:i w:val="0"/>
          <w:color w:val="000000"/>
          <w:sz w:val="22"/>
          <w:szCs w:val="22"/>
        </w:rPr>
        <w:t>four bedroom</w:t>
      </w:r>
      <w:proofErr w:type="gramEnd"/>
      <w:r>
        <w:rPr>
          <w:bCs/>
          <w:i w:val="0"/>
          <w:color w:val="000000"/>
          <w:sz w:val="22"/>
          <w:szCs w:val="22"/>
        </w:rPr>
        <w:t xml:space="preserve"> domestic property with a total daily discharge of 1.5 cubic metres</w:t>
      </w:r>
      <w:r w:rsidRPr="00D345CA">
        <w:rPr>
          <w:bCs/>
          <w:i w:val="0"/>
          <w:color w:val="000000"/>
          <w:sz w:val="22"/>
          <w:szCs w:val="22"/>
        </w:rPr>
        <w:t>.</w:t>
      </w:r>
      <w:r>
        <w:rPr>
          <w:bCs/>
          <w:i w:val="0"/>
          <w:color w:val="000000"/>
          <w:sz w:val="22"/>
          <w:szCs w:val="22"/>
        </w:rPr>
        <w:t xml:space="preserve"> </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791FC1A3" w14:textId="77777777" w:rsidR="00EE0222" w:rsidRPr="00EE0222" w:rsidRDefault="002B51C3" w:rsidP="00B4343F">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r w:rsidR="00EE0222" w:rsidRPr="00EE0222">
        <w:rPr>
          <w:rFonts w:ascii="Arial" w:hAnsi="Arial"/>
          <w:szCs w:val="24"/>
        </w:rPr>
        <w:t xml:space="preserve"> </w:t>
      </w:r>
    </w:p>
    <w:p w14:paraId="049FB3E6" w14:textId="51031097" w:rsidR="002B51C3" w:rsidRPr="000733F7" w:rsidRDefault="00EE0222" w:rsidP="00B4343F">
      <w:pPr>
        <w:numPr>
          <w:ilvl w:val="0"/>
          <w:numId w:val="17"/>
        </w:numPr>
        <w:tabs>
          <w:tab w:val="clear" w:pos="1440"/>
          <w:tab w:val="num" w:pos="1134"/>
        </w:tabs>
        <w:spacing w:after="60"/>
        <w:ind w:left="1134" w:hanging="567"/>
        <w:jc w:val="both"/>
        <w:rPr>
          <w:rFonts w:ascii="Arial" w:hAnsi="Arial"/>
        </w:rPr>
      </w:pPr>
      <w:r w:rsidRPr="000733F7">
        <w:rPr>
          <w:rFonts w:ascii="Arial" w:hAnsi="Arial"/>
          <w:szCs w:val="24"/>
        </w:rPr>
        <w:t xml:space="preserve">Annex 2 the </w:t>
      </w:r>
      <w:r w:rsidR="000733F7" w:rsidRPr="000733F7">
        <w:rPr>
          <w:rFonts w:ascii="Arial" w:hAnsi="Arial"/>
          <w:szCs w:val="24"/>
        </w:rPr>
        <w:t xml:space="preserve">external consultation </w:t>
      </w:r>
      <w:r w:rsidRPr="000733F7">
        <w:rPr>
          <w:rFonts w:ascii="Arial" w:hAnsi="Arial"/>
          <w:szCs w:val="24"/>
        </w:rPr>
        <w:t xml:space="preserve">responses. </w:t>
      </w:r>
      <w:r w:rsidR="002B51C3" w:rsidRPr="000733F7">
        <w:rPr>
          <w:rFonts w:ascii="Arial" w:hAnsi="Arial"/>
          <w:szCs w:val="24"/>
        </w:rPr>
        <w:t xml:space="preserve"> </w:t>
      </w:r>
    </w:p>
    <w:p w14:paraId="45EECB74" w14:textId="61DF4A06" w:rsidR="00797C88" w:rsidRPr="00B4343F" w:rsidRDefault="00797C88" w:rsidP="00443420">
      <w:pPr>
        <w:spacing w:after="60"/>
        <w:ind w:left="567"/>
        <w:jc w:val="both"/>
        <w:rPr>
          <w:rFonts w:ascii="Arial" w:hAnsi="Arial"/>
        </w:rPr>
      </w:pP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454FF85C" w14:textId="44922B8F" w:rsidR="00A21037" w:rsidRPr="00A21037" w:rsidRDefault="00A21037" w:rsidP="00A21037">
            <w:pPr>
              <w:spacing w:before="60"/>
              <w:rPr>
                <w:rFonts w:ascii="Arial" w:hAnsi="Arial" w:cs="Arial"/>
                <w:szCs w:val="24"/>
              </w:rPr>
            </w:pPr>
            <w:r w:rsidRPr="00A21037">
              <w:rPr>
                <w:rFonts w:ascii="Arial" w:hAnsi="Arial" w:cs="Arial"/>
                <w:szCs w:val="24"/>
              </w:rPr>
              <w:t xml:space="preserve">The consultation responses (Annex 2) were </w:t>
            </w:r>
            <w:proofErr w:type="gramStart"/>
            <w:r w:rsidRPr="00A21037">
              <w:rPr>
                <w:rFonts w:ascii="Arial" w:hAnsi="Arial" w:cs="Arial"/>
                <w:szCs w:val="24"/>
              </w:rPr>
              <w:t>taken into account</w:t>
            </w:r>
            <w:proofErr w:type="gramEnd"/>
            <w:r w:rsidRPr="00A21037">
              <w:rPr>
                <w:rFonts w:ascii="Arial" w:hAnsi="Arial" w:cs="Arial"/>
                <w:szCs w:val="24"/>
              </w:rPr>
              <w:t xml:space="preserve"> in the decision.  </w:t>
            </w:r>
          </w:p>
          <w:p w14:paraId="2E52354E" w14:textId="77777777" w:rsidR="00A21037" w:rsidRDefault="00A21037" w:rsidP="004602AD">
            <w:pPr>
              <w:spacing w:before="60"/>
              <w:jc w:val="both"/>
              <w:rPr>
                <w:rFonts w:ascii="Arial" w:hAnsi="Arial" w:cs="Arial"/>
                <w:szCs w:val="24"/>
              </w:rPr>
            </w:pPr>
          </w:p>
          <w:p w14:paraId="5677A216" w14:textId="25AE647F" w:rsidR="004602AD" w:rsidRPr="002C18FA" w:rsidRDefault="004602AD" w:rsidP="004602AD">
            <w:pPr>
              <w:spacing w:before="60"/>
              <w:jc w:val="both"/>
              <w:rPr>
                <w:rFonts w:ascii="Arial" w:hAnsi="Arial" w:cs="Arial"/>
                <w:szCs w:val="24"/>
              </w:rPr>
            </w:pPr>
            <w:r w:rsidRPr="002C18FA">
              <w:rPr>
                <w:rFonts w:ascii="Arial" w:hAnsi="Arial" w:cs="Arial"/>
                <w:szCs w:val="24"/>
              </w:rPr>
              <w:t xml:space="preserve">No </w:t>
            </w:r>
            <w:r w:rsidR="00797C88" w:rsidRPr="002C18FA">
              <w:rPr>
                <w:rFonts w:ascii="Arial" w:hAnsi="Arial" w:cs="Arial"/>
                <w:szCs w:val="24"/>
              </w:rPr>
              <w:t xml:space="preserve">web </w:t>
            </w:r>
            <w:r w:rsidRPr="002C18FA">
              <w:rPr>
                <w:rFonts w:ascii="Arial" w:hAnsi="Arial" w:cs="Arial"/>
                <w:szCs w:val="24"/>
              </w:rPr>
              <w:t xml:space="preserve">consultation </w:t>
            </w:r>
            <w:proofErr w:type="spellStart"/>
            <w:r w:rsidRPr="002C18FA">
              <w:rPr>
                <w:rFonts w:ascii="Arial" w:hAnsi="Arial" w:cs="Arial"/>
                <w:szCs w:val="24"/>
              </w:rPr>
              <w:t>reponses</w:t>
            </w:r>
            <w:proofErr w:type="spellEnd"/>
            <w:r w:rsidRPr="002C18FA">
              <w:rPr>
                <w:rFonts w:ascii="Arial" w:hAnsi="Arial" w:cs="Arial"/>
                <w:szCs w:val="24"/>
              </w:rPr>
              <w:t xml:space="preserve"> were received. </w:t>
            </w:r>
          </w:p>
          <w:p w14:paraId="384FD46B" w14:textId="7AB8F23D" w:rsidR="00797C88" w:rsidRPr="00C052C4" w:rsidRDefault="00797C88"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71998744" w14:textId="77777777" w:rsidTr="003271F0">
        <w:tc>
          <w:tcPr>
            <w:tcW w:w="9302" w:type="dxa"/>
            <w:gridSpan w:val="4"/>
            <w:shd w:val="clear" w:color="auto" w:fill="0070C0"/>
          </w:tcPr>
          <w:p w14:paraId="351494B4"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facility</w:t>
            </w:r>
          </w:p>
        </w:tc>
      </w:tr>
      <w:tr w:rsidR="002B51C3" w:rsidRPr="007820C3" w14:paraId="76102C87" w14:textId="77777777" w:rsidTr="003271F0">
        <w:trPr>
          <w:gridAfter w:val="1"/>
          <w:wAfter w:w="13" w:type="dxa"/>
        </w:trPr>
        <w:tc>
          <w:tcPr>
            <w:tcW w:w="1951" w:type="dxa"/>
            <w:tcBorders>
              <w:bottom w:val="single" w:sz="4" w:space="0" w:color="auto"/>
            </w:tcBorders>
          </w:tcPr>
          <w:p w14:paraId="29E73FA7"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t xml:space="preserve">The </w:t>
            </w:r>
            <w:proofErr w:type="gramStart"/>
            <w:r w:rsidRPr="007820C3">
              <w:rPr>
                <w:rFonts w:ascii="Arial" w:hAnsi="Arial" w:cs="Arial"/>
                <w:color w:val="000000"/>
                <w:szCs w:val="24"/>
              </w:rPr>
              <w:t>regulated  facility</w:t>
            </w:r>
            <w:proofErr w:type="gramEnd"/>
            <w:r w:rsidRPr="007820C3">
              <w:rPr>
                <w:rFonts w:ascii="Arial" w:hAnsi="Arial" w:cs="Arial"/>
                <w:color w:val="000000"/>
                <w:szCs w:val="24"/>
              </w:rPr>
              <w:t xml:space="preserve"> </w:t>
            </w:r>
          </w:p>
          <w:p w14:paraId="2781BE90" w14:textId="77777777" w:rsidR="002B51C3" w:rsidRPr="007820C3" w:rsidRDefault="002B51C3" w:rsidP="003271F0">
            <w:pPr>
              <w:jc w:val="both"/>
              <w:rPr>
                <w:rFonts w:ascii="Arial" w:hAnsi="Arial" w:cs="Arial"/>
                <w:color w:val="FF00FF"/>
                <w:szCs w:val="24"/>
                <w:highlight w:val="yellow"/>
              </w:rPr>
            </w:pPr>
          </w:p>
        </w:tc>
        <w:tc>
          <w:tcPr>
            <w:tcW w:w="6266" w:type="dxa"/>
            <w:tcBorders>
              <w:bottom w:val="single" w:sz="4" w:space="0" w:color="auto"/>
            </w:tcBorders>
          </w:tcPr>
          <w:p w14:paraId="21E4BB2A" w14:textId="77777777" w:rsidR="002B51C3" w:rsidRPr="009C3601" w:rsidRDefault="002B51C3" w:rsidP="003271F0">
            <w:pPr>
              <w:jc w:val="both"/>
              <w:rPr>
                <w:rFonts w:ascii="Arial" w:hAnsi="Arial" w:cs="Arial"/>
                <w:szCs w:val="24"/>
              </w:rPr>
            </w:pPr>
            <w:r w:rsidRPr="009C3601">
              <w:rPr>
                <w:rFonts w:ascii="Arial" w:hAnsi="Arial" w:cs="Arial"/>
                <w:szCs w:val="24"/>
              </w:rPr>
              <w:t>The regulated facility is a standalone groundwater activity in accordance with EPR RGN 2 Understanding the meaning of regulated facility.</w:t>
            </w:r>
          </w:p>
          <w:p w14:paraId="5EECEFC1" w14:textId="77777777" w:rsidR="002B51C3" w:rsidRPr="007820C3" w:rsidRDefault="002B51C3" w:rsidP="003271F0">
            <w:pPr>
              <w:jc w:val="both"/>
              <w:rPr>
                <w:rFonts w:ascii="Arial" w:hAnsi="Arial" w:cs="Arial"/>
                <w:b/>
                <w:color w:val="FF0000"/>
                <w:szCs w:val="24"/>
              </w:rPr>
            </w:pPr>
          </w:p>
        </w:tc>
        <w:tc>
          <w:tcPr>
            <w:tcW w:w="1072" w:type="dxa"/>
            <w:tcBorders>
              <w:bottom w:val="single" w:sz="4" w:space="0" w:color="auto"/>
            </w:tcBorders>
          </w:tcPr>
          <w:p w14:paraId="42B6B37A"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FA5E9E" w:rsidRPr="007820C3" w14:paraId="34E03723" w14:textId="77777777" w:rsidTr="003271F0">
        <w:trPr>
          <w:gridAfter w:val="1"/>
          <w:wAfter w:w="13" w:type="dxa"/>
        </w:trPr>
        <w:tc>
          <w:tcPr>
            <w:tcW w:w="1951" w:type="dxa"/>
          </w:tcPr>
          <w:p w14:paraId="7227D38E" w14:textId="77777777" w:rsidR="00FA5E9E" w:rsidRPr="4E0B47CD" w:rsidRDefault="00FA5E9E" w:rsidP="00FA5E9E">
            <w:pPr>
              <w:jc w:val="both"/>
              <w:rPr>
                <w:rFonts w:ascii="Arial" w:hAnsi="Arial" w:cs="Arial"/>
                <w:color w:val="000000" w:themeColor="text1"/>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3D0898E1" w14:textId="040C75F2" w:rsidR="00FA5E9E" w:rsidRPr="00FA5E9E" w:rsidRDefault="00FA5E9E" w:rsidP="00FA5E9E">
            <w:pPr>
              <w:spacing w:before="60"/>
              <w:rPr>
                <w:rFonts w:ascii="Arial" w:hAnsi="Arial" w:cs="Arial"/>
                <w:szCs w:val="24"/>
              </w:rPr>
            </w:pPr>
            <w:r w:rsidRPr="00FA5E9E">
              <w:rPr>
                <w:rFonts w:ascii="Arial" w:hAnsi="Arial" w:cs="Arial"/>
                <w:szCs w:val="24"/>
              </w:rPr>
              <w:lastRenderedPageBreak/>
              <w:t>No FORM 1 completed.</w:t>
            </w:r>
          </w:p>
          <w:p w14:paraId="19A411D5" w14:textId="77777777" w:rsidR="0070785D" w:rsidRDefault="0070785D" w:rsidP="0070785D">
            <w:pPr>
              <w:spacing w:before="60"/>
              <w:rPr>
                <w:rFonts w:ascii="Arial" w:hAnsi="Arial" w:cs="Arial"/>
                <w:szCs w:val="24"/>
              </w:rPr>
            </w:pPr>
          </w:p>
          <w:p w14:paraId="07CE234E" w14:textId="100B395B" w:rsidR="0070785D" w:rsidRPr="009D59DA" w:rsidRDefault="0070785D" w:rsidP="0070785D">
            <w:pPr>
              <w:spacing w:before="60"/>
              <w:rPr>
                <w:rFonts w:ascii="Arial" w:hAnsi="Arial" w:cs="Arial"/>
                <w:szCs w:val="24"/>
              </w:rPr>
            </w:pPr>
            <w:r w:rsidRPr="009D59DA">
              <w:rPr>
                <w:rFonts w:ascii="Arial" w:hAnsi="Arial" w:cs="Arial"/>
                <w:szCs w:val="24"/>
              </w:rPr>
              <w:lastRenderedPageBreak/>
              <w:t xml:space="preserve">HRA is not required because there is no conceivable impact pathway to any Natura 2000/Ramsar site. </w:t>
            </w:r>
          </w:p>
          <w:p w14:paraId="5063A95D" w14:textId="77777777" w:rsidR="00FA5E9E" w:rsidRPr="00AF381B" w:rsidRDefault="00FA5E9E" w:rsidP="00FA5E9E">
            <w:pPr>
              <w:spacing w:before="60"/>
              <w:rPr>
                <w:rFonts w:ascii="Arial" w:hAnsi="Arial" w:cs="Arial"/>
                <w:szCs w:val="24"/>
              </w:rPr>
            </w:pPr>
          </w:p>
        </w:tc>
        <w:tc>
          <w:tcPr>
            <w:tcW w:w="1072" w:type="dxa"/>
          </w:tcPr>
          <w:p w14:paraId="1A652243" w14:textId="60365DA0" w:rsidR="00FA5E9E" w:rsidRPr="00FB30B4" w:rsidRDefault="00FA5E9E" w:rsidP="00FA5E9E">
            <w:pPr>
              <w:jc w:val="both"/>
              <w:rPr>
                <w:rFonts w:ascii="Wingdings" w:eastAsia="Wingdings" w:hAnsi="Wingdings" w:cs="Wingdings"/>
                <w:color w:val="000000"/>
                <w:szCs w:val="24"/>
              </w:rPr>
            </w:pPr>
            <w:r w:rsidRPr="00FB30B4">
              <w:rPr>
                <w:rFonts w:ascii="Wingdings" w:eastAsia="Wingdings" w:hAnsi="Wingdings" w:cs="Wingdings"/>
                <w:color w:val="000000"/>
                <w:szCs w:val="24"/>
              </w:rPr>
              <w:lastRenderedPageBreak/>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7AA9DF3B" w14:textId="77777777" w:rsidR="002B51C3" w:rsidRPr="009A6D32" w:rsidRDefault="002B51C3" w:rsidP="003271F0">
            <w:pPr>
              <w:pStyle w:val="BodyText"/>
              <w:jc w:val="both"/>
              <w:rPr>
                <w:rFonts w:ascii="Arial" w:hAnsi="Arial" w:cs="Arial"/>
                <w:color w:val="auto"/>
                <w:szCs w:val="24"/>
              </w:rPr>
            </w:pPr>
            <w:r w:rsidRPr="009A6D32">
              <w:rPr>
                <w:rFonts w:ascii="Arial" w:hAnsi="Arial" w:cs="Arial"/>
                <w:color w:val="auto"/>
                <w:szCs w:val="24"/>
              </w:rPr>
              <w:t xml:space="preserve">We have reviewed the techniques used by the operator and compared these with the relevant guidance notes. </w:t>
            </w:r>
          </w:p>
          <w:p w14:paraId="61E5E74C" w14:textId="77777777" w:rsidR="002B51C3" w:rsidRPr="009A6D32"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rsidRPr="007820C3" w14:paraId="42656EC2" w14:textId="77777777" w:rsidTr="003271F0">
        <w:trPr>
          <w:gridAfter w:val="1"/>
          <w:wAfter w:w="13" w:type="dxa"/>
        </w:trPr>
        <w:tc>
          <w:tcPr>
            <w:tcW w:w="1951" w:type="dxa"/>
          </w:tcPr>
          <w:p w14:paraId="7FAA2F70" w14:textId="77777777" w:rsidR="002A43D6" w:rsidRPr="007820C3" w:rsidRDefault="002A43D6" w:rsidP="002A43D6">
            <w:pPr>
              <w:rPr>
                <w:rFonts w:ascii="Arial" w:hAnsi="Arial" w:cs="Arial"/>
                <w:color w:val="000000"/>
                <w:szCs w:val="24"/>
              </w:rPr>
            </w:pPr>
            <w:r w:rsidRPr="007820C3">
              <w:rPr>
                <w:rFonts w:ascii="Arial" w:hAnsi="Arial" w:cs="Arial"/>
                <w:color w:val="000000"/>
                <w:szCs w:val="24"/>
              </w:rPr>
              <w:t>Considerations of foul sewer</w:t>
            </w:r>
          </w:p>
          <w:p w14:paraId="06C9F085" w14:textId="77777777" w:rsidR="002A43D6" w:rsidRPr="007820C3" w:rsidRDefault="002A43D6" w:rsidP="002A43D6">
            <w:pPr>
              <w:jc w:val="both"/>
              <w:rPr>
                <w:rFonts w:ascii="Arial" w:hAnsi="Arial" w:cs="Arial"/>
                <w:szCs w:val="24"/>
              </w:rPr>
            </w:pPr>
          </w:p>
        </w:tc>
        <w:tc>
          <w:tcPr>
            <w:tcW w:w="6266" w:type="dxa"/>
          </w:tcPr>
          <w:p w14:paraId="0C1CCA9A" w14:textId="3EEAD080" w:rsidR="002A43D6" w:rsidRPr="009A6D32" w:rsidRDefault="002A43D6" w:rsidP="002A43D6">
            <w:pPr>
              <w:pStyle w:val="BodyText"/>
              <w:jc w:val="both"/>
              <w:rPr>
                <w:rFonts w:ascii="Arial" w:hAnsi="Arial" w:cs="Arial"/>
                <w:color w:val="auto"/>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479536D5" w14:textId="514D9F3B" w:rsidR="002A43D6" w:rsidRPr="00FB30B4" w:rsidRDefault="002A43D6" w:rsidP="002A43D6">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A43D6" w:rsidRPr="007820C3" w14:paraId="56019022" w14:textId="77777777" w:rsidTr="003271F0">
        <w:tc>
          <w:tcPr>
            <w:tcW w:w="9302" w:type="dxa"/>
            <w:gridSpan w:val="4"/>
            <w:shd w:val="clear" w:color="auto" w:fill="0070C0"/>
          </w:tcPr>
          <w:p w14:paraId="5833CB0D" w14:textId="77777777" w:rsidR="002A43D6" w:rsidRPr="007820C3" w:rsidRDefault="002A43D6" w:rsidP="002A43D6">
            <w:pPr>
              <w:jc w:val="both"/>
              <w:rPr>
                <w:rFonts w:ascii="Arial" w:hAnsi="Arial" w:cs="Arial"/>
                <w:b/>
                <w:color w:val="FFFFFF"/>
                <w:szCs w:val="24"/>
              </w:rPr>
            </w:pPr>
            <w:r w:rsidRPr="007820C3">
              <w:rPr>
                <w:rFonts w:ascii="Arial" w:hAnsi="Arial" w:cs="Arial"/>
                <w:b/>
                <w:color w:val="FFFFFF"/>
                <w:szCs w:val="24"/>
              </w:rPr>
              <w:t>Operator Competence</w:t>
            </w:r>
          </w:p>
        </w:tc>
      </w:tr>
      <w:tr w:rsidR="002A43D6" w:rsidRPr="007820C3" w14:paraId="41A69211" w14:textId="77777777" w:rsidTr="003271F0">
        <w:trPr>
          <w:gridAfter w:val="1"/>
          <w:wAfter w:w="13" w:type="dxa"/>
        </w:trPr>
        <w:tc>
          <w:tcPr>
            <w:tcW w:w="1951" w:type="dxa"/>
          </w:tcPr>
          <w:p w14:paraId="15034890" w14:textId="77777777" w:rsidR="002A43D6" w:rsidRPr="007820C3" w:rsidRDefault="002A43D6" w:rsidP="002A43D6">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A43D6" w:rsidRDefault="002A43D6" w:rsidP="002A43D6">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231DB0E" w14:textId="77777777" w:rsidR="002A43D6" w:rsidRPr="007820C3" w:rsidRDefault="002A43D6" w:rsidP="002A43D6">
            <w:pPr>
              <w:jc w:val="both"/>
              <w:rPr>
                <w:rFonts w:ascii="Arial" w:hAnsi="Arial" w:cs="Arial"/>
                <w:szCs w:val="24"/>
              </w:rPr>
            </w:pPr>
          </w:p>
        </w:tc>
        <w:tc>
          <w:tcPr>
            <w:tcW w:w="1072" w:type="dxa"/>
          </w:tcPr>
          <w:p w14:paraId="3DAD6FCB" w14:textId="77777777" w:rsidR="002A43D6" w:rsidRPr="00FB30B4" w:rsidRDefault="002A43D6" w:rsidP="002A43D6">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rsidRPr="007820C3" w14:paraId="2C451C29" w14:textId="77777777" w:rsidTr="003271F0">
        <w:trPr>
          <w:gridAfter w:val="1"/>
          <w:wAfter w:w="13" w:type="dxa"/>
        </w:trPr>
        <w:tc>
          <w:tcPr>
            <w:tcW w:w="9289" w:type="dxa"/>
            <w:gridSpan w:val="3"/>
            <w:shd w:val="clear" w:color="auto" w:fill="0070C0"/>
          </w:tcPr>
          <w:p w14:paraId="2E3E6F6B" w14:textId="77777777" w:rsidR="002A43D6" w:rsidRPr="00E96702" w:rsidRDefault="002A43D6" w:rsidP="002A43D6">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A43D6" w:rsidRPr="007820C3" w14:paraId="74601745" w14:textId="77777777" w:rsidTr="003271F0">
        <w:trPr>
          <w:gridAfter w:val="1"/>
          <w:wAfter w:w="13" w:type="dxa"/>
        </w:trPr>
        <w:tc>
          <w:tcPr>
            <w:tcW w:w="1951" w:type="dxa"/>
          </w:tcPr>
          <w:p w14:paraId="725624E3" w14:textId="77777777" w:rsidR="002A43D6" w:rsidRDefault="002A43D6" w:rsidP="002A43D6">
            <w:pPr>
              <w:jc w:val="both"/>
              <w:rPr>
                <w:rFonts w:ascii="Arial" w:hAnsi="Arial" w:cs="Arial"/>
                <w:szCs w:val="24"/>
              </w:rPr>
            </w:pPr>
            <w:r>
              <w:rPr>
                <w:rFonts w:ascii="Arial" w:hAnsi="Arial" w:cs="Arial"/>
                <w:szCs w:val="24"/>
              </w:rPr>
              <w:t>Considerations of SMNR - Compliance with our General Purpose</w:t>
            </w:r>
          </w:p>
        </w:tc>
        <w:tc>
          <w:tcPr>
            <w:tcW w:w="6266" w:type="dxa"/>
          </w:tcPr>
          <w:p w14:paraId="6DD20A0E" w14:textId="77777777" w:rsidR="002A43D6" w:rsidRPr="00E96702" w:rsidRDefault="002A43D6" w:rsidP="002A43D6">
            <w:pPr>
              <w:pStyle w:val="NormalWeb"/>
              <w:jc w:val="both"/>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2DD8A303" w14:textId="77777777" w:rsidR="002A43D6" w:rsidRPr="00E96702" w:rsidRDefault="002A43D6" w:rsidP="002A43D6">
            <w:pPr>
              <w:pStyle w:val="NormalWeb"/>
              <w:jc w:val="both"/>
              <w:rPr>
                <w:rFonts w:ascii="Arial" w:hAnsi="Arial" w:cs="Arial"/>
                <w:color w:val="FF00FF"/>
              </w:rPr>
            </w:pPr>
          </w:p>
        </w:tc>
        <w:tc>
          <w:tcPr>
            <w:tcW w:w="1072" w:type="dxa"/>
          </w:tcPr>
          <w:p w14:paraId="6AF28187" w14:textId="77777777" w:rsidR="002A43D6" w:rsidRDefault="002A43D6" w:rsidP="002A43D6">
            <w:pPr>
              <w:jc w:val="both"/>
              <w:rPr>
                <w:rFonts w:ascii="Arial" w:hAnsi="Arial" w:cs="Arial"/>
                <w:color w:val="000000"/>
                <w:szCs w:val="24"/>
              </w:rPr>
            </w:pPr>
            <w:r w:rsidRPr="00FB30B4">
              <w:rPr>
                <w:rFonts w:ascii="Wingdings" w:eastAsia="Wingdings" w:hAnsi="Wingdings" w:cs="Wingdings"/>
                <w:color w:val="000000"/>
                <w:szCs w:val="24"/>
              </w:rPr>
              <w:t>ü</w:t>
            </w:r>
          </w:p>
        </w:tc>
      </w:tr>
      <w:tr w:rsidR="002A43D6" w14:paraId="5FA17893" w14:textId="77777777" w:rsidTr="003271F0">
        <w:trPr>
          <w:gridAfter w:val="1"/>
          <w:wAfter w:w="13" w:type="dxa"/>
        </w:trPr>
        <w:tc>
          <w:tcPr>
            <w:tcW w:w="9289" w:type="dxa"/>
            <w:gridSpan w:val="3"/>
            <w:shd w:val="clear" w:color="auto" w:fill="0070C0"/>
          </w:tcPr>
          <w:p w14:paraId="25699C64" w14:textId="77777777" w:rsidR="002A43D6" w:rsidRDefault="002A43D6" w:rsidP="002A43D6">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A43D6" w14:paraId="41033192" w14:textId="77777777" w:rsidTr="003271F0">
        <w:trPr>
          <w:gridAfter w:val="1"/>
          <w:wAfter w:w="13" w:type="dxa"/>
        </w:trPr>
        <w:tc>
          <w:tcPr>
            <w:tcW w:w="1951" w:type="dxa"/>
          </w:tcPr>
          <w:p w14:paraId="509B8DD9" w14:textId="77777777" w:rsidR="002A43D6" w:rsidRDefault="002A43D6" w:rsidP="002A43D6">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A43D6" w:rsidRDefault="002A43D6" w:rsidP="002A43D6">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A43D6" w:rsidRDefault="002A43D6" w:rsidP="002A43D6">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7565F820" w14:textId="6FA111D8" w:rsidR="00FF1256" w:rsidRDefault="00FA5E9E" w:rsidP="00EE0222">
      <w:pPr>
        <w:pStyle w:val="Heading1"/>
        <w:rPr>
          <w:rFonts w:cs="Arial"/>
          <w:color w:val="FF00FF"/>
          <w:szCs w:val="24"/>
        </w:rPr>
      </w:pPr>
      <w:r w:rsidRPr="004243F4">
        <w:rPr>
          <w:rFonts w:cs="Arial"/>
          <w:color w:val="FF00FF"/>
          <w:szCs w:val="24"/>
        </w:rPr>
        <w:t xml:space="preserve"> </w:t>
      </w:r>
    </w:p>
    <w:p w14:paraId="11369065" w14:textId="77777777" w:rsidR="00856C7C" w:rsidRPr="00856C7C" w:rsidRDefault="00856C7C" w:rsidP="00856C7C"/>
    <w:p w14:paraId="15B5BE0A" w14:textId="19D47C16" w:rsidR="00EE0222" w:rsidRPr="00F20A3D" w:rsidRDefault="00EE0222" w:rsidP="00EE0222">
      <w:pPr>
        <w:pStyle w:val="Heading1"/>
        <w:rPr>
          <w:color w:val="auto"/>
          <w:sz w:val="24"/>
        </w:rPr>
      </w:pPr>
      <w:r w:rsidRPr="00F20A3D">
        <w:rPr>
          <w:color w:val="auto"/>
          <w:sz w:val="24"/>
        </w:rPr>
        <w:lastRenderedPageBreak/>
        <w:t xml:space="preserve">Annex 2: </w:t>
      </w:r>
      <w:r w:rsidR="002C18FA">
        <w:rPr>
          <w:color w:val="auto"/>
          <w:sz w:val="24"/>
        </w:rPr>
        <w:t>Consultation</w:t>
      </w:r>
      <w:r w:rsidRPr="00F20A3D">
        <w:rPr>
          <w:color w:val="auto"/>
          <w:sz w:val="24"/>
        </w:rPr>
        <w:t xml:space="preserve"> responses </w:t>
      </w:r>
    </w:p>
    <w:p w14:paraId="7848411F" w14:textId="77777777" w:rsidR="00EE0222" w:rsidRPr="00F20A3D" w:rsidRDefault="00EE0222" w:rsidP="00EE0222">
      <w:pPr>
        <w:pStyle w:val="Footer"/>
        <w:tabs>
          <w:tab w:val="clear" w:pos="4153"/>
          <w:tab w:val="clear" w:pos="8306"/>
        </w:tabs>
        <w:jc w:val="both"/>
        <w:rPr>
          <w:rFonts w:ascii="Arial" w:hAnsi="Arial"/>
        </w:rPr>
      </w:pPr>
    </w:p>
    <w:p w14:paraId="06F74B02" w14:textId="54BD5386" w:rsidR="00EE0222" w:rsidRPr="00F20A3D" w:rsidRDefault="00EE0222" w:rsidP="00EE0222">
      <w:pPr>
        <w:jc w:val="both"/>
        <w:rPr>
          <w:rFonts w:ascii="Arial" w:hAnsi="Arial"/>
        </w:rPr>
      </w:pPr>
      <w:r w:rsidRPr="00F20A3D">
        <w:rPr>
          <w:rFonts w:ascii="Arial" w:hAnsi="Arial"/>
        </w:rPr>
        <w:t>Summary of responses to consultation</w:t>
      </w:r>
      <w:r w:rsidR="002C18FA">
        <w:rPr>
          <w:rFonts w:ascii="Arial" w:hAnsi="Arial"/>
        </w:rPr>
        <w:t xml:space="preserve"> </w:t>
      </w:r>
      <w:r w:rsidRPr="00F20A3D">
        <w:rPr>
          <w:rFonts w:ascii="Arial" w:hAnsi="Arial"/>
        </w:rPr>
        <w:t xml:space="preserve">and the way in which we have taken these into account in the determination process.  </w:t>
      </w:r>
    </w:p>
    <w:p w14:paraId="5805523C" w14:textId="77777777" w:rsidR="00EE0222" w:rsidRDefault="00EE0222" w:rsidP="00EE0222">
      <w:pPr>
        <w:jc w:val="both"/>
        <w:rPr>
          <w:rFonts w:ascii="Arial" w:hAnsi="Arial"/>
        </w:rPr>
      </w:pPr>
    </w:p>
    <w:tbl>
      <w:tblPr>
        <w:tblStyle w:val="TableGrid"/>
        <w:tblW w:w="0" w:type="auto"/>
        <w:tblLook w:val="01E0" w:firstRow="1" w:lastRow="1" w:firstColumn="1" w:lastColumn="1" w:noHBand="0" w:noVBand="0"/>
      </w:tblPr>
      <w:tblGrid>
        <w:gridCol w:w="8296"/>
      </w:tblGrid>
      <w:tr w:rsidR="00EE0222" w:rsidRPr="004243F4" w14:paraId="6745A0EE" w14:textId="77777777" w:rsidTr="00816E83">
        <w:tc>
          <w:tcPr>
            <w:tcW w:w="8522" w:type="dxa"/>
            <w:shd w:val="clear" w:color="auto" w:fill="0070C0"/>
          </w:tcPr>
          <w:p w14:paraId="5F309EB6" w14:textId="77777777" w:rsidR="00EE0222" w:rsidRPr="00F20A3D" w:rsidRDefault="00EE0222" w:rsidP="00816E83">
            <w:pPr>
              <w:jc w:val="both"/>
              <w:rPr>
                <w:rFonts w:ascii="Arial" w:hAnsi="Arial" w:cs="Arial"/>
                <w:b/>
                <w:color w:val="FF0000"/>
              </w:rPr>
            </w:pPr>
            <w:r w:rsidRPr="00F20A3D">
              <w:rPr>
                <w:rFonts w:ascii="Arial" w:hAnsi="Arial" w:cs="Arial"/>
                <w:b/>
                <w:color w:val="FFFFFF" w:themeColor="background1"/>
              </w:rPr>
              <w:t>Response received from</w:t>
            </w:r>
          </w:p>
        </w:tc>
      </w:tr>
      <w:tr w:rsidR="00EE0222" w:rsidRPr="004243F4" w14:paraId="0D2083E1" w14:textId="77777777" w:rsidTr="00816E83">
        <w:tc>
          <w:tcPr>
            <w:tcW w:w="8522" w:type="dxa"/>
            <w:tcBorders>
              <w:bottom w:val="single" w:sz="4" w:space="0" w:color="auto"/>
            </w:tcBorders>
          </w:tcPr>
          <w:p w14:paraId="753BAB1E" w14:textId="0E624AD1" w:rsidR="00EE0222" w:rsidRPr="00F20A3D" w:rsidRDefault="00F20A3D" w:rsidP="00816E83">
            <w:pPr>
              <w:jc w:val="both"/>
              <w:rPr>
                <w:rFonts w:ascii="Arial" w:hAnsi="Arial" w:cs="Arial"/>
                <w:b/>
              </w:rPr>
            </w:pPr>
            <w:r w:rsidRPr="00F20A3D">
              <w:rPr>
                <w:rFonts w:ascii="Arial" w:hAnsi="Arial" w:cs="Arial"/>
                <w:b/>
              </w:rPr>
              <w:t>DCWW</w:t>
            </w:r>
          </w:p>
        </w:tc>
      </w:tr>
      <w:tr w:rsidR="00EE0222" w:rsidRPr="004243F4" w14:paraId="6C4DFB6D" w14:textId="77777777" w:rsidTr="00816E83">
        <w:tc>
          <w:tcPr>
            <w:tcW w:w="8522" w:type="dxa"/>
            <w:shd w:val="clear" w:color="auto" w:fill="0070C0"/>
          </w:tcPr>
          <w:p w14:paraId="33700A75" w14:textId="77777777" w:rsidR="00EE0222" w:rsidRPr="00F20A3D" w:rsidRDefault="00EE0222" w:rsidP="00816E83">
            <w:pPr>
              <w:jc w:val="both"/>
              <w:rPr>
                <w:rFonts w:ascii="Arial" w:hAnsi="Arial" w:cs="Arial"/>
                <w:b/>
                <w:color w:val="FFFFFF" w:themeColor="background1"/>
              </w:rPr>
            </w:pPr>
            <w:proofErr w:type="gramStart"/>
            <w:r w:rsidRPr="00F20A3D">
              <w:rPr>
                <w:rFonts w:ascii="Arial" w:hAnsi="Arial" w:cs="Arial"/>
                <w:b/>
                <w:color w:val="FFFFFF" w:themeColor="background1"/>
              </w:rPr>
              <w:t>Brief summary</w:t>
            </w:r>
            <w:proofErr w:type="gramEnd"/>
            <w:r w:rsidRPr="00F20A3D">
              <w:rPr>
                <w:rFonts w:ascii="Arial" w:hAnsi="Arial" w:cs="Arial"/>
                <w:b/>
                <w:color w:val="FFFFFF" w:themeColor="background1"/>
              </w:rPr>
              <w:t xml:space="preserve"> of issues raised</w:t>
            </w:r>
          </w:p>
        </w:tc>
      </w:tr>
      <w:tr w:rsidR="00EE0222" w:rsidRPr="004243F4" w14:paraId="2B37B50E" w14:textId="77777777" w:rsidTr="00816E83">
        <w:tc>
          <w:tcPr>
            <w:tcW w:w="8522" w:type="dxa"/>
            <w:tcBorders>
              <w:bottom w:val="single" w:sz="4" w:space="0" w:color="auto"/>
            </w:tcBorders>
          </w:tcPr>
          <w:p w14:paraId="06B36509" w14:textId="1D21CED3" w:rsidR="00EE0222" w:rsidRPr="00F20A3D" w:rsidRDefault="00F20A3D" w:rsidP="00816E83">
            <w:pPr>
              <w:jc w:val="both"/>
              <w:rPr>
                <w:rFonts w:ascii="Arial" w:hAnsi="Arial" w:cs="Arial"/>
                <w:color w:val="FF0000"/>
              </w:rPr>
            </w:pPr>
            <w:r w:rsidRPr="00F20A3D">
              <w:rPr>
                <w:rFonts w:ascii="Arial" w:hAnsi="Arial" w:cs="Arial"/>
              </w:rPr>
              <w:t>No issues raised</w:t>
            </w:r>
          </w:p>
        </w:tc>
      </w:tr>
      <w:tr w:rsidR="00EE0222" w:rsidRPr="004243F4" w14:paraId="40478F86" w14:textId="77777777" w:rsidTr="00816E83">
        <w:tc>
          <w:tcPr>
            <w:tcW w:w="8522" w:type="dxa"/>
            <w:shd w:val="clear" w:color="auto" w:fill="0070C0"/>
          </w:tcPr>
          <w:p w14:paraId="1329A910" w14:textId="77777777" w:rsidR="00EE0222" w:rsidRPr="00F20A3D" w:rsidRDefault="00EE0222" w:rsidP="00816E83">
            <w:pPr>
              <w:jc w:val="both"/>
              <w:rPr>
                <w:rFonts w:ascii="Arial" w:hAnsi="Arial" w:cs="Arial"/>
                <w:color w:val="FF0000"/>
              </w:rPr>
            </w:pPr>
            <w:r w:rsidRPr="00F20A3D">
              <w:rPr>
                <w:rFonts w:ascii="Arial" w:hAnsi="Arial" w:cs="Arial"/>
                <w:b/>
                <w:color w:val="FFFFFF" w:themeColor="background1"/>
              </w:rPr>
              <w:t>Summary of actions taken or show how this has been covered</w:t>
            </w:r>
          </w:p>
        </w:tc>
      </w:tr>
      <w:tr w:rsidR="00EE0222" w:rsidRPr="004243F4" w14:paraId="7F2E918F" w14:textId="77777777" w:rsidTr="00816E83">
        <w:tc>
          <w:tcPr>
            <w:tcW w:w="8522" w:type="dxa"/>
          </w:tcPr>
          <w:p w14:paraId="4E64EBD7" w14:textId="77777777" w:rsidR="00F20A3D" w:rsidRPr="00F20A3D" w:rsidRDefault="00F20A3D" w:rsidP="00F20A3D">
            <w:pPr>
              <w:rPr>
                <w:rFonts w:ascii="Arial" w:hAnsi="Arial" w:cs="Arial"/>
                <w:sz w:val="22"/>
              </w:rPr>
            </w:pPr>
            <w:r w:rsidRPr="00F20A3D">
              <w:rPr>
                <w:rFonts w:ascii="Arial" w:hAnsi="Arial" w:cs="Arial"/>
              </w:rPr>
              <w:t>Thank you for passing this information on to us. I’ve had a look at the proposed plans, and the groundwater discharge application falls outside of a DCWW Drinking Water Catchment. There are therefore no further comments on this from the catchment team.</w:t>
            </w:r>
          </w:p>
          <w:p w14:paraId="5C107A3E" w14:textId="77777777" w:rsidR="00EE0222" w:rsidRPr="00F20A3D" w:rsidRDefault="00EE0222" w:rsidP="00EE0222">
            <w:pPr>
              <w:jc w:val="both"/>
              <w:rPr>
                <w:rFonts w:ascii="Arial" w:hAnsi="Arial" w:cs="Arial"/>
              </w:rPr>
            </w:pPr>
          </w:p>
        </w:tc>
      </w:tr>
    </w:tbl>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4F8E5641"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AB9CF" w14:textId="77777777" w:rsidR="00CA6794" w:rsidRDefault="00CA6794">
      <w:r>
        <w:separator/>
      </w:r>
    </w:p>
  </w:endnote>
  <w:endnote w:type="continuationSeparator" w:id="0">
    <w:p w14:paraId="63335817" w14:textId="77777777" w:rsidR="00CA6794" w:rsidRDefault="00CA6794">
      <w:r>
        <w:continuationSeparator/>
      </w:r>
    </w:p>
  </w:endnote>
  <w:endnote w:type="continuationNotice" w:id="1">
    <w:p w14:paraId="53A62940" w14:textId="77777777" w:rsidR="00CA6794" w:rsidRDefault="00CA67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24DDC" w14:textId="77777777" w:rsidR="00CA6794" w:rsidRDefault="00CA6794">
      <w:r>
        <w:separator/>
      </w:r>
    </w:p>
  </w:footnote>
  <w:footnote w:type="continuationSeparator" w:id="0">
    <w:p w14:paraId="1917D10A" w14:textId="77777777" w:rsidR="00CA6794" w:rsidRDefault="00CA6794">
      <w:r>
        <w:continuationSeparator/>
      </w:r>
    </w:p>
  </w:footnote>
  <w:footnote w:type="continuationNotice" w:id="1">
    <w:p w14:paraId="47189250" w14:textId="77777777" w:rsidR="00CA6794" w:rsidRDefault="00CA679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05950498">
    <w:abstractNumId w:val="1"/>
  </w:num>
  <w:num w:numId="2" w16cid:durableId="1556162887">
    <w:abstractNumId w:val="15"/>
  </w:num>
  <w:num w:numId="3" w16cid:durableId="798261104">
    <w:abstractNumId w:val="12"/>
  </w:num>
  <w:num w:numId="4" w16cid:durableId="859664240">
    <w:abstractNumId w:val="2"/>
  </w:num>
  <w:num w:numId="5" w16cid:durableId="2063482031">
    <w:abstractNumId w:val="4"/>
  </w:num>
  <w:num w:numId="6" w16cid:durableId="582766076">
    <w:abstractNumId w:val="3"/>
  </w:num>
  <w:num w:numId="7" w16cid:durableId="1236208671">
    <w:abstractNumId w:val="7"/>
  </w:num>
  <w:num w:numId="8" w16cid:durableId="39984401">
    <w:abstractNumId w:val="14"/>
  </w:num>
  <w:num w:numId="9" w16cid:durableId="1737166396">
    <w:abstractNumId w:val="18"/>
  </w:num>
  <w:num w:numId="10" w16cid:durableId="1396003991">
    <w:abstractNumId w:val="10"/>
  </w:num>
  <w:num w:numId="11" w16cid:durableId="369499810">
    <w:abstractNumId w:val="13"/>
  </w:num>
  <w:num w:numId="12" w16cid:durableId="1052464780">
    <w:abstractNumId w:val="17"/>
  </w:num>
  <w:num w:numId="13" w16cid:durableId="1688291045">
    <w:abstractNumId w:val="16"/>
  </w:num>
  <w:num w:numId="14" w16cid:durableId="1463233018">
    <w:abstractNumId w:val="9"/>
  </w:num>
  <w:num w:numId="15" w16cid:durableId="450637537">
    <w:abstractNumId w:val="11"/>
  </w:num>
  <w:num w:numId="16" w16cid:durableId="794328020">
    <w:abstractNumId w:val="5"/>
  </w:num>
  <w:num w:numId="17" w16cid:durableId="1159079070">
    <w:abstractNumId w:val="0"/>
  </w:num>
  <w:num w:numId="18" w16cid:durableId="780881661">
    <w:abstractNumId w:val="8"/>
  </w:num>
  <w:num w:numId="19" w16cid:durableId="1458986500">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4A5"/>
    <w:rsid w:val="000225DA"/>
    <w:rsid w:val="00024E0F"/>
    <w:rsid w:val="000436A8"/>
    <w:rsid w:val="00050DC6"/>
    <w:rsid w:val="00052697"/>
    <w:rsid w:val="0005636B"/>
    <w:rsid w:val="0006298C"/>
    <w:rsid w:val="000676D4"/>
    <w:rsid w:val="00067A5C"/>
    <w:rsid w:val="000733F7"/>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171CA"/>
    <w:rsid w:val="00120FD3"/>
    <w:rsid w:val="00124B9A"/>
    <w:rsid w:val="00134001"/>
    <w:rsid w:val="00136717"/>
    <w:rsid w:val="00141DD3"/>
    <w:rsid w:val="0014332B"/>
    <w:rsid w:val="00147725"/>
    <w:rsid w:val="001568AA"/>
    <w:rsid w:val="001648C3"/>
    <w:rsid w:val="0016775A"/>
    <w:rsid w:val="0017110E"/>
    <w:rsid w:val="00171565"/>
    <w:rsid w:val="00175981"/>
    <w:rsid w:val="0017635B"/>
    <w:rsid w:val="0018676E"/>
    <w:rsid w:val="0019078A"/>
    <w:rsid w:val="00196C2E"/>
    <w:rsid w:val="001A0126"/>
    <w:rsid w:val="001A2522"/>
    <w:rsid w:val="001A47AE"/>
    <w:rsid w:val="001A5072"/>
    <w:rsid w:val="001A79EC"/>
    <w:rsid w:val="001B000A"/>
    <w:rsid w:val="001B5BD3"/>
    <w:rsid w:val="001B77CB"/>
    <w:rsid w:val="001C1F18"/>
    <w:rsid w:val="001C2814"/>
    <w:rsid w:val="001C3EE4"/>
    <w:rsid w:val="001F0E23"/>
    <w:rsid w:val="002013C8"/>
    <w:rsid w:val="00202B65"/>
    <w:rsid w:val="00207C20"/>
    <w:rsid w:val="00210407"/>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43D6"/>
    <w:rsid w:val="002A66F0"/>
    <w:rsid w:val="002B0D8B"/>
    <w:rsid w:val="002B2C72"/>
    <w:rsid w:val="002B3FAA"/>
    <w:rsid w:val="002B51C3"/>
    <w:rsid w:val="002C18FA"/>
    <w:rsid w:val="002C2D76"/>
    <w:rsid w:val="002C41CA"/>
    <w:rsid w:val="002D0A0C"/>
    <w:rsid w:val="002E35D0"/>
    <w:rsid w:val="002E57A2"/>
    <w:rsid w:val="002E6AD1"/>
    <w:rsid w:val="002F2FAB"/>
    <w:rsid w:val="002F41D1"/>
    <w:rsid w:val="003405D9"/>
    <w:rsid w:val="00340EEB"/>
    <w:rsid w:val="00343085"/>
    <w:rsid w:val="00343BA5"/>
    <w:rsid w:val="00346CF0"/>
    <w:rsid w:val="00351A0A"/>
    <w:rsid w:val="00352859"/>
    <w:rsid w:val="0036200E"/>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63B2"/>
    <w:rsid w:val="004373C9"/>
    <w:rsid w:val="0044196C"/>
    <w:rsid w:val="00443420"/>
    <w:rsid w:val="00444D3F"/>
    <w:rsid w:val="00455E3C"/>
    <w:rsid w:val="004602AD"/>
    <w:rsid w:val="00461672"/>
    <w:rsid w:val="004709A1"/>
    <w:rsid w:val="00475B36"/>
    <w:rsid w:val="00476B14"/>
    <w:rsid w:val="00481C68"/>
    <w:rsid w:val="004844DC"/>
    <w:rsid w:val="00486C2B"/>
    <w:rsid w:val="00495730"/>
    <w:rsid w:val="004A02F0"/>
    <w:rsid w:val="004A4BD9"/>
    <w:rsid w:val="004A4FD4"/>
    <w:rsid w:val="004A5036"/>
    <w:rsid w:val="004B3156"/>
    <w:rsid w:val="004C16AD"/>
    <w:rsid w:val="004C6B19"/>
    <w:rsid w:val="004D3B21"/>
    <w:rsid w:val="004E4418"/>
    <w:rsid w:val="004E7719"/>
    <w:rsid w:val="005074AA"/>
    <w:rsid w:val="0053399B"/>
    <w:rsid w:val="0053589C"/>
    <w:rsid w:val="00564C6D"/>
    <w:rsid w:val="005761B2"/>
    <w:rsid w:val="005910D1"/>
    <w:rsid w:val="00591847"/>
    <w:rsid w:val="00591E64"/>
    <w:rsid w:val="005B36D9"/>
    <w:rsid w:val="005B6A95"/>
    <w:rsid w:val="005D0E13"/>
    <w:rsid w:val="005E1031"/>
    <w:rsid w:val="005E29AD"/>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0785D"/>
    <w:rsid w:val="00711B7F"/>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97C88"/>
    <w:rsid w:val="007A055E"/>
    <w:rsid w:val="007A1244"/>
    <w:rsid w:val="007B4377"/>
    <w:rsid w:val="007C0D90"/>
    <w:rsid w:val="007C391D"/>
    <w:rsid w:val="007D1C17"/>
    <w:rsid w:val="007D2A88"/>
    <w:rsid w:val="007D2C10"/>
    <w:rsid w:val="007E1C67"/>
    <w:rsid w:val="007E3284"/>
    <w:rsid w:val="007E5AD7"/>
    <w:rsid w:val="007F1354"/>
    <w:rsid w:val="007F4526"/>
    <w:rsid w:val="008146E9"/>
    <w:rsid w:val="00844046"/>
    <w:rsid w:val="008524F0"/>
    <w:rsid w:val="008557BC"/>
    <w:rsid w:val="00856C7C"/>
    <w:rsid w:val="0086051F"/>
    <w:rsid w:val="008632BF"/>
    <w:rsid w:val="008642DA"/>
    <w:rsid w:val="008743F4"/>
    <w:rsid w:val="00882814"/>
    <w:rsid w:val="008828A9"/>
    <w:rsid w:val="00885742"/>
    <w:rsid w:val="00887285"/>
    <w:rsid w:val="0089254B"/>
    <w:rsid w:val="008A5911"/>
    <w:rsid w:val="008A5C1D"/>
    <w:rsid w:val="008B44D7"/>
    <w:rsid w:val="008D0A1D"/>
    <w:rsid w:val="008D1489"/>
    <w:rsid w:val="008D387D"/>
    <w:rsid w:val="008D4796"/>
    <w:rsid w:val="008E0382"/>
    <w:rsid w:val="008E03A3"/>
    <w:rsid w:val="008E417C"/>
    <w:rsid w:val="008E6916"/>
    <w:rsid w:val="009027F9"/>
    <w:rsid w:val="00904554"/>
    <w:rsid w:val="009047F4"/>
    <w:rsid w:val="009070E1"/>
    <w:rsid w:val="0092357D"/>
    <w:rsid w:val="009271E0"/>
    <w:rsid w:val="00930ABE"/>
    <w:rsid w:val="00930E1C"/>
    <w:rsid w:val="009344C0"/>
    <w:rsid w:val="00940D7D"/>
    <w:rsid w:val="00945712"/>
    <w:rsid w:val="00945CD3"/>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9F5885"/>
    <w:rsid w:val="00A0243B"/>
    <w:rsid w:val="00A06754"/>
    <w:rsid w:val="00A21037"/>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695F"/>
    <w:rsid w:val="00AD731D"/>
    <w:rsid w:val="00AE05D3"/>
    <w:rsid w:val="00AE1426"/>
    <w:rsid w:val="00AE6B54"/>
    <w:rsid w:val="00AE70BF"/>
    <w:rsid w:val="00AF4C00"/>
    <w:rsid w:val="00AF517E"/>
    <w:rsid w:val="00B00F7A"/>
    <w:rsid w:val="00B10601"/>
    <w:rsid w:val="00B13426"/>
    <w:rsid w:val="00B14CBC"/>
    <w:rsid w:val="00B31727"/>
    <w:rsid w:val="00B36EE5"/>
    <w:rsid w:val="00B4343F"/>
    <w:rsid w:val="00B62C2D"/>
    <w:rsid w:val="00B73ECB"/>
    <w:rsid w:val="00B82F37"/>
    <w:rsid w:val="00B837E8"/>
    <w:rsid w:val="00B86109"/>
    <w:rsid w:val="00BB1620"/>
    <w:rsid w:val="00BB408D"/>
    <w:rsid w:val="00BB4528"/>
    <w:rsid w:val="00BE370B"/>
    <w:rsid w:val="00BE7950"/>
    <w:rsid w:val="00BF24F6"/>
    <w:rsid w:val="00C05011"/>
    <w:rsid w:val="00C052C4"/>
    <w:rsid w:val="00C07952"/>
    <w:rsid w:val="00C24149"/>
    <w:rsid w:val="00C43A22"/>
    <w:rsid w:val="00C44B7E"/>
    <w:rsid w:val="00C57F82"/>
    <w:rsid w:val="00C76E98"/>
    <w:rsid w:val="00C8353B"/>
    <w:rsid w:val="00C85FD5"/>
    <w:rsid w:val="00C91798"/>
    <w:rsid w:val="00C920B9"/>
    <w:rsid w:val="00C93F6F"/>
    <w:rsid w:val="00CA3222"/>
    <w:rsid w:val="00CA35B5"/>
    <w:rsid w:val="00CA4DD5"/>
    <w:rsid w:val="00CA4E7D"/>
    <w:rsid w:val="00CA62D3"/>
    <w:rsid w:val="00CA6794"/>
    <w:rsid w:val="00CF0436"/>
    <w:rsid w:val="00CF77A9"/>
    <w:rsid w:val="00CF79FA"/>
    <w:rsid w:val="00D02D58"/>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82ECC"/>
    <w:rsid w:val="00D96438"/>
    <w:rsid w:val="00DA7802"/>
    <w:rsid w:val="00DB74B1"/>
    <w:rsid w:val="00DC16D7"/>
    <w:rsid w:val="00DC28B8"/>
    <w:rsid w:val="00DC3714"/>
    <w:rsid w:val="00DC7712"/>
    <w:rsid w:val="00DD068A"/>
    <w:rsid w:val="00DE07F1"/>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0222"/>
    <w:rsid w:val="00EE5639"/>
    <w:rsid w:val="00EF499E"/>
    <w:rsid w:val="00F0619C"/>
    <w:rsid w:val="00F20A3D"/>
    <w:rsid w:val="00F22A07"/>
    <w:rsid w:val="00F2779C"/>
    <w:rsid w:val="00F37C15"/>
    <w:rsid w:val="00F41FA5"/>
    <w:rsid w:val="00F44625"/>
    <w:rsid w:val="00F53256"/>
    <w:rsid w:val="00F65963"/>
    <w:rsid w:val="00F84220"/>
    <w:rsid w:val="00F852AC"/>
    <w:rsid w:val="00F87A6E"/>
    <w:rsid w:val="00F97A77"/>
    <w:rsid w:val="00FA5E9E"/>
    <w:rsid w:val="00FB10D0"/>
    <w:rsid w:val="00FB30B4"/>
    <w:rsid w:val="00FB3A29"/>
    <w:rsid w:val="00FB3D3C"/>
    <w:rsid w:val="00FC0269"/>
    <w:rsid w:val="00FC0425"/>
    <w:rsid w:val="00FC29AE"/>
    <w:rsid w:val="00FD235E"/>
    <w:rsid w:val="00FD42A4"/>
    <w:rsid w:val="00FD55E6"/>
    <w:rsid w:val="00FD60A0"/>
    <w:rsid w:val="00FD759F"/>
    <w:rsid w:val="00FE198C"/>
    <w:rsid w:val="00FE1C38"/>
    <w:rsid w:val="00FF1256"/>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73352">
      <w:bodyDiv w:val="1"/>
      <w:marLeft w:val="0"/>
      <w:marRight w:val="0"/>
      <w:marTop w:val="0"/>
      <w:marBottom w:val="0"/>
      <w:divBdr>
        <w:top w:val="none" w:sz="0" w:space="0" w:color="auto"/>
        <w:left w:val="none" w:sz="0" w:space="0" w:color="auto"/>
        <w:bottom w:val="none" w:sz="0" w:space="0" w:color="auto"/>
        <w:right w:val="none" w:sz="0" w:space="0" w:color="auto"/>
      </w:divBdr>
    </w:div>
    <w:div w:id="627399842">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122842103">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REGU-184-6562325</_dlc_DocId>
    <_dlc_DocIdUrl xmlns="9be56660-2c31-41ef-bc00-23e72f632f2a">
      <Url>https://cyfoethnaturiolcymru.sharepoint.com/teams/Regulatory/Permitting/_layouts/15/DocIdRedir.aspx?ID=REGU-184-6562325</Url>
      <Description>REGU-184-6562325</Description>
    </_dlc_DocIdUrl>
    <License_x002f_Activity_x0020_Type xmlns="859f7ad6-93f6-4205-b62b-a17f28acbbac">6. EPR Groundwater Permits</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The Nook</Site_x0020_Name>
    <Internal_x002f_External xmlns="859f7ad6-93f6-4205-b62b-a17f28acbbac">Internal document</Internal_x002f_External>
    <Post_x0020_code xmlns="859f7ad6-93f6-4205-b62b-a17f28acbbac">NP16 6RE</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The Nook, Earlswood, Shirenewton, NP16 6RE</Addressee>
    <Process_x0020_Type xmlns="859f7ad6-93f6-4205-b62b-a17f28acbbac">Application</Process_x0020_Type>
    <Surrendered_x002f_Expired xmlns="859f7ad6-93f6-4205-b62b-a17f28acbbac" xsi:nil="true"/>
    <Document_x0020_Date xmlns="859f7ad6-93f6-4205-b62b-a17f28acbbac">2023-08-10T23:00:00+00:00</Document_x0020_Date>
    <Facility_x0020_Address xmlns="859f7ad6-93f6-4205-b62b-a17f28acbbac">Earlswood, Shirenewton</Facility_x0020_Address>
    <Environment_x0020_Sub_x0020_Folder xmlns="859f7ad6-93f6-4205-b62b-a17f28acbbac">Licences applications</Environment_x0020_Sub_x0020_Folder>
    <Customer_x0020_Name xmlns="859f7ad6-93f6-4205-b62b-a17f28acbbac">Mr Martin Hall</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99220A-6189-4512-B8C9-C78B60F1F25A}"/>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b67299c9-1600-4d20-976e-ea8f199d05b8"/>
    <ds:schemaRef ds:uri="http://purl.org/dc/dcmitype/"/>
    <ds:schemaRef ds:uri="859f7ad6-93f6-4205-b62b-a17f28acbbac"/>
    <ds:schemaRef ds:uri="http://schemas.microsoft.com/office/2006/documentManagement/types"/>
    <ds:schemaRef ds:uri="6e121689-de5b-41b9-a751-bfeda7fa2b07"/>
    <ds:schemaRef ds:uri="http://purl.org/dc/elements/1.1/"/>
    <ds:schemaRef ds:uri="9be56660-2c31-41ef-bc00-23e72f632f2a"/>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831</Words>
  <Characters>4588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21</cp:revision>
  <cp:lastPrinted>2008-01-30T13:54:00Z</cp:lastPrinted>
  <dcterms:created xsi:type="dcterms:W3CDTF">2023-07-06T11:30:00Z</dcterms:created>
  <dcterms:modified xsi:type="dcterms:W3CDTF">2023-08-11T13:58:00Z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609c1e6d-1f5b-485f-b3cd-910c49604e31</vt:lpwstr>
  </property>
  <property fmtid="{D5CDD505-2E9C-101B-9397-08002B2CF9AE}" pid="11" name="SharedWithUsers">
    <vt:lpwstr/>
  </property>
  <property fmtid="{D5CDD505-2E9C-101B-9397-08002B2CF9AE}" pid="12" name="MediaServiceImageTags">
    <vt:lpwstr/>
  </property>
</Properties>
</file>