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3FBCD42C" w14:textId="5801624A" w:rsidR="00904554" w:rsidRDefault="002B51C3" w:rsidP="00904554">
      <w:pPr>
        <w:spacing w:after="120"/>
        <w:jc w:val="both"/>
        <w:rPr>
          <w:rFonts w:ascii="Arial" w:hAnsi="Arial" w:cs="Arial"/>
          <w:szCs w:val="24"/>
        </w:rPr>
      </w:pPr>
      <w:r w:rsidRPr="00C331A5">
        <w:rPr>
          <w:rFonts w:ascii="Arial" w:hAnsi="Arial" w:cs="Arial"/>
          <w:szCs w:val="24"/>
        </w:rPr>
        <w:t xml:space="preserve">We have decided to grant the permit for </w:t>
      </w:r>
      <w:r w:rsidR="005E29AD">
        <w:rPr>
          <w:rFonts w:ascii="Arial" w:hAnsi="Arial" w:cs="Arial"/>
          <w:szCs w:val="24"/>
        </w:rPr>
        <w:t>a s</w:t>
      </w:r>
      <w:r w:rsidR="005E29AD" w:rsidRPr="005E29AD">
        <w:rPr>
          <w:rFonts w:ascii="Arial" w:hAnsi="Arial" w:cs="Arial"/>
          <w:szCs w:val="24"/>
        </w:rPr>
        <w:t xml:space="preserve">eptic tank and infiltration system serving </w:t>
      </w:r>
      <w:r w:rsidR="00BB79A4">
        <w:rPr>
          <w:rFonts w:ascii="Arial" w:hAnsi="Arial" w:cs="Arial"/>
          <w:szCs w:val="24"/>
        </w:rPr>
        <w:t>Delyn Aur</w:t>
      </w:r>
      <w:r w:rsidR="005E29AD">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0247A3">
        <w:rPr>
          <w:rFonts w:ascii="Arial" w:hAnsi="Arial" w:cs="Arial"/>
          <w:szCs w:val="24"/>
        </w:rPr>
        <w:t>Mr. Alex Phillips.</w:t>
      </w:r>
      <w:r w:rsidR="00BB79A4">
        <w:rPr>
          <w:rFonts w:ascii="Arial" w:hAnsi="Arial" w:cs="Arial"/>
          <w:szCs w:val="24"/>
        </w:rPr>
        <w:t xml:space="preserve"> </w:t>
      </w:r>
      <w:r w:rsidR="00904554">
        <w:rPr>
          <w:rFonts w:ascii="Arial" w:hAnsi="Arial" w:cs="Arial"/>
          <w:szCs w:val="24"/>
        </w:rPr>
        <w:t xml:space="preserve"> </w:t>
      </w:r>
    </w:p>
    <w:p w14:paraId="71E67398" w14:textId="1F931661" w:rsidR="002B51C3" w:rsidRPr="00904554" w:rsidRDefault="002B51C3" w:rsidP="00904554">
      <w:pPr>
        <w:spacing w:after="120"/>
        <w:jc w:val="both"/>
        <w:rPr>
          <w:rFonts w:ascii="Arial" w:hAnsi="Arial" w:cs="Arial"/>
          <w:szCs w:val="24"/>
        </w:rPr>
      </w:pPr>
      <w:r w:rsidRPr="00C331A5">
        <w:rPr>
          <w:rFonts w:ascii="Arial" w:hAnsi="Arial"/>
          <w:kern w:val="28"/>
          <w:szCs w:val="24"/>
        </w:rPr>
        <w:t xml:space="preserve">The application number is </w:t>
      </w:r>
      <w:r w:rsidRPr="00C331A5">
        <w:rPr>
          <w:rFonts w:ascii="Arial" w:hAnsi="Arial"/>
          <w:szCs w:val="24"/>
        </w:rPr>
        <w:t>PAN-</w:t>
      </w:r>
      <w:r w:rsidR="00797C88">
        <w:rPr>
          <w:rFonts w:ascii="Arial" w:hAnsi="Arial"/>
          <w:szCs w:val="24"/>
        </w:rPr>
        <w:t>02</w:t>
      </w:r>
      <w:r w:rsidR="00BB79A4">
        <w:rPr>
          <w:rFonts w:ascii="Arial" w:hAnsi="Arial"/>
          <w:szCs w:val="24"/>
        </w:rPr>
        <w:t>2</w:t>
      </w:r>
      <w:r w:rsidR="000247A3">
        <w:rPr>
          <w:rFonts w:ascii="Arial" w:hAnsi="Arial"/>
          <w:szCs w:val="24"/>
        </w:rPr>
        <w:t>418</w:t>
      </w:r>
      <w:r w:rsidR="00BB79A4">
        <w:rPr>
          <w:rFonts w:ascii="Arial" w:hAnsi="Arial"/>
          <w:szCs w:val="24"/>
        </w:rPr>
        <w:t xml:space="preserve">. </w:t>
      </w:r>
      <w:r w:rsidR="00495730">
        <w:rPr>
          <w:rFonts w:ascii="Arial" w:hAnsi="Arial"/>
          <w:szCs w:val="24"/>
        </w:rPr>
        <w:t xml:space="preserve"> </w:t>
      </w:r>
      <w:r w:rsidRPr="00C331A5">
        <w:rPr>
          <w:rFonts w:ascii="Arial" w:hAnsi="Arial"/>
          <w:szCs w:val="24"/>
        </w:rPr>
        <w:t xml:space="preserve"> </w:t>
      </w:r>
    </w:p>
    <w:p w14:paraId="30ED917F" w14:textId="5A926116" w:rsidR="002B51C3" w:rsidRDefault="002B51C3" w:rsidP="002B51C3">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746A0" w:rsidRPr="000746A0">
        <w:rPr>
          <w:rFonts w:ascii="Arial" w:hAnsi="Arial"/>
          <w:szCs w:val="24"/>
        </w:rPr>
        <w:t>EPR/CB3994HY</w:t>
      </w:r>
      <w:r w:rsidR="000746A0" w:rsidRPr="000746A0">
        <w:rPr>
          <w:rFonts w:ascii="Arial" w:hAnsi="Arial"/>
          <w:szCs w:val="24"/>
        </w:rPr>
        <w:t xml:space="preserve">. </w:t>
      </w:r>
    </w:p>
    <w:p w14:paraId="24F3719B" w14:textId="77777777" w:rsidR="002B51C3" w:rsidRPr="0014332B" w:rsidRDefault="002B51C3" w:rsidP="002B51C3">
      <w:pPr>
        <w:tabs>
          <w:tab w:val="left" w:pos="4253"/>
          <w:tab w:val="left" w:pos="6804"/>
        </w:tabs>
        <w:spacing w:after="120"/>
        <w:jc w:val="both"/>
        <w:rPr>
          <w:rFonts w:ascii="Arial" w:hAnsi="Arial"/>
          <w:szCs w:val="24"/>
        </w:rPr>
      </w:pPr>
    </w:p>
    <w:p w14:paraId="24EC663D" w14:textId="22695A38" w:rsidR="008D60B0" w:rsidRDefault="008D60B0" w:rsidP="008D60B0">
      <w:pPr>
        <w:pStyle w:val="Draftingnote"/>
        <w:jc w:val="both"/>
        <w:rPr>
          <w:bCs/>
          <w:i w:val="0"/>
          <w:color w:val="000000"/>
          <w:sz w:val="22"/>
          <w:szCs w:val="22"/>
        </w:rPr>
      </w:pPr>
      <w:bookmarkStart w:id="2" w:name="_Hlk141433955"/>
      <w:bookmarkEnd w:id="0"/>
      <w:bookmarkEnd w:id="1"/>
      <w:r w:rsidRPr="00D8664E">
        <w:rPr>
          <w:bCs/>
          <w:i w:val="0"/>
          <w:color w:val="000000"/>
          <w:sz w:val="22"/>
          <w:szCs w:val="22"/>
        </w:rPr>
        <w:t>The permit regulates an existing ground water discharge from</w:t>
      </w:r>
      <w:r>
        <w:rPr>
          <w:bCs/>
          <w:i w:val="0"/>
          <w:color w:val="000000"/>
          <w:sz w:val="22"/>
          <w:szCs w:val="22"/>
        </w:rPr>
        <w:t xml:space="preserve"> two</w:t>
      </w:r>
      <w:r w:rsidRPr="00D8664E">
        <w:rPr>
          <w:bCs/>
          <w:i w:val="0"/>
          <w:color w:val="000000"/>
          <w:sz w:val="22"/>
          <w:szCs w:val="22"/>
        </w:rPr>
        <w:t xml:space="preserve"> septic tank </w:t>
      </w:r>
      <w:r>
        <w:rPr>
          <w:bCs/>
          <w:i w:val="0"/>
          <w:color w:val="000000"/>
          <w:sz w:val="22"/>
          <w:szCs w:val="22"/>
        </w:rPr>
        <w:t xml:space="preserve">and infiltration systems </w:t>
      </w:r>
      <w:r w:rsidRPr="00D8664E">
        <w:rPr>
          <w:bCs/>
          <w:i w:val="0"/>
          <w:color w:val="000000"/>
          <w:sz w:val="22"/>
          <w:szCs w:val="22"/>
        </w:rPr>
        <w:t xml:space="preserve">at The Dawn of Day, </w:t>
      </w:r>
      <w:proofErr w:type="spellStart"/>
      <w:r w:rsidRPr="00D8664E">
        <w:rPr>
          <w:bCs/>
          <w:i w:val="0"/>
          <w:color w:val="000000"/>
          <w:sz w:val="22"/>
          <w:szCs w:val="22"/>
        </w:rPr>
        <w:t>Grosmont</w:t>
      </w:r>
      <w:proofErr w:type="spellEnd"/>
      <w:r w:rsidRPr="00D8664E">
        <w:rPr>
          <w:bCs/>
          <w:i w:val="0"/>
          <w:color w:val="000000"/>
          <w:sz w:val="22"/>
          <w:szCs w:val="22"/>
        </w:rPr>
        <w:t xml:space="preserve">, </w:t>
      </w:r>
      <w:r w:rsidR="00E40DB5">
        <w:rPr>
          <w:bCs/>
          <w:i w:val="0"/>
          <w:color w:val="000000"/>
          <w:sz w:val="22"/>
          <w:szCs w:val="22"/>
        </w:rPr>
        <w:t xml:space="preserve">Abergavenny, </w:t>
      </w:r>
      <w:r w:rsidRPr="00D8664E">
        <w:rPr>
          <w:bCs/>
          <w:i w:val="0"/>
          <w:color w:val="000000"/>
          <w:sz w:val="22"/>
          <w:szCs w:val="22"/>
        </w:rPr>
        <w:t>NP7 8NA. The system serves a single domestic property</w:t>
      </w:r>
      <w:r>
        <w:rPr>
          <w:bCs/>
          <w:i w:val="0"/>
          <w:color w:val="000000"/>
          <w:sz w:val="22"/>
          <w:szCs w:val="22"/>
        </w:rPr>
        <w:t xml:space="preserve"> which relies on a borehole within 50 metres of the infiltration system to supply domestic water. The proximity of the borehole to the infiltration system rules out exemption eligibility. </w:t>
      </w:r>
      <w:r w:rsidRPr="00D8664E">
        <w:rPr>
          <w:bCs/>
          <w:i w:val="0"/>
          <w:color w:val="000000"/>
          <w:sz w:val="22"/>
          <w:szCs w:val="22"/>
        </w:rPr>
        <w:t>The system has a total daily discharge of 1.5</w:t>
      </w:r>
      <w:r>
        <w:rPr>
          <w:bCs/>
          <w:i w:val="0"/>
          <w:color w:val="000000"/>
          <w:sz w:val="22"/>
          <w:szCs w:val="22"/>
        </w:rPr>
        <w:t xml:space="preserve"> cubic metres.</w:t>
      </w:r>
    </w:p>
    <w:bookmarkEnd w:id="2"/>
    <w:p w14:paraId="297351BF" w14:textId="77777777" w:rsidR="00AF27A2" w:rsidRDefault="00AF27A2"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Pr="00F31A19"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w:t>
      </w:r>
      <w:r w:rsidRPr="00F31A19">
        <w:rPr>
          <w:rFonts w:ascii="Arial" w:hAnsi="Arial"/>
        </w:rPr>
        <w:t>applicant’s proposals.</w:t>
      </w:r>
    </w:p>
    <w:p w14:paraId="3B7F329E" w14:textId="77777777" w:rsidR="002B51C3" w:rsidRPr="00F31A19" w:rsidRDefault="002B51C3" w:rsidP="002B51C3">
      <w:pPr>
        <w:jc w:val="both"/>
        <w:rPr>
          <w:rFonts w:ascii="Arial" w:hAnsi="Arial"/>
          <w:szCs w:val="24"/>
        </w:rPr>
      </w:pPr>
    </w:p>
    <w:p w14:paraId="19C59990" w14:textId="77777777" w:rsidR="002B51C3" w:rsidRPr="00F31A19" w:rsidRDefault="002B51C3" w:rsidP="002B51C3">
      <w:pPr>
        <w:jc w:val="both"/>
        <w:rPr>
          <w:rFonts w:ascii="Arial" w:hAnsi="Arial"/>
          <w:b/>
          <w:szCs w:val="24"/>
        </w:rPr>
      </w:pPr>
    </w:p>
    <w:p w14:paraId="4CA0EBB3" w14:textId="77777777" w:rsidR="002B51C3" w:rsidRPr="00F31A19" w:rsidRDefault="002B51C3" w:rsidP="002B51C3">
      <w:pPr>
        <w:jc w:val="both"/>
        <w:rPr>
          <w:rFonts w:ascii="Arial" w:hAnsi="Arial"/>
          <w:b/>
          <w:caps/>
          <w:sz w:val="28"/>
          <w:szCs w:val="28"/>
        </w:rPr>
      </w:pPr>
      <w:r w:rsidRPr="00F31A19">
        <w:rPr>
          <w:rFonts w:ascii="Arial" w:hAnsi="Arial"/>
          <w:b/>
          <w:sz w:val="28"/>
          <w:szCs w:val="28"/>
        </w:rPr>
        <w:t>Structure of this document</w:t>
      </w:r>
    </w:p>
    <w:p w14:paraId="547F0951" w14:textId="77777777" w:rsidR="002B51C3" w:rsidRPr="00F31A19" w:rsidRDefault="002B51C3" w:rsidP="002B51C3">
      <w:pPr>
        <w:pStyle w:val="Heading8"/>
        <w:jc w:val="both"/>
        <w:rPr>
          <w:caps w:val="0"/>
          <w:sz w:val="20"/>
        </w:rPr>
      </w:pPr>
    </w:p>
    <w:p w14:paraId="049FB3E6" w14:textId="4CC89451" w:rsidR="002B51C3" w:rsidRPr="00F31A19" w:rsidRDefault="002B51C3" w:rsidP="00B4343F">
      <w:pPr>
        <w:numPr>
          <w:ilvl w:val="0"/>
          <w:numId w:val="17"/>
        </w:numPr>
        <w:tabs>
          <w:tab w:val="clear" w:pos="1440"/>
          <w:tab w:val="num" w:pos="1134"/>
        </w:tabs>
        <w:spacing w:after="60"/>
        <w:ind w:left="1134" w:hanging="567"/>
        <w:jc w:val="both"/>
        <w:rPr>
          <w:rFonts w:ascii="Arial" w:hAnsi="Arial"/>
        </w:rPr>
      </w:pPr>
      <w:r w:rsidRPr="00F31A19">
        <w:rPr>
          <w:rFonts w:ascii="Arial" w:hAnsi="Arial"/>
          <w:szCs w:val="24"/>
        </w:rPr>
        <w:t xml:space="preserve">Annex 1 the decision checklist. </w:t>
      </w:r>
    </w:p>
    <w:p w14:paraId="3C4F6335" w14:textId="11619E7A" w:rsidR="000F77D7" w:rsidRPr="00F31A19" w:rsidRDefault="000F77D7" w:rsidP="000F77D7">
      <w:pPr>
        <w:numPr>
          <w:ilvl w:val="0"/>
          <w:numId w:val="17"/>
        </w:numPr>
        <w:tabs>
          <w:tab w:val="clear" w:pos="1440"/>
          <w:tab w:val="num" w:pos="1134"/>
        </w:tabs>
        <w:spacing w:after="120"/>
        <w:ind w:left="1134" w:hanging="567"/>
        <w:rPr>
          <w:rFonts w:ascii="Arial" w:hAnsi="Arial"/>
        </w:rPr>
      </w:pPr>
      <w:r w:rsidRPr="00F31A19">
        <w:rPr>
          <w:rFonts w:ascii="Arial" w:hAnsi="Arial"/>
          <w:szCs w:val="24"/>
        </w:rPr>
        <w:t>Annex 2 the consultation responses</w:t>
      </w:r>
    </w:p>
    <w:p w14:paraId="45EECB74" w14:textId="61DF4A06" w:rsidR="00797C88" w:rsidRPr="00B4343F" w:rsidRDefault="00797C88" w:rsidP="00443420">
      <w:pPr>
        <w:spacing w:after="60"/>
        <w:ind w:left="567"/>
        <w:jc w:val="both"/>
        <w:rPr>
          <w:rFonts w:ascii="Arial" w:hAnsi="Arial"/>
        </w:rPr>
      </w:pP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7F0C68A3" w14:textId="0F678D7B" w:rsidR="00B848D7" w:rsidRPr="00832577" w:rsidRDefault="00B848D7" w:rsidP="00B848D7">
            <w:pPr>
              <w:spacing w:before="60"/>
              <w:rPr>
                <w:rFonts w:ascii="Arial" w:hAnsi="Arial" w:cs="Arial"/>
                <w:szCs w:val="24"/>
              </w:rPr>
            </w:pPr>
            <w:r w:rsidRPr="00832577">
              <w:rPr>
                <w:rFonts w:ascii="Arial" w:hAnsi="Arial" w:cs="Arial"/>
                <w:szCs w:val="24"/>
              </w:rPr>
              <w:t xml:space="preserve">The consultation responses (Annex 2) were </w:t>
            </w:r>
            <w:proofErr w:type="gramStart"/>
            <w:r w:rsidRPr="00832577">
              <w:rPr>
                <w:rFonts w:ascii="Arial" w:hAnsi="Arial" w:cs="Arial"/>
                <w:szCs w:val="24"/>
              </w:rPr>
              <w:t>taken into account</w:t>
            </w:r>
            <w:proofErr w:type="gramEnd"/>
            <w:r w:rsidRPr="00832577">
              <w:rPr>
                <w:rFonts w:ascii="Arial" w:hAnsi="Arial" w:cs="Arial"/>
                <w:szCs w:val="24"/>
              </w:rPr>
              <w:t xml:space="preserve"> in the decision.  </w:t>
            </w:r>
          </w:p>
          <w:p w14:paraId="75FA48E5" w14:textId="77777777" w:rsidR="00B848D7" w:rsidRPr="00832577" w:rsidRDefault="00B848D7" w:rsidP="004602AD">
            <w:pPr>
              <w:spacing w:before="60"/>
              <w:jc w:val="both"/>
              <w:rPr>
                <w:rFonts w:ascii="Arial" w:hAnsi="Arial" w:cs="Arial"/>
                <w:szCs w:val="24"/>
              </w:rPr>
            </w:pPr>
          </w:p>
          <w:p w14:paraId="5677A216" w14:textId="64D90DFB" w:rsidR="004602AD" w:rsidRPr="00832577" w:rsidRDefault="004602AD" w:rsidP="004602AD">
            <w:pPr>
              <w:spacing w:before="60"/>
              <w:jc w:val="both"/>
              <w:rPr>
                <w:rFonts w:ascii="Arial" w:hAnsi="Arial" w:cs="Arial"/>
                <w:szCs w:val="24"/>
              </w:rPr>
            </w:pPr>
            <w:r w:rsidRPr="00832577">
              <w:rPr>
                <w:rFonts w:ascii="Arial" w:hAnsi="Arial" w:cs="Arial"/>
                <w:szCs w:val="24"/>
              </w:rPr>
              <w:t xml:space="preserve">No </w:t>
            </w:r>
            <w:r w:rsidR="00797C88" w:rsidRPr="00832577">
              <w:rPr>
                <w:rFonts w:ascii="Arial" w:hAnsi="Arial" w:cs="Arial"/>
                <w:szCs w:val="24"/>
              </w:rPr>
              <w:t xml:space="preserve">web </w:t>
            </w:r>
            <w:r w:rsidRPr="00832577">
              <w:rPr>
                <w:rFonts w:ascii="Arial" w:hAnsi="Arial" w:cs="Arial"/>
                <w:szCs w:val="24"/>
              </w:rPr>
              <w:t xml:space="preserve">consultation </w:t>
            </w:r>
            <w:proofErr w:type="spellStart"/>
            <w:r w:rsidRPr="00832577">
              <w:rPr>
                <w:rFonts w:ascii="Arial" w:hAnsi="Arial" w:cs="Arial"/>
                <w:szCs w:val="24"/>
              </w:rPr>
              <w:t>reponses</w:t>
            </w:r>
            <w:proofErr w:type="spellEnd"/>
            <w:r w:rsidRPr="00832577">
              <w:rPr>
                <w:rFonts w:ascii="Arial" w:hAnsi="Arial" w:cs="Arial"/>
                <w:szCs w:val="24"/>
              </w:rPr>
              <w:t xml:space="preserve"> were received. </w:t>
            </w:r>
          </w:p>
          <w:p w14:paraId="384FD46B" w14:textId="7AB8F23D" w:rsidR="00797C88" w:rsidRPr="00832577" w:rsidRDefault="00797C88" w:rsidP="003271F0">
            <w:pPr>
              <w:spacing w:before="60"/>
              <w:jc w:val="both"/>
              <w:rPr>
                <w:rFonts w:ascii="Arial" w:hAnsi="Arial" w:cs="Arial"/>
                <w:szCs w:val="24"/>
              </w:rPr>
            </w:pPr>
          </w:p>
          <w:p w14:paraId="524348C3" w14:textId="77777777" w:rsidR="002B51C3" w:rsidRPr="00832577" w:rsidRDefault="002B51C3" w:rsidP="003271F0">
            <w:pPr>
              <w:spacing w:before="60"/>
              <w:jc w:val="both"/>
              <w:rPr>
                <w:rFonts w:ascii="Arial" w:hAnsi="Arial" w:cs="Arial"/>
                <w:szCs w:val="24"/>
              </w:rPr>
            </w:pPr>
            <w:r w:rsidRPr="00832577">
              <w:rPr>
                <w:rFonts w:ascii="Arial" w:hAnsi="Arial" w:cs="Arial"/>
                <w:szCs w:val="24"/>
              </w:rPr>
              <w:t xml:space="preserve">The decision was taken in accordance with our guidance. </w:t>
            </w:r>
          </w:p>
          <w:p w14:paraId="7A4B40F8" w14:textId="77777777" w:rsidR="002B51C3" w:rsidRPr="00832577"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71998744" w14:textId="77777777" w:rsidTr="003271F0">
        <w:tc>
          <w:tcPr>
            <w:tcW w:w="9302" w:type="dxa"/>
            <w:gridSpan w:val="4"/>
            <w:shd w:val="clear" w:color="auto" w:fill="0070C0"/>
          </w:tcPr>
          <w:p w14:paraId="351494B4"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facility</w:t>
            </w:r>
          </w:p>
        </w:tc>
      </w:tr>
      <w:tr w:rsidR="002B51C3" w:rsidRPr="007820C3" w14:paraId="76102C87" w14:textId="77777777" w:rsidTr="003271F0">
        <w:trPr>
          <w:gridAfter w:val="1"/>
          <w:wAfter w:w="13" w:type="dxa"/>
        </w:trPr>
        <w:tc>
          <w:tcPr>
            <w:tcW w:w="1951" w:type="dxa"/>
            <w:tcBorders>
              <w:bottom w:val="single" w:sz="4" w:space="0" w:color="auto"/>
            </w:tcBorders>
          </w:tcPr>
          <w:p w14:paraId="29E73FA7"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t xml:space="preserve">The </w:t>
            </w:r>
            <w:proofErr w:type="gramStart"/>
            <w:r w:rsidRPr="007820C3">
              <w:rPr>
                <w:rFonts w:ascii="Arial" w:hAnsi="Arial" w:cs="Arial"/>
                <w:color w:val="000000"/>
                <w:szCs w:val="24"/>
              </w:rPr>
              <w:t>regulated  facility</w:t>
            </w:r>
            <w:proofErr w:type="gramEnd"/>
            <w:r w:rsidRPr="007820C3">
              <w:rPr>
                <w:rFonts w:ascii="Arial" w:hAnsi="Arial" w:cs="Arial"/>
                <w:color w:val="000000"/>
                <w:szCs w:val="24"/>
              </w:rPr>
              <w:t xml:space="preserve"> </w:t>
            </w:r>
          </w:p>
          <w:p w14:paraId="2781BE90" w14:textId="77777777" w:rsidR="002B51C3" w:rsidRPr="007820C3" w:rsidRDefault="002B51C3" w:rsidP="003271F0">
            <w:pPr>
              <w:jc w:val="both"/>
              <w:rPr>
                <w:rFonts w:ascii="Arial" w:hAnsi="Arial" w:cs="Arial"/>
                <w:color w:val="FF00FF"/>
                <w:szCs w:val="24"/>
                <w:highlight w:val="yellow"/>
              </w:rPr>
            </w:pPr>
          </w:p>
        </w:tc>
        <w:tc>
          <w:tcPr>
            <w:tcW w:w="6266" w:type="dxa"/>
            <w:tcBorders>
              <w:bottom w:val="single" w:sz="4" w:space="0" w:color="auto"/>
            </w:tcBorders>
          </w:tcPr>
          <w:p w14:paraId="21E4BB2A" w14:textId="77777777" w:rsidR="002B51C3" w:rsidRPr="009C3601" w:rsidRDefault="002B51C3" w:rsidP="003271F0">
            <w:pPr>
              <w:jc w:val="both"/>
              <w:rPr>
                <w:rFonts w:ascii="Arial" w:hAnsi="Arial" w:cs="Arial"/>
                <w:szCs w:val="24"/>
              </w:rPr>
            </w:pPr>
            <w:r w:rsidRPr="009C3601">
              <w:rPr>
                <w:rFonts w:ascii="Arial" w:hAnsi="Arial" w:cs="Arial"/>
                <w:szCs w:val="24"/>
              </w:rPr>
              <w:t>The regulated facility is a standalone groundwater activity in accordance with EPR RGN 2 Understanding the meaning of regulated facility.</w:t>
            </w:r>
          </w:p>
          <w:p w14:paraId="5EECEFC1" w14:textId="77777777" w:rsidR="002B51C3" w:rsidRPr="007820C3" w:rsidRDefault="002B51C3" w:rsidP="003271F0">
            <w:pPr>
              <w:jc w:val="both"/>
              <w:rPr>
                <w:rFonts w:ascii="Arial" w:hAnsi="Arial" w:cs="Arial"/>
                <w:b/>
                <w:color w:val="FF0000"/>
                <w:szCs w:val="24"/>
              </w:rPr>
            </w:pPr>
          </w:p>
        </w:tc>
        <w:tc>
          <w:tcPr>
            <w:tcW w:w="1072" w:type="dxa"/>
            <w:tcBorders>
              <w:bottom w:val="single" w:sz="4" w:space="0" w:color="auto"/>
            </w:tcBorders>
          </w:tcPr>
          <w:p w14:paraId="42B6B37A"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FA5E9E" w:rsidRPr="007820C3" w14:paraId="34E03723" w14:textId="77777777" w:rsidTr="003271F0">
        <w:trPr>
          <w:gridAfter w:val="1"/>
          <w:wAfter w:w="13" w:type="dxa"/>
        </w:trPr>
        <w:tc>
          <w:tcPr>
            <w:tcW w:w="1951" w:type="dxa"/>
          </w:tcPr>
          <w:p w14:paraId="7227D38E" w14:textId="77777777" w:rsidR="00FA5E9E" w:rsidRPr="4E0B47CD" w:rsidRDefault="00FA5E9E" w:rsidP="00FA5E9E">
            <w:pPr>
              <w:jc w:val="both"/>
              <w:rPr>
                <w:rFonts w:ascii="Arial" w:hAnsi="Arial" w:cs="Arial"/>
                <w:color w:val="000000" w:themeColor="text1"/>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3D0898E1" w14:textId="040C75F2" w:rsidR="00FA5E9E" w:rsidRPr="00FA5E9E" w:rsidRDefault="00FA5E9E" w:rsidP="00FA5E9E">
            <w:pPr>
              <w:spacing w:before="60"/>
              <w:rPr>
                <w:rFonts w:ascii="Arial" w:hAnsi="Arial" w:cs="Arial"/>
                <w:szCs w:val="24"/>
              </w:rPr>
            </w:pPr>
            <w:r w:rsidRPr="00FA5E9E">
              <w:rPr>
                <w:rFonts w:ascii="Arial" w:hAnsi="Arial" w:cs="Arial"/>
                <w:szCs w:val="24"/>
              </w:rPr>
              <w:lastRenderedPageBreak/>
              <w:t>No FORM 1 completed.</w:t>
            </w:r>
          </w:p>
          <w:p w14:paraId="19A411D5" w14:textId="77777777" w:rsidR="0070785D" w:rsidRDefault="0070785D" w:rsidP="0070785D">
            <w:pPr>
              <w:spacing w:before="60"/>
              <w:rPr>
                <w:rFonts w:ascii="Arial" w:hAnsi="Arial" w:cs="Arial"/>
                <w:szCs w:val="24"/>
              </w:rPr>
            </w:pPr>
          </w:p>
          <w:p w14:paraId="07CE234E" w14:textId="100B395B" w:rsidR="0070785D" w:rsidRPr="009D59DA" w:rsidRDefault="0070785D" w:rsidP="0070785D">
            <w:pPr>
              <w:spacing w:before="60"/>
              <w:rPr>
                <w:rFonts w:ascii="Arial" w:hAnsi="Arial" w:cs="Arial"/>
                <w:szCs w:val="24"/>
              </w:rPr>
            </w:pPr>
            <w:r w:rsidRPr="009D59DA">
              <w:rPr>
                <w:rFonts w:ascii="Arial" w:hAnsi="Arial" w:cs="Arial"/>
                <w:szCs w:val="24"/>
              </w:rPr>
              <w:lastRenderedPageBreak/>
              <w:t xml:space="preserve">HRA is not required because there is no conceivable impact pathway to any Natura 2000/Ramsar site. </w:t>
            </w:r>
          </w:p>
          <w:p w14:paraId="5063A95D" w14:textId="77777777" w:rsidR="00FA5E9E" w:rsidRPr="00AF381B" w:rsidRDefault="00FA5E9E" w:rsidP="00FA5E9E">
            <w:pPr>
              <w:spacing w:before="60"/>
              <w:rPr>
                <w:rFonts w:ascii="Arial" w:hAnsi="Arial" w:cs="Arial"/>
                <w:szCs w:val="24"/>
              </w:rPr>
            </w:pPr>
          </w:p>
        </w:tc>
        <w:tc>
          <w:tcPr>
            <w:tcW w:w="1072" w:type="dxa"/>
          </w:tcPr>
          <w:p w14:paraId="1A652243" w14:textId="60365DA0" w:rsidR="00FA5E9E" w:rsidRPr="00FB30B4" w:rsidRDefault="00FA5E9E" w:rsidP="00FA5E9E">
            <w:pPr>
              <w:jc w:val="both"/>
              <w:rPr>
                <w:rFonts w:ascii="Wingdings" w:eastAsia="Wingdings" w:hAnsi="Wingdings" w:cs="Wingdings"/>
                <w:color w:val="000000"/>
                <w:szCs w:val="24"/>
              </w:rPr>
            </w:pPr>
            <w:r w:rsidRPr="00FB30B4">
              <w:rPr>
                <w:rFonts w:ascii="Wingdings" w:eastAsia="Wingdings" w:hAnsi="Wingdings" w:cs="Wingdings"/>
                <w:color w:val="000000"/>
                <w:szCs w:val="24"/>
              </w:rPr>
              <w:lastRenderedPageBreak/>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7AA9DF3B" w14:textId="77777777" w:rsidR="002B51C3" w:rsidRPr="009A6D32" w:rsidRDefault="002B51C3" w:rsidP="003271F0">
            <w:pPr>
              <w:pStyle w:val="BodyText"/>
              <w:jc w:val="both"/>
              <w:rPr>
                <w:rFonts w:ascii="Arial" w:hAnsi="Arial" w:cs="Arial"/>
                <w:color w:val="auto"/>
                <w:szCs w:val="24"/>
              </w:rPr>
            </w:pPr>
            <w:r w:rsidRPr="009A6D32">
              <w:rPr>
                <w:rFonts w:ascii="Arial" w:hAnsi="Arial" w:cs="Arial"/>
                <w:color w:val="auto"/>
                <w:szCs w:val="24"/>
              </w:rPr>
              <w:t xml:space="preserve">We have reviewed the techniques used by the operator and compared these with the relevant guidance notes. </w:t>
            </w:r>
          </w:p>
          <w:p w14:paraId="61E5E74C" w14:textId="77777777" w:rsidR="002B51C3" w:rsidRPr="009A6D32" w:rsidRDefault="002B51C3" w:rsidP="003271F0">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rsidRPr="007820C3" w14:paraId="42656EC2" w14:textId="77777777" w:rsidTr="003271F0">
        <w:trPr>
          <w:gridAfter w:val="1"/>
          <w:wAfter w:w="13" w:type="dxa"/>
        </w:trPr>
        <w:tc>
          <w:tcPr>
            <w:tcW w:w="1951" w:type="dxa"/>
          </w:tcPr>
          <w:p w14:paraId="7FAA2F70" w14:textId="77777777" w:rsidR="002A43D6" w:rsidRPr="007820C3" w:rsidRDefault="002A43D6" w:rsidP="002A43D6">
            <w:pPr>
              <w:rPr>
                <w:rFonts w:ascii="Arial" w:hAnsi="Arial" w:cs="Arial"/>
                <w:color w:val="000000"/>
                <w:szCs w:val="24"/>
              </w:rPr>
            </w:pPr>
            <w:r w:rsidRPr="007820C3">
              <w:rPr>
                <w:rFonts w:ascii="Arial" w:hAnsi="Arial" w:cs="Arial"/>
                <w:color w:val="000000"/>
                <w:szCs w:val="24"/>
              </w:rPr>
              <w:t>Considerations of foul sewer</w:t>
            </w:r>
          </w:p>
          <w:p w14:paraId="06C9F085" w14:textId="77777777" w:rsidR="002A43D6" w:rsidRPr="007820C3" w:rsidRDefault="002A43D6" w:rsidP="002A43D6">
            <w:pPr>
              <w:jc w:val="both"/>
              <w:rPr>
                <w:rFonts w:ascii="Arial" w:hAnsi="Arial" w:cs="Arial"/>
                <w:szCs w:val="24"/>
              </w:rPr>
            </w:pPr>
          </w:p>
        </w:tc>
        <w:tc>
          <w:tcPr>
            <w:tcW w:w="6266" w:type="dxa"/>
          </w:tcPr>
          <w:p w14:paraId="0C1CCA9A" w14:textId="3EEAD080" w:rsidR="002A43D6" w:rsidRPr="009A6D32" w:rsidRDefault="002A43D6" w:rsidP="002A43D6">
            <w:pPr>
              <w:pStyle w:val="BodyText"/>
              <w:jc w:val="both"/>
              <w:rPr>
                <w:rFonts w:ascii="Arial" w:hAnsi="Arial" w:cs="Arial"/>
                <w:color w:val="auto"/>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79536D5" w14:textId="514D9F3B" w:rsidR="002A43D6" w:rsidRPr="00FB30B4" w:rsidRDefault="002A43D6" w:rsidP="002A43D6">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A43D6" w:rsidRPr="007820C3" w14:paraId="56019022" w14:textId="77777777" w:rsidTr="003271F0">
        <w:tc>
          <w:tcPr>
            <w:tcW w:w="9302" w:type="dxa"/>
            <w:gridSpan w:val="4"/>
            <w:shd w:val="clear" w:color="auto" w:fill="0070C0"/>
          </w:tcPr>
          <w:p w14:paraId="5833CB0D" w14:textId="77777777" w:rsidR="002A43D6" w:rsidRPr="007820C3" w:rsidRDefault="002A43D6" w:rsidP="002A43D6">
            <w:pPr>
              <w:jc w:val="both"/>
              <w:rPr>
                <w:rFonts w:ascii="Arial" w:hAnsi="Arial" w:cs="Arial"/>
                <w:b/>
                <w:color w:val="FFFFFF"/>
                <w:szCs w:val="24"/>
              </w:rPr>
            </w:pPr>
            <w:r w:rsidRPr="007820C3">
              <w:rPr>
                <w:rFonts w:ascii="Arial" w:hAnsi="Arial" w:cs="Arial"/>
                <w:b/>
                <w:color w:val="FFFFFF"/>
                <w:szCs w:val="24"/>
              </w:rPr>
              <w:t>Operator Competence</w:t>
            </w:r>
          </w:p>
        </w:tc>
      </w:tr>
      <w:tr w:rsidR="002A43D6" w:rsidRPr="007820C3" w14:paraId="41A69211" w14:textId="77777777" w:rsidTr="003271F0">
        <w:trPr>
          <w:gridAfter w:val="1"/>
          <w:wAfter w:w="13" w:type="dxa"/>
        </w:trPr>
        <w:tc>
          <w:tcPr>
            <w:tcW w:w="1951" w:type="dxa"/>
          </w:tcPr>
          <w:p w14:paraId="15034890" w14:textId="77777777" w:rsidR="002A43D6" w:rsidRPr="007820C3" w:rsidRDefault="002A43D6" w:rsidP="002A43D6">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A43D6" w:rsidRDefault="002A43D6" w:rsidP="002A43D6">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231DB0E" w14:textId="77777777" w:rsidR="002A43D6" w:rsidRPr="007820C3" w:rsidRDefault="002A43D6" w:rsidP="002A43D6">
            <w:pPr>
              <w:jc w:val="both"/>
              <w:rPr>
                <w:rFonts w:ascii="Arial" w:hAnsi="Arial" w:cs="Arial"/>
                <w:szCs w:val="24"/>
              </w:rPr>
            </w:pPr>
          </w:p>
        </w:tc>
        <w:tc>
          <w:tcPr>
            <w:tcW w:w="1072" w:type="dxa"/>
          </w:tcPr>
          <w:p w14:paraId="3DAD6FCB" w14:textId="77777777" w:rsidR="002A43D6" w:rsidRPr="00FB30B4" w:rsidRDefault="002A43D6" w:rsidP="002A43D6">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rsidRPr="007820C3" w14:paraId="2C451C29" w14:textId="77777777" w:rsidTr="003271F0">
        <w:trPr>
          <w:gridAfter w:val="1"/>
          <w:wAfter w:w="13" w:type="dxa"/>
        </w:trPr>
        <w:tc>
          <w:tcPr>
            <w:tcW w:w="9289" w:type="dxa"/>
            <w:gridSpan w:val="3"/>
            <w:shd w:val="clear" w:color="auto" w:fill="0070C0"/>
          </w:tcPr>
          <w:p w14:paraId="2E3E6F6B" w14:textId="77777777" w:rsidR="002A43D6" w:rsidRPr="00E96702" w:rsidRDefault="002A43D6" w:rsidP="002A43D6">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A43D6" w:rsidRPr="007820C3" w14:paraId="74601745" w14:textId="77777777" w:rsidTr="003271F0">
        <w:trPr>
          <w:gridAfter w:val="1"/>
          <w:wAfter w:w="13" w:type="dxa"/>
        </w:trPr>
        <w:tc>
          <w:tcPr>
            <w:tcW w:w="1951" w:type="dxa"/>
          </w:tcPr>
          <w:p w14:paraId="725624E3" w14:textId="77777777" w:rsidR="002A43D6" w:rsidRDefault="002A43D6" w:rsidP="002A43D6">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2A43D6" w:rsidRPr="00E96702" w:rsidRDefault="002A43D6" w:rsidP="002A43D6">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2A43D6" w:rsidRPr="00E96702" w:rsidRDefault="002A43D6" w:rsidP="002A43D6">
            <w:pPr>
              <w:pStyle w:val="NormalWeb"/>
              <w:jc w:val="both"/>
              <w:rPr>
                <w:rFonts w:ascii="Arial" w:hAnsi="Arial" w:cs="Arial"/>
                <w:color w:val="FF00FF"/>
              </w:rPr>
            </w:pPr>
          </w:p>
        </w:tc>
        <w:tc>
          <w:tcPr>
            <w:tcW w:w="1072" w:type="dxa"/>
          </w:tcPr>
          <w:p w14:paraId="6AF28187" w14:textId="77777777" w:rsidR="002A43D6" w:rsidRDefault="002A43D6" w:rsidP="002A43D6">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14:paraId="5FA17893" w14:textId="77777777" w:rsidTr="003271F0">
        <w:trPr>
          <w:gridAfter w:val="1"/>
          <w:wAfter w:w="13" w:type="dxa"/>
        </w:trPr>
        <w:tc>
          <w:tcPr>
            <w:tcW w:w="9289" w:type="dxa"/>
            <w:gridSpan w:val="3"/>
            <w:shd w:val="clear" w:color="auto" w:fill="0070C0"/>
          </w:tcPr>
          <w:p w14:paraId="25699C64" w14:textId="77777777" w:rsidR="002A43D6" w:rsidRDefault="002A43D6" w:rsidP="002A43D6">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A43D6" w14:paraId="41033192" w14:textId="77777777" w:rsidTr="003271F0">
        <w:trPr>
          <w:gridAfter w:val="1"/>
          <w:wAfter w:w="13" w:type="dxa"/>
        </w:trPr>
        <w:tc>
          <w:tcPr>
            <w:tcW w:w="1951" w:type="dxa"/>
          </w:tcPr>
          <w:p w14:paraId="509B8DD9" w14:textId="77777777" w:rsidR="002A43D6" w:rsidRDefault="002A43D6" w:rsidP="002A43D6">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A43D6" w:rsidRDefault="002A43D6" w:rsidP="002A43D6">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A43D6" w:rsidRDefault="002A43D6" w:rsidP="002A43D6">
            <w:pPr>
              <w:jc w:val="both"/>
              <w:rPr>
                <w:rFonts w:ascii="Arial" w:hAnsi="Arial" w:cs="Arial"/>
                <w:color w:val="000000" w:themeColor="text1"/>
              </w:rPr>
            </w:pPr>
            <w:r w:rsidRPr="396B50C7">
              <w:rPr>
                <w:rFonts w:ascii="Wingdings" w:eastAsia="Wingdings" w:hAnsi="Wingdings" w:cs="Wingdings"/>
                <w:color w:val="000000" w:themeColor="text1"/>
              </w:rPr>
              <w:t>ü</w:t>
            </w:r>
          </w:p>
        </w:tc>
      </w:tr>
    </w:tbl>
    <w:p w14:paraId="51AE3658" w14:textId="5B2CB3AC" w:rsidR="002B51C3" w:rsidRPr="004243F4" w:rsidRDefault="00FA5E9E" w:rsidP="00FA5E9E">
      <w:pPr>
        <w:pStyle w:val="Heading1"/>
        <w:rPr>
          <w:rFonts w:cs="Arial"/>
          <w:color w:val="FF00FF"/>
          <w:szCs w:val="24"/>
        </w:rPr>
      </w:pPr>
      <w:r w:rsidRPr="004243F4">
        <w:rPr>
          <w:rFonts w:cs="Arial"/>
          <w:color w:val="FF00FF"/>
          <w:szCs w:val="24"/>
        </w:rPr>
        <w:t xml:space="preserve"> </w:t>
      </w:r>
    </w:p>
    <w:p w14:paraId="2367BDD7" w14:textId="77777777" w:rsidR="002B51C3" w:rsidRPr="004243F4" w:rsidRDefault="002B51C3" w:rsidP="002B51C3">
      <w:pPr>
        <w:jc w:val="both"/>
        <w:rPr>
          <w:rFonts w:ascii="Arial" w:hAnsi="Arial" w:cs="Arial"/>
        </w:rPr>
      </w:pPr>
    </w:p>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7275A4EB" w14:textId="68BFDA48" w:rsidR="00B848D7" w:rsidRPr="00AF7342" w:rsidRDefault="00B848D7" w:rsidP="00B848D7">
      <w:pPr>
        <w:pStyle w:val="Heading1"/>
        <w:jc w:val="left"/>
        <w:rPr>
          <w:color w:val="auto"/>
          <w:sz w:val="24"/>
        </w:rPr>
      </w:pPr>
      <w:r w:rsidRPr="00AF7342">
        <w:rPr>
          <w:color w:val="auto"/>
          <w:sz w:val="24"/>
        </w:rPr>
        <w:lastRenderedPageBreak/>
        <w:t xml:space="preserve">Annex 2: Consultation and web publicising responses </w:t>
      </w:r>
    </w:p>
    <w:p w14:paraId="2644C907" w14:textId="77777777" w:rsidR="00B848D7" w:rsidRPr="00AF7342" w:rsidRDefault="00B848D7" w:rsidP="00B848D7">
      <w:pPr>
        <w:pStyle w:val="Footer"/>
        <w:tabs>
          <w:tab w:val="clear" w:pos="4153"/>
          <w:tab w:val="clear" w:pos="8306"/>
        </w:tabs>
        <w:rPr>
          <w:rFonts w:ascii="Arial" w:hAnsi="Arial"/>
        </w:rPr>
      </w:pPr>
    </w:p>
    <w:p w14:paraId="37E0DC8C" w14:textId="59917BFD" w:rsidR="00B848D7" w:rsidRPr="00AF7342" w:rsidRDefault="00B848D7" w:rsidP="00B848D7">
      <w:pPr>
        <w:rPr>
          <w:rFonts w:ascii="Arial" w:hAnsi="Arial"/>
        </w:rPr>
      </w:pPr>
      <w:r w:rsidRPr="00AF7342">
        <w:rPr>
          <w:rFonts w:ascii="Arial" w:hAnsi="Arial"/>
        </w:rPr>
        <w:t xml:space="preserve">Summary of responses to consultation and web publication and the way in which we have taken these into account in the determination process.  </w:t>
      </w:r>
    </w:p>
    <w:p w14:paraId="4879B9E1" w14:textId="77777777" w:rsidR="00B848D7" w:rsidRPr="00AF7342" w:rsidRDefault="00B848D7" w:rsidP="00B848D7">
      <w:pPr>
        <w:jc w:val="both"/>
        <w:rPr>
          <w:rFonts w:ascii="Arial" w:hAnsi="Arial"/>
        </w:rPr>
      </w:pPr>
    </w:p>
    <w:tbl>
      <w:tblPr>
        <w:tblStyle w:val="TableGrid"/>
        <w:tblW w:w="0" w:type="auto"/>
        <w:tblLook w:val="01E0" w:firstRow="1" w:lastRow="1" w:firstColumn="1" w:lastColumn="1" w:noHBand="0" w:noVBand="0"/>
      </w:tblPr>
      <w:tblGrid>
        <w:gridCol w:w="8296"/>
      </w:tblGrid>
      <w:tr w:rsidR="00AF7342" w:rsidRPr="00AF7342" w14:paraId="32365C5E" w14:textId="77777777" w:rsidTr="00B6549B">
        <w:tc>
          <w:tcPr>
            <w:tcW w:w="8522" w:type="dxa"/>
            <w:shd w:val="clear" w:color="auto" w:fill="0070C0"/>
          </w:tcPr>
          <w:p w14:paraId="00DCD079" w14:textId="77777777" w:rsidR="00B848D7" w:rsidRPr="00AF7342" w:rsidRDefault="00B848D7" w:rsidP="00B6549B">
            <w:pPr>
              <w:jc w:val="both"/>
              <w:rPr>
                <w:rFonts w:ascii="Arial" w:hAnsi="Arial" w:cs="Arial"/>
                <w:b/>
              </w:rPr>
            </w:pPr>
            <w:r w:rsidRPr="00AF7342">
              <w:rPr>
                <w:rFonts w:ascii="Arial" w:hAnsi="Arial" w:cs="Arial"/>
                <w:b/>
              </w:rPr>
              <w:t>Response received from</w:t>
            </w:r>
          </w:p>
        </w:tc>
      </w:tr>
      <w:tr w:rsidR="00AF7342" w:rsidRPr="00AF7342" w14:paraId="24F622C2" w14:textId="77777777" w:rsidTr="00B6549B">
        <w:tc>
          <w:tcPr>
            <w:tcW w:w="8522" w:type="dxa"/>
            <w:tcBorders>
              <w:bottom w:val="single" w:sz="4" w:space="0" w:color="auto"/>
            </w:tcBorders>
          </w:tcPr>
          <w:p w14:paraId="6A8254A5" w14:textId="4CE73287" w:rsidR="00B848D7" w:rsidRPr="00AF7342" w:rsidRDefault="00AF7342" w:rsidP="00B6549B">
            <w:pPr>
              <w:jc w:val="both"/>
              <w:rPr>
                <w:rFonts w:ascii="Arial" w:hAnsi="Arial" w:cs="Arial"/>
                <w:b/>
                <w:szCs w:val="24"/>
              </w:rPr>
            </w:pPr>
            <w:r w:rsidRPr="00AF7342">
              <w:rPr>
                <w:rFonts w:ascii="Arial" w:hAnsi="Arial" w:cs="Arial"/>
                <w:b/>
                <w:szCs w:val="24"/>
              </w:rPr>
              <w:t>Monmouthshire County Council/</w:t>
            </w:r>
            <w:proofErr w:type="spellStart"/>
            <w:r w:rsidRPr="00AF7342">
              <w:rPr>
                <w:rFonts w:ascii="Arial" w:hAnsi="Arial" w:cs="Arial"/>
                <w:b/>
                <w:szCs w:val="24"/>
              </w:rPr>
              <w:t>Cyngor</w:t>
            </w:r>
            <w:proofErr w:type="spellEnd"/>
            <w:r w:rsidRPr="00AF7342">
              <w:rPr>
                <w:rFonts w:ascii="Arial" w:hAnsi="Arial" w:cs="Arial"/>
                <w:b/>
                <w:szCs w:val="24"/>
              </w:rPr>
              <w:t xml:space="preserve"> Sir </w:t>
            </w:r>
            <w:proofErr w:type="spellStart"/>
            <w:r w:rsidRPr="00AF7342">
              <w:rPr>
                <w:rFonts w:ascii="Arial" w:hAnsi="Arial" w:cs="Arial"/>
                <w:b/>
                <w:szCs w:val="24"/>
              </w:rPr>
              <w:t>Fynwy</w:t>
            </w:r>
            <w:proofErr w:type="spellEnd"/>
          </w:p>
        </w:tc>
      </w:tr>
      <w:tr w:rsidR="00AF7342" w:rsidRPr="00AF7342" w14:paraId="4C1E09F4" w14:textId="77777777" w:rsidTr="00B6549B">
        <w:tc>
          <w:tcPr>
            <w:tcW w:w="8522" w:type="dxa"/>
            <w:shd w:val="clear" w:color="auto" w:fill="0070C0"/>
          </w:tcPr>
          <w:p w14:paraId="11A04259" w14:textId="77777777" w:rsidR="00B848D7" w:rsidRPr="00AF7342" w:rsidRDefault="00B848D7" w:rsidP="00B6549B">
            <w:pPr>
              <w:jc w:val="both"/>
              <w:rPr>
                <w:rFonts w:ascii="Arial" w:hAnsi="Arial" w:cs="Arial"/>
                <w:b/>
                <w:szCs w:val="24"/>
              </w:rPr>
            </w:pPr>
            <w:proofErr w:type="gramStart"/>
            <w:r w:rsidRPr="00AF7342">
              <w:rPr>
                <w:rFonts w:ascii="Arial" w:hAnsi="Arial" w:cs="Arial"/>
                <w:b/>
                <w:szCs w:val="24"/>
              </w:rPr>
              <w:t>Brief summary</w:t>
            </w:r>
            <w:proofErr w:type="gramEnd"/>
            <w:r w:rsidRPr="00AF7342">
              <w:rPr>
                <w:rFonts w:ascii="Arial" w:hAnsi="Arial" w:cs="Arial"/>
                <w:b/>
                <w:szCs w:val="24"/>
              </w:rPr>
              <w:t xml:space="preserve"> of issues raised</w:t>
            </w:r>
          </w:p>
        </w:tc>
      </w:tr>
      <w:tr w:rsidR="00AF7342" w:rsidRPr="00AF7342" w14:paraId="7734486F" w14:textId="77777777" w:rsidTr="00B6549B">
        <w:tc>
          <w:tcPr>
            <w:tcW w:w="8522" w:type="dxa"/>
            <w:tcBorders>
              <w:bottom w:val="single" w:sz="4" w:space="0" w:color="auto"/>
            </w:tcBorders>
          </w:tcPr>
          <w:p w14:paraId="3770A344" w14:textId="2C288C92" w:rsidR="00B848D7" w:rsidRPr="00AF7342" w:rsidRDefault="00AF7342" w:rsidP="00B6549B">
            <w:pPr>
              <w:jc w:val="both"/>
              <w:rPr>
                <w:rFonts w:ascii="Arial" w:hAnsi="Arial" w:cs="Arial"/>
                <w:szCs w:val="24"/>
              </w:rPr>
            </w:pPr>
            <w:r w:rsidRPr="00AF7342">
              <w:rPr>
                <w:rFonts w:ascii="Arial" w:hAnsi="Arial" w:cs="Arial"/>
                <w:szCs w:val="24"/>
              </w:rPr>
              <w:t>No concerns raised.</w:t>
            </w:r>
          </w:p>
        </w:tc>
      </w:tr>
      <w:tr w:rsidR="00AF7342" w:rsidRPr="00AF7342" w14:paraId="4142B01A" w14:textId="77777777" w:rsidTr="00B6549B">
        <w:tc>
          <w:tcPr>
            <w:tcW w:w="8522" w:type="dxa"/>
            <w:shd w:val="clear" w:color="auto" w:fill="0070C0"/>
          </w:tcPr>
          <w:p w14:paraId="2BCBB746" w14:textId="77777777" w:rsidR="00B848D7" w:rsidRPr="00AF7342" w:rsidRDefault="00B848D7" w:rsidP="00B6549B">
            <w:pPr>
              <w:jc w:val="both"/>
              <w:rPr>
                <w:rFonts w:ascii="Arial" w:hAnsi="Arial" w:cs="Arial"/>
                <w:szCs w:val="24"/>
              </w:rPr>
            </w:pPr>
            <w:r w:rsidRPr="00AF7342">
              <w:rPr>
                <w:rFonts w:ascii="Arial" w:hAnsi="Arial" w:cs="Arial"/>
                <w:b/>
                <w:szCs w:val="24"/>
              </w:rPr>
              <w:t>Summary of actions taken or show how this has been covered</w:t>
            </w:r>
          </w:p>
        </w:tc>
      </w:tr>
      <w:tr w:rsidR="00AF7342" w:rsidRPr="00AF7342" w14:paraId="3596F7E8" w14:textId="77777777" w:rsidTr="00B6549B">
        <w:tc>
          <w:tcPr>
            <w:tcW w:w="8522" w:type="dxa"/>
          </w:tcPr>
          <w:p w14:paraId="4D816429" w14:textId="14890ECD" w:rsidR="00AF7342" w:rsidRPr="00AF7342" w:rsidRDefault="00AF7342" w:rsidP="00AF7342">
            <w:pPr>
              <w:pStyle w:val="paragraph"/>
              <w:jc w:val="both"/>
              <w:textAlignment w:val="baseline"/>
              <w:rPr>
                <w:rFonts w:ascii="Arial" w:hAnsi="Arial" w:cs="Arial"/>
                <w:sz w:val="24"/>
                <w:szCs w:val="24"/>
              </w:rPr>
            </w:pPr>
            <w:r w:rsidRPr="00AF7342">
              <w:rPr>
                <w:rFonts w:ascii="Arial" w:hAnsi="Arial" w:cs="Arial"/>
                <w:sz w:val="24"/>
                <w:szCs w:val="24"/>
              </w:rPr>
              <w:t>I have reviewed our records and we have received no concerns that water quality from the borehole serving Dawn of Day is influenced by the discharge from the foul water system despite being within the recommended 50</w:t>
            </w:r>
            <w:proofErr w:type="gramStart"/>
            <w:r w:rsidRPr="00AF7342">
              <w:rPr>
                <w:rFonts w:ascii="Arial" w:hAnsi="Arial" w:cs="Arial"/>
                <w:sz w:val="24"/>
                <w:szCs w:val="24"/>
              </w:rPr>
              <w:t>m  separation</w:t>
            </w:r>
            <w:proofErr w:type="gramEnd"/>
            <w:r w:rsidRPr="00AF7342">
              <w:rPr>
                <w:rFonts w:ascii="Arial" w:hAnsi="Arial" w:cs="Arial"/>
                <w:sz w:val="24"/>
                <w:szCs w:val="24"/>
              </w:rPr>
              <w:t xml:space="preserve"> distance.</w:t>
            </w:r>
          </w:p>
          <w:p w14:paraId="366AADB6" w14:textId="77EC453E" w:rsidR="00B848D7" w:rsidRPr="00AF7342" w:rsidRDefault="00AF7342" w:rsidP="00AF7342">
            <w:pPr>
              <w:pStyle w:val="paragraph"/>
              <w:spacing w:before="0" w:beforeAutospacing="0" w:after="0" w:afterAutospacing="0"/>
              <w:jc w:val="both"/>
              <w:textAlignment w:val="baseline"/>
              <w:rPr>
                <w:rFonts w:ascii="Arial" w:hAnsi="Arial" w:cs="Arial"/>
                <w:sz w:val="24"/>
                <w:szCs w:val="24"/>
              </w:rPr>
            </w:pPr>
            <w:r w:rsidRPr="00AF7342">
              <w:rPr>
                <w:rFonts w:ascii="Arial" w:hAnsi="Arial" w:cs="Arial"/>
                <w:sz w:val="24"/>
                <w:szCs w:val="24"/>
              </w:rPr>
              <w:t>Should you wish to discuss any matter here further please contact me.</w:t>
            </w:r>
          </w:p>
        </w:tc>
      </w:tr>
    </w:tbl>
    <w:p w14:paraId="4F8E5641"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DD644" w14:textId="77777777" w:rsidR="00D20D99" w:rsidRDefault="00D20D99">
      <w:r>
        <w:separator/>
      </w:r>
    </w:p>
  </w:endnote>
  <w:endnote w:type="continuationSeparator" w:id="0">
    <w:p w14:paraId="1E25AD86" w14:textId="77777777" w:rsidR="00D20D99" w:rsidRDefault="00D20D99">
      <w:r>
        <w:continuationSeparator/>
      </w:r>
    </w:p>
  </w:endnote>
  <w:endnote w:type="continuationNotice" w:id="1">
    <w:p w14:paraId="65914F54" w14:textId="77777777" w:rsidR="00D20D99" w:rsidRDefault="00D20D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20DA1DD8"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87D1A" w14:textId="77777777" w:rsidR="00D20D99" w:rsidRDefault="00D20D99">
      <w:r>
        <w:separator/>
      </w:r>
    </w:p>
  </w:footnote>
  <w:footnote w:type="continuationSeparator" w:id="0">
    <w:p w14:paraId="35CCEE00" w14:textId="77777777" w:rsidR="00D20D99" w:rsidRDefault="00D20D99">
      <w:r>
        <w:continuationSeparator/>
      </w:r>
    </w:p>
  </w:footnote>
  <w:footnote w:type="continuationNotice" w:id="1">
    <w:p w14:paraId="7032593A" w14:textId="77777777" w:rsidR="00D20D99" w:rsidRDefault="00D20D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19232647">
    <w:abstractNumId w:val="1"/>
  </w:num>
  <w:num w:numId="2" w16cid:durableId="723020851">
    <w:abstractNumId w:val="15"/>
  </w:num>
  <w:num w:numId="3" w16cid:durableId="171646413">
    <w:abstractNumId w:val="12"/>
  </w:num>
  <w:num w:numId="4" w16cid:durableId="1109203483">
    <w:abstractNumId w:val="2"/>
  </w:num>
  <w:num w:numId="5" w16cid:durableId="1276981543">
    <w:abstractNumId w:val="4"/>
  </w:num>
  <w:num w:numId="6" w16cid:durableId="615216151">
    <w:abstractNumId w:val="3"/>
  </w:num>
  <w:num w:numId="7" w16cid:durableId="197201944">
    <w:abstractNumId w:val="7"/>
  </w:num>
  <w:num w:numId="8" w16cid:durableId="1074744919">
    <w:abstractNumId w:val="14"/>
  </w:num>
  <w:num w:numId="9" w16cid:durableId="145123461">
    <w:abstractNumId w:val="18"/>
  </w:num>
  <w:num w:numId="10" w16cid:durableId="46999224">
    <w:abstractNumId w:val="10"/>
  </w:num>
  <w:num w:numId="11" w16cid:durableId="1819223854">
    <w:abstractNumId w:val="13"/>
  </w:num>
  <w:num w:numId="12" w16cid:durableId="1986617696">
    <w:abstractNumId w:val="17"/>
  </w:num>
  <w:num w:numId="13" w16cid:durableId="1548446713">
    <w:abstractNumId w:val="16"/>
  </w:num>
  <w:num w:numId="14" w16cid:durableId="1170174273">
    <w:abstractNumId w:val="9"/>
  </w:num>
  <w:num w:numId="15" w16cid:durableId="1341663991">
    <w:abstractNumId w:val="11"/>
  </w:num>
  <w:num w:numId="16" w16cid:durableId="1113283499">
    <w:abstractNumId w:val="5"/>
  </w:num>
  <w:num w:numId="17" w16cid:durableId="413209271">
    <w:abstractNumId w:val="0"/>
  </w:num>
  <w:num w:numId="18" w16cid:durableId="900794395">
    <w:abstractNumId w:val="8"/>
  </w:num>
  <w:num w:numId="19" w16cid:durableId="179367407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4A5"/>
    <w:rsid w:val="000225DA"/>
    <w:rsid w:val="000247A3"/>
    <w:rsid w:val="00024E0F"/>
    <w:rsid w:val="000436A8"/>
    <w:rsid w:val="00050DC6"/>
    <w:rsid w:val="00052697"/>
    <w:rsid w:val="0005636B"/>
    <w:rsid w:val="0006298C"/>
    <w:rsid w:val="000676D4"/>
    <w:rsid w:val="00067A5C"/>
    <w:rsid w:val="000746A0"/>
    <w:rsid w:val="000771BE"/>
    <w:rsid w:val="00077908"/>
    <w:rsid w:val="00081421"/>
    <w:rsid w:val="0008645F"/>
    <w:rsid w:val="00087AFD"/>
    <w:rsid w:val="00094448"/>
    <w:rsid w:val="000A6110"/>
    <w:rsid w:val="000B0C2A"/>
    <w:rsid w:val="000C3151"/>
    <w:rsid w:val="000D0EAE"/>
    <w:rsid w:val="000E2BCE"/>
    <w:rsid w:val="000E54AC"/>
    <w:rsid w:val="000F3D3D"/>
    <w:rsid w:val="000F4877"/>
    <w:rsid w:val="000F77D7"/>
    <w:rsid w:val="001034AC"/>
    <w:rsid w:val="001065BC"/>
    <w:rsid w:val="00107C27"/>
    <w:rsid w:val="00112F82"/>
    <w:rsid w:val="001171CA"/>
    <w:rsid w:val="00120FD3"/>
    <w:rsid w:val="00124B9A"/>
    <w:rsid w:val="00134001"/>
    <w:rsid w:val="00136717"/>
    <w:rsid w:val="00141DD3"/>
    <w:rsid w:val="0014332B"/>
    <w:rsid w:val="00147725"/>
    <w:rsid w:val="001568AA"/>
    <w:rsid w:val="00156E62"/>
    <w:rsid w:val="001648C3"/>
    <w:rsid w:val="0016775A"/>
    <w:rsid w:val="0017110E"/>
    <w:rsid w:val="00171565"/>
    <w:rsid w:val="00175981"/>
    <w:rsid w:val="0017635B"/>
    <w:rsid w:val="0018676E"/>
    <w:rsid w:val="0019078A"/>
    <w:rsid w:val="00196C2E"/>
    <w:rsid w:val="001A0126"/>
    <w:rsid w:val="001A2522"/>
    <w:rsid w:val="001A47AE"/>
    <w:rsid w:val="001A5072"/>
    <w:rsid w:val="001A79EC"/>
    <w:rsid w:val="001B000A"/>
    <w:rsid w:val="001B5BD3"/>
    <w:rsid w:val="001B77CB"/>
    <w:rsid w:val="001C1308"/>
    <w:rsid w:val="001C1F18"/>
    <w:rsid w:val="001C2814"/>
    <w:rsid w:val="001C3EE4"/>
    <w:rsid w:val="001F0E23"/>
    <w:rsid w:val="002013C8"/>
    <w:rsid w:val="00202B65"/>
    <w:rsid w:val="00207C20"/>
    <w:rsid w:val="00210407"/>
    <w:rsid w:val="00216630"/>
    <w:rsid w:val="0022247D"/>
    <w:rsid w:val="00223BAE"/>
    <w:rsid w:val="0023750B"/>
    <w:rsid w:val="002436CC"/>
    <w:rsid w:val="00247FE6"/>
    <w:rsid w:val="00253604"/>
    <w:rsid w:val="0026228B"/>
    <w:rsid w:val="0026391A"/>
    <w:rsid w:val="002741DD"/>
    <w:rsid w:val="0027420F"/>
    <w:rsid w:val="002757CA"/>
    <w:rsid w:val="0028175F"/>
    <w:rsid w:val="00282A26"/>
    <w:rsid w:val="00292B3A"/>
    <w:rsid w:val="002967CA"/>
    <w:rsid w:val="002A43D6"/>
    <w:rsid w:val="002A66F0"/>
    <w:rsid w:val="002B0D8B"/>
    <w:rsid w:val="002B2C72"/>
    <w:rsid w:val="002B3FAA"/>
    <w:rsid w:val="002B51C3"/>
    <w:rsid w:val="002C2D76"/>
    <w:rsid w:val="002C41CA"/>
    <w:rsid w:val="002D0A0C"/>
    <w:rsid w:val="002E35D0"/>
    <w:rsid w:val="002E57A2"/>
    <w:rsid w:val="002E6AD1"/>
    <w:rsid w:val="002F2FAB"/>
    <w:rsid w:val="002F41D1"/>
    <w:rsid w:val="003405D9"/>
    <w:rsid w:val="00340EEB"/>
    <w:rsid w:val="00343BA5"/>
    <w:rsid w:val="00346CF0"/>
    <w:rsid w:val="00351A0A"/>
    <w:rsid w:val="00352859"/>
    <w:rsid w:val="0036200E"/>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3420"/>
    <w:rsid w:val="00444D3F"/>
    <w:rsid w:val="00455E3C"/>
    <w:rsid w:val="004602AD"/>
    <w:rsid w:val="00461672"/>
    <w:rsid w:val="004709A1"/>
    <w:rsid w:val="00475B36"/>
    <w:rsid w:val="00476B14"/>
    <w:rsid w:val="00481C68"/>
    <w:rsid w:val="004844DC"/>
    <w:rsid w:val="00486C2B"/>
    <w:rsid w:val="00495730"/>
    <w:rsid w:val="004A02F0"/>
    <w:rsid w:val="004A4BD9"/>
    <w:rsid w:val="004A4FD4"/>
    <w:rsid w:val="004A5036"/>
    <w:rsid w:val="004B3156"/>
    <w:rsid w:val="004C16AD"/>
    <w:rsid w:val="004C6B19"/>
    <w:rsid w:val="004D3B21"/>
    <w:rsid w:val="004E4418"/>
    <w:rsid w:val="004E7719"/>
    <w:rsid w:val="005074AA"/>
    <w:rsid w:val="0053399B"/>
    <w:rsid w:val="0053589C"/>
    <w:rsid w:val="00564C6D"/>
    <w:rsid w:val="005761B2"/>
    <w:rsid w:val="005910D1"/>
    <w:rsid w:val="00591847"/>
    <w:rsid w:val="00591E64"/>
    <w:rsid w:val="005B36D9"/>
    <w:rsid w:val="005B6A95"/>
    <w:rsid w:val="005D0E13"/>
    <w:rsid w:val="005E1031"/>
    <w:rsid w:val="005E29AD"/>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0785D"/>
    <w:rsid w:val="00711B7F"/>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97C88"/>
    <w:rsid w:val="007A055E"/>
    <w:rsid w:val="007A1244"/>
    <w:rsid w:val="007B4377"/>
    <w:rsid w:val="007C0D90"/>
    <w:rsid w:val="007C391D"/>
    <w:rsid w:val="007D1C17"/>
    <w:rsid w:val="007D2A88"/>
    <w:rsid w:val="007D2C10"/>
    <w:rsid w:val="007E1C67"/>
    <w:rsid w:val="007E3284"/>
    <w:rsid w:val="007E5AD7"/>
    <w:rsid w:val="007F1354"/>
    <w:rsid w:val="007F4526"/>
    <w:rsid w:val="008146E9"/>
    <w:rsid w:val="00832577"/>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B44D7"/>
    <w:rsid w:val="008D0A1D"/>
    <w:rsid w:val="008D1489"/>
    <w:rsid w:val="008D387D"/>
    <w:rsid w:val="008D4796"/>
    <w:rsid w:val="008D60B0"/>
    <w:rsid w:val="008D750E"/>
    <w:rsid w:val="008E0382"/>
    <w:rsid w:val="008E03A3"/>
    <w:rsid w:val="008E417C"/>
    <w:rsid w:val="008E6916"/>
    <w:rsid w:val="009027F9"/>
    <w:rsid w:val="00904554"/>
    <w:rsid w:val="009047F4"/>
    <w:rsid w:val="009070E1"/>
    <w:rsid w:val="0092357D"/>
    <w:rsid w:val="009271E0"/>
    <w:rsid w:val="00930ABE"/>
    <w:rsid w:val="00930E1C"/>
    <w:rsid w:val="009344C0"/>
    <w:rsid w:val="00940D7D"/>
    <w:rsid w:val="00945712"/>
    <w:rsid w:val="00945CD3"/>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9F5885"/>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695F"/>
    <w:rsid w:val="00AD731D"/>
    <w:rsid w:val="00AE05D3"/>
    <w:rsid w:val="00AE1426"/>
    <w:rsid w:val="00AE6B54"/>
    <w:rsid w:val="00AE70BF"/>
    <w:rsid w:val="00AF27A2"/>
    <w:rsid w:val="00AF4C00"/>
    <w:rsid w:val="00AF517E"/>
    <w:rsid w:val="00AF7342"/>
    <w:rsid w:val="00B00F7A"/>
    <w:rsid w:val="00B10601"/>
    <w:rsid w:val="00B13426"/>
    <w:rsid w:val="00B14CBC"/>
    <w:rsid w:val="00B31727"/>
    <w:rsid w:val="00B36EE5"/>
    <w:rsid w:val="00B4343F"/>
    <w:rsid w:val="00B55B51"/>
    <w:rsid w:val="00B62C2D"/>
    <w:rsid w:val="00B73ECB"/>
    <w:rsid w:val="00B82F37"/>
    <w:rsid w:val="00B837E8"/>
    <w:rsid w:val="00B848D7"/>
    <w:rsid w:val="00B86109"/>
    <w:rsid w:val="00BB1620"/>
    <w:rsid w:val="00BB408D"/>
    <w:rsid w:val="00BB4528"/>
    <w:rsid w:val="00BB79A4"/>
    <w:rsid w:val="00BE370B"/>
    <w:rsid w:val="00BE7950"/>
    <w:rsid w:val="00BF24F6"/>
    <w:rsid w:val="00C05011"/>
    <w:rsid w:val="00C052C4"/>
    <w:rsid w:val="00C07952"/>
    <w:rsid w:val="00C24149"/>
    <w:rsid w:val="00C43A22"/>
    <w:rsid w:val="00C44B7E"/>
    <w:rsid w:val="00C57F82"/>
    <w:rsid w:val="00C76E98"/>
    <w:rsid w:val="00C8353B"/>
    <w:rsid w:val="00C85FD5"/>
    <w:rsid w:val="00C91798"/>
    <w:rsid w:val="00C920B9"/>
    <w:rsid w:val="00C93F6F"/>
    <w:rsid w:val="00CA3222"/>
    <w:rsid w:val="00CA35B5"/>
    <w:rsid w:val="00CA4DD5"/>
    <w:rsid w:val="00CA4E7D"/>
    <w:rsid w:val="00CA62D3"/>
    <w:rsid w:val="00CA6794"/>
    <w:rsid w:val="00CF0436"/>
    <w:rsid w:val="00CF77A9"/>
    <w:rsid w:val="00CF79FA"/>
    <w:rsid w:val="00D02D58"/>
    <w:rsid w:val="00D04424"/>
    <w:rsid w:val="00D07410"/>
    <w:rsid w:val="00D2020E"/>
    <w:rsid w:val="00D20D99"/>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82ECC"/>
    <w:rsid w:val="00D96438"/>
    <w:rsid w:val="00DA7802"/>
    <w:rsid w:val="00DB74B1"/>
    <w:rsid w:val="00DC16D7"/>
    <w:rsid w:val="00DC28B8"/>
    <w:rsid w:val="00DC3714"/>
    <w:rsid w:val="00DC7712"/>
    <w:rsid w:val="00DD068A"/>
    <w:rsid w:val="00DE07F1"/>
    <w:rsid w:val="00DE09DD"/>
    <w:rsid w:val="00DE395A"/>
    <w:rsid w:val="00DE632F"/>
    <w:rsid w:val="00DF13FA"/>
    <w:rsid w:val="00E00BE1"/>
    <w:rsid w:val="00E01F6C"/>
    <w:rsid w:val="00E12083"/>
    <w:rsid w:val="00E22C8C"/>
    <w:rsid w:val="00E244F7"/>
    <w:rsid w:val="00E25A5B"/>
    <w:rsid w:val="00E35F5D"/>
    <w:rsid w:val="00E40DB5"/>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619C"/>
    <w:rsid w:val="00F22A07"/>
    <w:rsid w:val="00F2779C"/>
    <w:rsid w:val="00F31A19"/>
    <w:rsid w:val="00F37C15"/>
    <w:rsid w:val="00F41FA5"/>
    <w:rsid w:val="00F44625"/>
    <w:rsid w:val="00F53256"/>
    <w:rsid w:val="00F65963"/>
    <w:rsid w:val="00F77454"/>
    <w:rsid w:val="00F84220"/>
    <w:rsid w:val="00F852AC"/>
    <w:rsid w:val="00F87A6E"/>
    <w:rsid w:val="00F97A77"/>
    <w:rsid w:val="00FA5E9E"/>
    <w:rsid w:val="00FB10D0"/>
    <w:rsid w:val="00FB30B4"/>
    <w:rsid w:val="00FB3A29"/>
    <w:rsid w:val="00FB3D3C"/>
    <w:rsid w:val="00FC0269"/>
    <w:rsid w:val="00FC0425"/>
    <w:rsid w:val="00FC29AE"/>
    <w:rsid w:val="00FD235E"/>
    <w:rsid w:val="00FD42A4"/>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 w:type="paragraph" w:customStyle="1" w:styleId="paragraph">
    <w:name w:val="paragraph"/>
    <w:basedOn w:val="Normal"/>
    <w:rsid w:val="00B848D7"/>
    <w:pPr>
      <w:spacing w:before="100" w:beforeAutospacing="1" w:after="100" w:afterAutospacing="1"/>
    </w:pPr>
    <w:rPr>
      <w:rFonts w:ascii="Calibri" w:eastAsiaTheme="minorHAnsi" w:hAnsi="Calibri" w:cs="Calibri"/>
      <w:sz w:val="22"/>
      <w:szCs w:val="22"/>
    </w:rPr>
  </w:style>
  <w:style w:type="character" w:customStyle="1" w:styleId="normaltextrun">
    <w:name w:val="normaltextrun"/>
    <w:basedOn w:val="DefaultParagraphFont"/>
    <w:rsid w:val="00B848D7"/>
  </w:style>
  <w:style w:type="character" w:customStyle="1" w:styleId="eop">
    <w:name w:val="eop"/>
    <w:basedOn w:val="DefaultParagraphFont"/>
    <w:rsid w:val="00B84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9508">
      <w:bodyDiv w:val="1"/>
      <w:marLeft w:val="0"/>
      <w:marRight w:val="0"/>
      <w:marTop w:val="0"/>
      <w:marBottom w:val="0"/>
      <w:divBdr>
        <w:top w:val="none" w:sz="0" w:space="0" w:color="auto"/>
        <w:left w:val="none" w:sz="0" w:space="0" w:color="auto"/>
        <w:bottom w:val="none" w:sz="0" w:space="0" w:color="auto"/>
        <w:right w:val="none" w:sz="0" w:space="0" w:color="auto"/>
      </w:divBdr>
    </w:div>
    <w:div w:id="323751689">
      <w:bodyDiv w:val="1"/>
      <w:marLeft w:val="0"/>
      <w:marRight w:val="0"/>
      <w:marTop w:val="0"/>
      <w:marBottom w:val="0"/>
      <w:divBdr>
        <w:top w:val="none" w:sz="0" w:space="0" w:color="auto"/>
        <w:left w:val="none" w:sz="0" w:space="0" w:color="auto"/>
        <w:bottom w:val="none" w:sz="0" w:space="0" w:color="auto"/>
        <w:right w:val="none" w:sz="0" w:space="0" w:color="auto"/>
      </w:divBdr>
    </w:div>
    <w:div w:id="511915659">
      <w:bodyDiv w:val="1"/>
      <w:marLeft w:val="0"/>
      <w:marRight w:val="0"/>
      <w:marTop w:val="0"/>
      <w:marBottom w:val="0"/>
      <w:divBdr>
        <w:top w:val="none" w:sz="0" w:space="0" w:color="auto"/>
        <w:left w:val="none" w:sz="0" w:space="0" w:color="auto"/>
        <w:bottom w:val="none" w:sz="0" w:space="0" w:color="auto"/>
        <w:right w:val="none" w:sz="0" w:space="0" w:color="auto"/>
      </w:divBdr>
    </w:div>
    <w:div w:id="627399842">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122842103">
      <w:bodyDiv w:val="1"/>
      <w:marLeft w:val="0"/>
      <w:marRight w:val="0"/>
      <w:marTop w:val="0"/>
      <w:marBottom w:val="0"/>
      <w:divBdr>
        <w:top w:val="none" w:sz="0" w:space="0" w:color="auto"/>
        <w:left w:val="none" w:sz="0" w:space="0" w:color="auto"/>
        <w:bottom w:val="none" w:sz="0" w:space="0" w:color="auto"/>
        <w:right w:val="none" w:sz="0" w:space="0" w:color="auto"/>
      </w:divBdr>
    </w:div>
    <w:div w:id="1136221065">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REGU-184-6562838</_dlc_DocId>
    <_dlc_DocIdUrl xmlns="9be56660-2c31-41ef-bc00-23e72f632f2a">
      <Url>https://cyfoethnaturiolcymru.sharepoint.com/teams/Regulatory/Permitting/_layouts/15/DocIdRedir.aspx?ID=REGU-184-6562838</Url>
      <Description>REGU-184-6562838</Description>
    </_dlc_DocIdUrl>
    <License_x002f_Activity_x0020_Type xmlns="859f7ad6-93f6-4205-b62b-a17f28acbbac">6. EPR Groundwater Permits</License_x002f_Activity_x0020_Type>
    <TaxCatchAll xmlns="859f7ad6-93f6-4205-b62b-a17f28acbbac" xsi:nil="true"/>
    <Site_x0020_Name xmlns="859f7ad6-93f6-4205-b62b-a17f28acbbac">The Dawn of Day</Site_x0020_Name>
    <Internal_x002f_External xmlns="859f7ad6-93f6-4205-b62b-a17f28acbbac">Internal document</Internal_x002f_External>
    <Post_x0020_code xmlns="859f7ad6-93f6-4205-b62b-a17f28acbbac">NP7 8NA</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The Dawn of Day, Grosmont, NP7 8NA</Addressee>
    <Process_x0020_Type xmlns="859f7ad6-93f6-4205-b62b-a17f28acbbac">Application</Process_x0020_Type>
    <Surrendered_x002f_Expired xmlns="859f7ad6-93f6-4205-b62b-a17f28acbbac" xsi:nil="true"/>
    <Document_x0020_Date xmlns="859f7ad6-93f6-4205-b62b-a17f28acbbac">2023-08-16T23:00:00+00:00</Document_x0020_Date>
    <Facility_x0020_Address xmlns="859f7ad6-93f6-4205-b62b-a17f28acbbac">Grosmont</Facility_x0020_Address>
    <Environment_x0020_Sub_x0020_Folder xmlns="859f7ad6-93f6-4205-b62b-a17f28acbbac">Licences applications</Environment_x0020_Sub_x0020_Folder>
    <Customer_x0020_Name xmlns="859f7ad6-93f6-4205-b62b-a17f28acbbac">Mr Alex Phillips</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39B1EBE6-F917-4990-BED3-D2C99C67C8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9be56660-2c31-41ef-bc00-23e72f632f2a"/>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b67299c9-1600-4d20-976e-ea8f199d05b8"/>
    <ds:schemaRef ds:uri="6e121689-de5b-41b9-a751-bfeda7fa2b07"/>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849</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Gregory, Charlie</cp:lastModifiedBy>
  <cp:revision>12</cp:revision>
  <cp:lastPrinted>2008-01-30T13:54:00Z</cp:lastPrinted>
  <dcterms:created xsi:type="dcterms:W3CDTF">2023-07-28T10:35:00Z</dcterms:created>
  <dcterms:modified xsi:type="dcterms:W3CDTF">2023-08-17T15:29:00Z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44f8733d-2043-4808-a49e-e2a5e1ba8b6c</vt:lpwstr>
  </property>
  <property fmtid="{D5CDD505-2E9C-101B-9397-08002B2CF9AE}" pid="11" name="SharedWithUsers">
    <vt:lpwstr/>
  </property>
  <property fmtid="{D5CDD505-2E9C-101B-9397-08002B2CF9AE}" pid="12" name="MediaServiceImageTags">
    <vt:lpwstr/>
  </property>
</Properties>
</file>