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CFAB3A3" w:rsidR="00D04424" w:rsidRPr="001164C1" w:rsidRDefault="0014332B" w:rsidP="003719AD">
      <w:pPr>
        <w:pStyle w:val="Heading1"/>
        <w:spacing w:before="0" w:after="0"/>
        <w:jc w:val="left"/>
        <w:rPr>
          <w:bCs/>
          <w:color w:val="auto"/>
          <w:sz w:val="32"/>
        </w:rPr>
      </w:pPr>
      <w:r w:rsidRPr="001164C1">
        <w:rPr>
          <w:bCs/>
          <w:color w:val="auto"/>
          <w:sz w:val="32"/>
        </w:rPr>
        <w:t>Bespoke p</w:t>
      </w:r>
      <w:r w:rsidR="00D04424" w:rsidRPr="001164C1">
        <w:rPr>
          <w:bCs/>
          <w:color w:val="auto"/>
          <w:sz w:val="32"/>
        </w:rPr>
        <w:t>ermit</w:t>
      </w:r>
      <w:r w:rsidR="00B73ECB" w:rsidRPr="001164C1">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017C7E59" w:rsidR="00D04424" w:rsidRPr="00CF4D66"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1164C1">
        <w:rPr>
          <w:rFonts w:ascii="Arial" w:hAnsi="Arial" w:cs="Arial"/>
          <w:szCs w:val="24"/>
        </w:rPr>
        <w:t xml:space="preserve">grant </w:t>
      </w:r>
      <w:r w:rsidRPr="001164C1">
        <w:rPr>
          <w:rFonts w:ascii="Arial" w:hAnsi="Arial" w:cs="Arial"/>
          <w:szCs w:val="24"/>
        </w:rPr>
        <w:t>the permit for</w:t>
      </w:r>
      <w:r w:rsidR="006417B1">
        <w:rPr>
          <w:rFonts w:ascii="Arial" w:hAnsi="Arial" w:cs="Arial"/>
          <w:szCs w:val="24"/>
        </w:rPr>
        <w:t xml:space="preserve"> Mona Precast</w:t>
      </w:r>
      <w:r w:rsidRPr="0014332B">
        <w:rPr>
          <w:rFonts w:ascii="Arial" w:hAnsi="Arial" w:cs="Arial"/>
          <w:color w:val="FF00FF"/>
          <w:szCs w:val="24"/>
        </w:rPr>
        <w:t xml:space="preserve"> </w:t>
      </w:r>
      <w:r w:rsidRPr="0014332B">
        <w:rPr>
          <w:rFonts w:ascii="Arial" w:hAnsi="Arial" w:cs="Arial"/>
          <w:color w:val="000000"/>
          <w:szCs w:val="24"/>
        </w:rPr>
        <w:t xml:space="preserve">operated </w:t>
      </w:r>
      <w:r w:rsidRPr="00CF4D66">
        <w:rPr>
          <w:rFonts w:ascii="Arial" w:hAnsi="Arial" w:cs="Arial"/>
          <w:szCs w:val="24"/>
        </w:rPr>
        <w:t>by</w:t>
      </w:r>
      <w:r w:rsidR="00CF4D66" w:rsidRPr="00CF4D66">
        <w:rPr>
          <w:rFonts w:ascii="Arial" w:hAnsi="Arial" w:cs="Arial"/>
          <w:szCs w:val="24"/>
        </w:rPr>
        <w:t xml:space="preserve"> Mona Precast (Anglesey) Ltd</w:t>
      </w:r>
      <w:r w:rsidR="001034AC" w:rsidRPr="00CF4D66">
        <w:rPr>
          <w:rFonts w:ascii="Arial" w:hAnsi="Arial" w:cs="Arial"/>
          <w:szCs w:val="24"/>
        </w:rPr>
        <w:t>.</w:t>
      </w:r>
    </w:p>
    <w:p w14:paraId="178F17B4" w14:textId="3C225EA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3E476B">
        <w:rPr>
          <w:rFonts w:ascii="Arial" w:hAnsi="Arial"/>
          <w:color w:val="000000"/>
          <w:kern w:val="28"/>
          <w:szCs w:val="24"/>
        </w:rPr>
        <w:t xml:space="preserve"> PAN-019716.</w:t>
      </w:r>
    </w:p>
    <w:p w14:paraId="0FF15251" w14:textId="58B4093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3E476B">
        <w:rPr>
          <w:rFonts w:ascii="Arial" w:hAnsi="Arial"/>
          <w:szCs w:val="24"/>
        </w:rPr>
        <w:t xml:space="preserve">number is </w:t>
      </w:r>
      <w:r w:rsidR="003E476B" w:rsidRPr="003E476B">
        <w:rPr>
          <w:rFonts w:ascii="Arial" w:hAnsi="Arial"/>
          <w:szCs w:val="24"/>
        </w:rPr>
        <w:t>EPR/</w:t>
      </w:r>
      <w:r w:rsidR="00FC0D60">
        <w:rPr>
          <w:rFonts w:ascii="Arial" w:hAnsi="Arial"/>
          <w:szCs w:val="24"/>
        </w:rPr>
        <w:t>DB3093ZD</w:t>
      </w:r>
      <w:r w:rsidR="003E476B" w:rsidRPr="003E476B">
        <w:rPr>
          <w:rFonts w:ascii="Arial" w:hAnsi="Arial"/>
          <w:szCs w:val="24"/>
        </w:rPr>
        <w:t>.</w:t>
      </w:r>
    </w:p>
    <w:bookmarkEnd w:id="0"/>
    <w:bookmarkEnd w:id="1"/>
    <w:p w14:paraId="404EA287" w14:textId="77777777" w:rsidR="003C103B" w:rsidRPr="003C103B" w:rsidRDefault="003C103B" w:rsidP="003C103B">
      <w:pPr>
        <w:tabs>
          <w:tab w:val="left" w:pos="4253"/>
          <w:tab w:val="left" w:pos="6804"/>
        </w:tabs>
        <w:spacing w:after="120"/>
        <w:rPr>
          <w:rFonts w:ascii="Arial" w:hAnsi="Arial"/>
          <w:color w:val="000000"/>
          <w:szCs w:val="24"/>
        </w:rPr>
      </w:pPr>
      <w:r w:rsidRPr="003C103B">
        <w:rPr>
          <w:rFonts w:ascii="Arial" w:hAnsi="Arial"/>
          <w:color w:val="000000"/>
          <w:szCs w:val="24"/>
        </w:rPr>
        <w:t>This permit regulates an existing discharge of storm/rainwater from a concrete yard to the edge of the site during periods of heavy rain. The applicant has installed a new treatment system to treat the discharge.</w:t>
      </w:r>
    </w:p>
    <w:p w14:paraId="23BDE7FE" w14:textId="77777777" w:rsidR="003C103B" w:rsidRPr="003C103B" w:rsidRDefault="003C103B" w:rsidP="003C103B">
      <w:pPr>
        <w:tabs>
          <w:tab w:val="left" w:pos="4253"/>
          <w:tab w:val="left" w:pos="6804"/>
        </w:tabs>
        <w:spacing w:after="120"/>
        <w:rPr>
          <w:rFonts w:ascii="Arial" w:hAnsi="Arial"/>
          <w:color w:val="000000"/>
          <w:szCs w:val="24"/>
        </w:rPr>
      </w:pPr>
    </w:p>
    <w:p w14:paraId="4779B1AC" w14:textId="77777777" w:rsidR="003C103B" w:rsidRPr="003C103B" w:rsidRDefault="003C103B" w:rsidP="003C103B">
      <w:pPr>
        <w:tabs>
          <w:tab w:val="left" w:pos="4253"/>
          <w:tab w:val="left" w:pos="6804"/>
        </w:tabs>
        <w:spacing w:after="120"/>
        <w:rPr>
          <w:rFonts w:ascii="Arial" w:hAnsi="Arial"/>
          <w:color w:val="000000"/>
          <w:szCs w:val="24"/>
        </w:rPr>
      </w:pPr>
      <w:r w:rsidRPr="003C103B">
        <w:rPr>
          <w:rFonts w:ascii="Arial" w:hAnsi="Arial"/>
          <w:color w:val="000000"/>
          <w:szCs w:val="24"/>
        </w:rPr>
        <w:t xml:space="preserve">The discharge will be treated by drawing water from the collection ditch by the existing pump. It will then be fed by into a flocculation tank with a flocculant: Anionic </w:t>
      </w:r>
      <w:proofErr w:type="spellStart"/>
      <w:r w:rsidRPr="003C103B">
        <w:rPr>
          <w:rFonts w:ascii="Arial" w:hAnsi="Arial"/>
          <w:color w:val="000000"/>
          <w:szCs w:val="24"/>
        </w:rPr>
        <w:t>polyacrimide</w:t>
      </w:r>
      <w:proofErr w:type="spellEnd"/>
      <w:r w:rsidRPr="003C103B">
        <w:rPr>
          <w:rFonts w:ascii="Arial" w:hAnsi="Arial"/>
          <w:color w:val="000000"/>
          <w:szCs w:val="24"/>
        </w:rPr>
        <w:t xml:space="preserve"> and coagulant: poly Aluminium Chloride to separate the solids and liquids. The amount of flocculant and coagulant used will be pH dependent but will not exceed 10mg/l. This mixture will then pass into the settlement tank where solids settle out and the clear supernatant passes through the storage tanks for use in the concrete process. When there is overflow of the storage tanks due to heavy rain conditions it flows back into the ditch. As the contaminated water will have already been put though the Waste Water Treatment system, any overflow will be rainwater only with no chemical addition. The maximum discharge rate will be 2.8 litres/second.</w:t>
      </w:r>
    </w:p>
    <w:p w14:paraId="22EA1B9F" w14:textId="77777777" w:rsidR="003C103B" w:rsidRDefault="003C103B" w:rsidP="006B0BFB">
      <w:pPr>
        <w:spacing w:after="120"/>
        <w:rPr>
          <w:rFonts w:ascii="Arial" w:hAnsi="Arial"/>
          <w:color w:val="000000"/>
        </w:rPr>
      </w:pPr>
    </w:p>
    <w:p w14:paraId="0FF15253" w14:textId="4C4234A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6D66093"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F59C4">
              <w:rPr>
                <w:rFonts w:ascii="Arial" w:hAnsi="Arial" w:cs="Arial"/>
                <w:b w:val="0"/>
                <w:szCs w:val="24"/>
              </w:rPr>
              <w:t xml:space="preserve">web publicising </w:t>
            </w:r>
          </w:p>
        </w:tc>
        <w:tc>
          <w:tcPr>
            <w:tcW w:w="6266" w:type="dxa"/>
            <w:tcBorders>
              <w:bottom w:val="single" w:sz="4" w:space="0" w:color="auto"/>
            </w:tcBorders>
          </w:tcPr>
          <w:p w14:paraId="5680DB81" w14:textId="77777777" w:rsidR="007820C3" w:rsidRDefault="00DF59C4" w:rsidP="00DF59C4">
            <w:pPr>
              <w:spacing w:before="60"/>
              <w:rPr>
                <w:rFonts w:ascii="Arial" w:hAnsi="Arial" w:cs="Arial"/>
                <w:szCs w:val="24"/>
              </w:rPr>
            </w:pPr>
            <w:r>
              <w:rPr>
                <w:rFonts w:ascii="Arial" w:hAnsi="Arial" w:cs="Arial"/>
                <w:szCs w:val="24"/>
              </w:rPr>
              <w:t>No responses were received from web publicising.</w:t>
            </w:r>
          </w:p>
          <w:p w14:paraId="0FF1529D" w14:textId="66048576" w:rsidR="00DF59C4" w:rsidRPr="00DA70FE" w:rsidRDefault="00DF59C4" w:rsidP="00DF59C4">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1D2003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DF59C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DF59C4" w:rsidRDefault="0086051F" w:rsidP="00644DC8">
            <w:pPr>
              <w:spacing w:before="60"/>
              <w:rPr>
                <w:rFonts w:ascii="Arial" w:hAnsi="Arial" w:cs="Arial"/>
              </w:rPr>
            </w:pPr>
            <w:r w:rsidRPr="00DF59C4">
              <w:rPr>
                <w:rFonts w:ascii="Arial" w:hAnsi="Arial" w:cs="Arial"/>
              </w:rPr>
              <w:t xml:space="preserve">WFD stage 2 scoping has been completed and the activity/project is considered as having </w:t>
            </w:r>
            <w:r w:rsidRPr="00DF59C4">
              <w:rPr>
                <w:rFonts w:ascii="Arial" w:hAnsi="Arial" w:cs="Arial"/>
                <w:b/>
                <w:bCs/>
              </w:rPr>
              <w:t>no risk of causing deterioration or preventing any water body or WFD Protected Area from reaching its objectives</w:t>
            </w:r>
            <w:r w:rsidRPr="00DF59C4">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DF59C4">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F59C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w:t>
            </w:r>
            <w:r w:rsidR="00136717" w:rsidRPr="4E0B47CD">
              <w:rPr>
                <w:rFonts w:ascii="Arial" w:hAnsi="Arial" w:cs="Arial"/>
                <w:color w:val="000000" w:themeColor="text1"/>
              </w:rPr>
              <w:lastRenderedPageBreak/>
              <w:t>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5F9A3F8" w:rsidR="007820C3" w:rsidRPr="00DF59C4" w:rsidRDefault="007820C3" w:rsidP="00EF499E">
            <w:pPr>
              <w:rPr>
                <w:rFonts w:ascii="Arial" w:hAnsi="Arial" w:cs="Arial"/>
                <w:szCs w:val="24"/>
              </w:rPr>
            </w:pPr>
            <w:r w:rsidRPr="00DF59C4">
              <w:rPr>
                <w:rFonts w:ascii="Arial" w:hAnsi="Arial" w:cs="Arial"/>
                <w:szCs w:val="24"/>
              </w:rPr>
              <w:t xml:space="preserve">A full assessment of the application and its potential to affect the site has been carried out as part of the </w:t>
            </w:r>
            <w:r w:rsidRPr="00DF59C4">
              <w:rPr>
                <w:rFonts w:ascii="Arial" w:hAnsi="Arial" w:cs="Arial"/>
                <w:szCs w:val="24"/>
              </w:rPr>
              <w:lastRenderedPageBreak/>
              <w:t>permitting process. We consider that the application will not affect the features of the site</w:t>
            </w:r>
            <w:r w:rsidR="00DF59C4" w:rsidRPr="00DF59C4">
              <w:rPr>
                <w:rFonts w:ascii="Arial" w:hAnsi="Arial" w:cs="Arial"/>
                <w:szCs w:val="24"/>
              </w:rPr>
              <w:t>.</w:t>
            </w:r>
          </w:p>
          <w:p w14:paraId="0FF152CF" w14:textId="77777777" w:rsidR="00FB30B4" w:rsidRPr="007820C3" w:rsidRDefault="00FB30B4" w:rsidP="00DF59C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DF59C4" w:rsidRDefault="00136717" w:rsidP="00136717">
            <w:pPr>
              <w:spacing w:before="60"/>
              <w:rPr>
                <w:rFonts w:ascii="Arial" w:hAnsi="Arial" w:cs="Arial"/>
                <w:szCs w:val="24"/>
              </w:rPr>
            </w:pPr>
            <w:r w:rsidRPr="00DF59C4">
              <w:rPr>
                <w:rFonts w:ascii="Arial" w:hAnsi="Arial" w:cs="Arial"/>
                <w:szCs w:val="24"/>
              </w:rPr>
              <w:t>Appropriate assessment:</w:t>
            </w:r>
          </w:p>
          <w:p w14:paraId="0373A1BC" w14:textId="77777777" w:rsidR="00136717" w:rsidRPr="00DF59C4" w:rsidRDefault="00136717" w:rsidP="00136717">
            <w:pPr>
              <w:spacing w:before="60"/>
              <w:rPr>
                <w:rFonts w:ascii="Arial" w:hAnsi="Arial" w:cs="Arial"/>
                <w:szCs w:val="24"/>
              </w:rPr>
            </w:pPr>
          </w:p>
          <w:p w14:paraId="06106415" w14:textId="77777777" w:rsidR="00136717" w:rsidRPr="00DF59C4" w:rsidRDefault="00136717" w:rsidP="00136717">
            <w:pPr>
              <w:spacing w:before="60"/>
              <w:rPr>
                <w:rFonts w:ascii="Arial" w:hAnsi="Arial" w:cs="Arial"/>
                <w:szCs w:val="24"/>
              </w:rPr>
            </w:pPr>
            <w:r w:rsidRPr="00DF59C4">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DF59C4">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C9764B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E5AD7" w:rsidRDefault="007820C3" w:rsidP="00A60F17">
            <w:pPr>
              <w:rPr>
                <w:rFonts w:ascii="Arial" w:hAnsi="Arial" w:cs="Arial"/>
                <w:szCs w:val="24"/>
              </w:rPr>
            </w:pPr>
            <w:r w:rsidRPr="003E5AD7">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212B350" w:rsidR="007820C3" w:rsidRPr="003E5AD7" w:rsidRDefault="007820C3" w:rsidP="00A60F17">
            <w:pPr>
              <w:pStyle w:val="BodyText"/>
              <w:rPr>
                <w:rFonts w:ascii="Arial" w:hAnsi="Arial" w:cs="Arial"/>
                <w:color w:val="auto"/>
                <w:szCs w:val="24"/>
              </w:rPr>
            </w:pPr>
            <w:r w:rsidRPr="003E5AD7">
              <w:rPr>
                <w:rFonts w:ascii="Arial" w:hAnsi="Arial" w:cs="Arial"/>
                <w:color w:val="auto"/>
                <w:szCs w:val="24"/>
              </w:rPr>
              <w:t>The assessment shows that, applying the conservative criteria in our guidance on Environmental Risk Assessment, all emissions may be categorised as environmentally insignificant</w:t>
            </w:r>
            <w:r w:rsidR="003E5AD7" w:rsidRPr="003E5AD7">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B389B0" w:rsidR="007820C3" w:rsidRPr="007820C3" w:rsidRDefault="007820C3" w:rsidP="00792CEE">
            <w:pPr>
              <w:pStyle w:val="BodyText"/>
              <w:rPr>
                <w:rFonts w:ascii="Arial" w:hAnsi="Arial" w:cs="Arial"/>
                <w:color w:val="FF00FF"/>
                <w:szCs w:val="24"/>
              </w:rPr>
            </w:pPr>
          </w:p>
          <w:p w14:paraId="0FF152EF" w14:textId="77777777" w:rsidR="007820C3" w:rsidRPr="003E5AD7" w:rsidRDefault="007820C3" w:rsidP="00792CEE">
            <w:pPr>
              <w:pStyle w:val="BodyText"/>
              <w:rPr>
                <w:rFonts w:ascii="Arial" w:hAnsi="Arial" w:cs="Arial"/>
                <w:color w:val="auto"/>
                <w:szCs w:val="24"/>
              </w:rPr>
            </w:pPr>
            <w:r w:rsidRPr="003E5AD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E5AD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13BF3B8E" w14:textId="77777777" w:rsidR="000E24AB" w:rsidRDefault="007820C3" w:rsidP="00C07952">
            <w:pPr>
              <w:rPr>
                <w:rFonts w:ascii="Arial" w:hAnsi="Arial" w:cs="Arial"/>
                <w:szCs w:val="24"/>
              </w:rPr>
            </w:pPr>
            <w:r w:rsidRPr="003E5AD7">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7D7D439C" w14:textId="397C0D60" w:rsidR="000E24AB" w:rsidRPr="000E24AB" w:rsidRDefault="000E24AB" w:rsidP="000E24AB">
            <w:pPr>
              <w:ind w:left="630" w:hanging="630"/>
              <w:rPr>
                <w:rFonts w:ascii="Arial" w:hAnsi="Arial" w:cs="Arial"/>
                <w:szCs w:val="24"/>
              </w:rPr>
            </w:pPr>
            <w:r w:rsidRPr="000E24AB">
              <w:rPr>
                <w:rFonts w:ascii="Arial" w:hAnsi="Arial" w:cs="Arial"/>
                <w:szCs w:val="24"/>
              </w:rPr>
              <w:t>•</w:t>
            </w:r>
            <w:r w:rsidRPr="000E24AB">
              <w:rPr>
                <w:rFonts w:ascii="Arial" w:hAnsi="Arial" w:cs="Arial"/>
                <w:szCs w:val="24"/>
              </w:rPr>
              <w:tab/>
              <w:t>Suspended Solids (measured after during ay</w:t>
            </w:r>
            <w:r>
              <w:rPr>
                <w:rFonts w:ascii="Arial" w:hAnsi="Arial" w:cs="Arial"/>
                <w:szCs w:val="24"/>
              </w:rPr>
              <w:t xml:space="preserve"> </w:t>
            </w:r>
            <w:r w:rsidRPr="000E24AB">
              <w:rPr>
                <w:rFonts w:ascii="Arial" w:hAnsi="Arial" w:cs="Arial"/>
                <w:szCs w:val="24"/>
              </w:rPr>
              <w:t xml:space="preserve">105oC) – </w:t>
            </w:r>
            <w:r>
              <w:rPr>
                <w:rFonts w:ascii="Arial" w:hAnsi="Arial" w:cs="Arial"/>
                <w:szCs w:val="24"/>
              </w:rPr>
              <w:t>4</w:t>
            </w:r>
            <w:r w:rsidRPr="000E24AB">
              <w:rPr>
                <w:rFonts w:ascii="Arial" w:hAnsi="Arial" w:cs="Arial"/>
                <w:szCs w:val="24"/>
              </w:rPr>
              <w:t>0mg/l</w:t>
            </w:r>
          </w:p>
          <w:p w14:paraId="4997AF7C" w14:textId="595BB020" w:rsidR="000E24AB" w:rsidRPr="000E24AB" w:rsidRDefault="000E24AB" w:rsidP="000E24AB">
            <w:pPr>
              <w:rPr>
                <w:rFonts w:ascii="Arial" w:hAnsi="Arial" w:cs="Arial"/>
                <w:szCs w:val="24"/>
              </w:rPr>
            </w:pPr>
            <w:r w:rsidRPr="000E24AB">
              <w:rPr>
                <w:rFonts w:ascii="Arial" w:hAnsi="Arial" w:cs="Arial"/>
                <w:szCs w:val="24"/>
              </w:rPr>
              <w:lastRenderedPageBreak/>
              <w:t>•</w:t>
            </w:r>
            <w:r w:rsidRPr="000E24AB">
              <w:rPr>
                <w:rFonts w:ascii="Arial" w:hAnsi="Arial" w:cs="Arial"/>
                <w:szCs w:val="24"/>
              </w:rPr>
              <w:tab/>
              <w:t xml:space="preserve">Total </w:t>
            </w:r>
            <w:r>
              <w:rPr>
                <w:rFonts w:ascii="Arial" w:hAnsi="Arial" w:cs="Arial"/>
                <w:szCs w:val="24"/>
              </w:rPr>
              <w:t>Aluminium</w:t>
            </w:r>
            <w:r w:rsidRPr="000E24AB">
              <w:rPr>
                <w:rFonts w:ascii="Arial" w:hAnsi="Arial" w:cs="Arial"/>
                <w:szCs w:val="24"/>
              </w:rPr>
              <w:t xml:space="preserve"> as </w:t>
            </w:r>
            <w:r>
              <w:rPr>
                <w:rFonts w:ascii="Arial" w:hAnsi="Arial" w:cs="Arial"/>
                <w:szCs w:val="24"/>
              </w:rPr>
              <w:t>Al</w:t>
            </w:r>
            <w:r w:rsidRPr="000E24AB">
              <w:rPr>
                <w:rFonts w:ascii="Arial" w:hAnsi="Arial" w:cs="Arial"/>
                <w:szCs w:val="24"/>
              </w:rPr>
              <w:t xml:space="preserve"> – 1,000µg/l</w:t>
            </w:r>
          </w:p>
          <w:p w14:paraId="5B33F825" w14:textId="77777777" w:rsidR="000E24AB" w:rsidRPr="000E24AB" w:rsidRDefault="000E24AB" w:rsidP="000E24AB">
            <w:pPr>
              <w:rPr>
                <w:rFonts w:ascii="Arial" w:hAnsi="Arial" w:cs="Arial"/>
                <w:szCs w:val="24"/>
              </w:rPr>
            </w:pPr>
            <w:r w:rsidRPr="000E24AB">
              <w:rPr>
                <w:rFonts w:ascii="Arial" w:hAnsi="Arial" w:cs="Arial"/>
                <w:szCs w:val="24"/>
              </w:rPr>
              <w:t>•</w:t>
            </w:r>
            <w:r w:rsidRPr="000E24AB">
              <w:rPr>
                <w:rFonts w:ascii="Arial" w:hAnsi="Arial" w:cs="Arial"/>
                <w:szCs w:val="24"/>
              </w:rPr>
              <w:tab/>
              <w:t>pH between 6 -9</w:t>
            </w:r>
          </w:p>
          <w:p w14:paraId="73C383F2" w14:textId="77777777" w:rsidR="000E24AB" w:rsidRPr="000E24AB" w:rsidRDefault="000E24AB" w:rsidP="000E24AB">
            <w:pPr>
              <w:rPr>
                <w:rFonts w:ascii="Arial" w:hAnsi="Arial" w:cs="Arial"/>
                <w:szCs w:val="24"/>
              </w:rPr>
            </w:pPr>
          </w:p>
          <w:p w14:paraId="2EA9D952" w14:textId="6C77B356" w:rsidR="000E24AB" w:rsidRPr="000E24AB" w:rsidRDefault="000E24AB" w:rsidP="000E24AB">
            <w:pPr>
              <w:rPr>
                <w:rFonts w:ascii="Arial" w:hAnsi="Arial" w:cs="Arial"/>
                <w:szCs w:val="24"/>
              </w:rPr>
            </w:pPr>
            <w:r w:rsidRPr="000E24AB">
              <w:rPr>
                <w:rFonts w:ascii="Arial" w:hAnsi="Arial" w:cs="Arial"/>
                <w:szCs w:val="24"/>
              </w:rPr>
              <w:t xml:space="preserve">The suspended solids limits has been set in order to protect the receiving environment following consultation with the Local Environment Team. It has been set lower than the current Water Quality Standard of </w:t>
            </w:r>
            <w:r w:rsidR="00862259">
              <w:rPr>
                <w:rFonts w:ascii="Arial" w:hAnsi="Arial" w:cs="Arial"/>
                <w:szCs w:val="24"/>
              </w:rPr>
              <w:t>50</w:t>
            </w:r>
            <w:r w:rsidRPr="000E24AB">
              <w:rPr>
                <w:rFonts w:ascii="Arial" w:hAnsi="Arial" w:cs="Arial"/>
                <w:szCs w:val="24"/>
              </w:rPr>
              <w:t>mg/l in order to protect the receiving watercourse.</w:t>
            </w:r>
          </w:p>
          <w:p w14:paraId="4502E2C0" w14:textId="5FA0E388" w:rsidR="000E24AB" w:rsidRPr="000E24AB" w:rsidRDefault="000E24AB" w:rsidP="000E24AB">
            <w:pPr>
              <w:rPr>
                <w:rFonts w:ascii="Arial" w:hAnsi="Arial" w:cs="Arial"/>
                <w:szCs w:val="24"/>
              </w:rPr>
            </w:pPr>
            <w:r w:rsidRPr="000E24AB">
              <w:rPr>
                <w:rFonts w:ascii="Arial" w:hAnsi="Arial" w:cs="Arial"/>
                <w:szCs w:val="24"/>
              </w:rPr>
              <w:t xml:space="preserve">The total </w:t>
            </w:r>
            <w:r>
              <w:rPr>
                <w:rFonts w:ascii="Arial" w:hAnsi="Arial" w:cs="Arial"/>
                <w:szCs w:val="24"/>
              </w:rPr>
              <w:t>Alu</w:t>
            </w:r>
            <w:r w:rsidR="00FD7E5F">
              <w:rPr>
                <w:rFonts w:ascii="Arial" w:hAnsi="Arial" w:cs="Arial"/>
                <w:szCs w:val="24"/>
              </w:rPr>
              <w:t>min</w:t>
            </w:r>
            <w:r>
              <w:rPr>
                <w:rFonts w:ascii="Arial" w:hAnsi="Arial" w:cs="Arial"/>
                <w:szCs w:val="24"/>
              </w:rPr>
              <w:t>ium</w:t>
            </w:r>
            <w:r w:rsidRPr="000E24AB">
              <w:rPr>
                <w:rFonts w:ascii="Arial" w:hAnsi="Arial" w:cs="Arial"/>
                <w:szCs w:val="24"/>
              </w:rPr>
              <w:t xml:space="preserve"> limit has been set as the MAC EQS.</w:t>
            </w:r>
          </w:p>
          <w:p w14:paraId="0FF1532F" w14:textId="1AC1AFED" w:rsidR="00FB30B4" w:rsidRPr="007820C3" w:rsidRDefault="000E24AB" w:rsidP="000E24AB">
            <w:pPr>
              <w:rPr>
                <w:rFonts w:ascii="Arial" w:hAnsi="Arial" w:cs="Arial"/>
                <w:szCs w:val="24"/>
              </w:rPr>
            </w:pPr>
            <w:r w:rsidRPr="000E24AB">
              <w:rPr>
                <w:rFonts w:ascii="Arial" w:hAnsi="Arial" w:cs="Arial"/>
                <w:szCs w:val="24"/>
              </w:rPr>
              <w:t>The pH limit has been set in order to safeguard the receiving environment.</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6225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632A13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proofErr w:type="spellStart"/>
            <w:r w:rsidRPr="00862259">
              <w:rPr>
                <w:rFonts w:ascii="Arial" w:eastAsia="Arial" w:hAnsi="Arial" w:cs="Arial"/>
              </w:rPr>
              <w:t>stand alone</w:t>
            </w:r>
            <w:proofErr w:type="spellEnd"/>
            <w:r w:rsidRPr="00862259">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B47D5E8" w:rsidR="00C44B7E" w:rsidRPr="00C96CAD" w:rsidRDefault="00C44B7E" w:rsidP="00C96CAD">
      <w:pPr>
        <w:pStyle w:val="Heading1"/>
        <w:jc w:val="left"/>
        <w:rPr>
          <w:color w:val="FF0000"/>
        </w:rPr>
      </w:pPr>
    </w:p>
    <w:sectPr w:rsidR="00C44B7E" w:rsidRPr="00C96CAD"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93272494">
    <w:abstractNumId w:val="1"/>
  </w:num>
  <w:num w:numId="2" w16cid:durableId="582683097">
    <w:abstractNumId w:val="15"/>
  </w:num>
  <w:num w:numId="3" w16cid:durableId="421072268">
    <w:abstractNumId w:val="12"/>
  </w:num>
  <w:num w:numId="4" w16cid:durableId="483856421">
    <w:abstractNumId w:val="2"/>
  </w:num>
  <w:num w:numId="5" w16cid:durableId="57632368">
    <w:abstractNumId w:val="4"/>
  </w:num>
  <w:num w:numId="6" w16cid:durableId="644117913">
    <w:abstractNumId w:val="3"/>
  </w:num>
  <w:num w:numId="7" w16cid:durableId="684014076">
    <w:abstractNumId w:val="7"/>
  </w:num>
  <w:num w:numId="8" w16cid:durableId="269119525">
    <w:abstractNumId w:val="14"/>
  </w:num>
  <w:num w:numId="9" w16cid:durableId="1090929303">
    <w:abstractNumId w:val="18"/>
  </w:num>
  <w:num w:numId="10" w16cid:durableId="603734051">
    <w:abstractNumId w:val="10"/>
  </w:num>
  <w:num w:numId="11" w16cid:durableId="331227884">
    <w:abstractNumId w:val="13"/>
  </w:num>
  <w:num w:numId="12" w16cid:durableId="1111558372">
    <w:abstractNumId w:val="17"/>
  </w:num>
  <w:num w:numId="13" w16cid:durableId="1744258136">
    <w:abstractNumId w:val="16"/>
  </w:num>
  <w:num w:numId="14" w16cid:durableId="472453262">
    <w:abstractNumId w:val="9"/>
  </w:num>
  <w:num w:numId="15" w16cid:durableId="1850096191">
    <w:abstractNumId w:val="11"/>
  </w:num>
  <w:num w:numId="16" w16cid:durableId="391122786">
    <w:abstractNumId w:val="5"/>
  </w:num>
  <w:num w:numId="17" w16cid:durableId="1463695130">
    <w:abstractNumId w:val="0"/>
  </w:num>
  <w:num w:numId="18" w16cid:durableId="2031225627">
    <w:abstractNumId w:val="8"/>
  </w:num>
  <w:num w:numId="19" w16cid:durableId="52213824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0A3B"/>
    <w:rsid w:val="00094448"/>
    <w:rsid w:val="000A6110"/>
    <w:rsid w:val="000B0C2A"/>
    <w:rsid w:val="000C3151"/>
    <w:rsid w:val="000D0EAE"/>
    <w:rsid w:val="000D4FFB"/>
    <w:rsid w:val="000E24AB"/>
    <w:rsid w:val="000E2BCE"/>
    <w:rsid w:val="000E54AC"/>
    <w:rsid w:val="000F3D3D"/>
    <w:rsid w:val="001034AC"/>
    <w:rsid w:val="00107C27"/>
    <w:rsid w:val="00112F82"/>
    <w:rsid w:val="001164C1"/>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103B"/>
    <w:rsid w:val="003C3084"/>
    <w:rsid w:val="003C6618"/>
    <w:rsid w:val="003D0088"/>
    <w:rsid w:val="003D1803"/>
    <w:rsid w:val="003D19D2"/>
    <w:rsid w:val="003E395A"/>
    <w:rsid w:val="003E476B"/>
    <w:rsid w:val="003E5AD7"/>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7B1"/>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0116"/>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12B7"/>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2259"/>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697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770B3"/>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96CAD"/>
    <w:rsid w:val="00CA3222"/>
    <w:rsid w:val="00CA35B5"/>
    <w:rsid w:val="00CA4E7D"/>
    <w:rsid w:val="00CA62D3"/>
    <w:rsid w:val="00CF0436"/>
    <w:rsid w:val="00CF4D6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485"/>
    <w:rsid w:val="00DC28B8"/>
    <w:rsid w:val="00DC3714"/>
    <w:rsid w:val="00DD068A"/>
    <w:rsid w:val="00DE09DD"/>
    <w:rsid w:val="00DE395A"/>
    <w:rsid w:val="00DE632F"/>
    <w:rsid w:val="00DF13FA"/>
    <w:rsid w:val="00DF59C4"/>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0D60"/>
    <w:rsid w:val="00FC29AE"/>
    <w:rsid w:val="00FD235E"/>
    <w:rsid w:val="00FD55E6"/>
    <w:rsid w:val="00FD6F39"/>
    <w:rsid w:val="00FD759F"/>
    <w:rsid w:val="00FD7E5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3C103B"/>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3C103B"/>
    <w:rPr>
      <w:rFonts w:ascii="Arial" w:hAnsi="Arial"/>
      <w:color w:val="000000"/>
      <w:sz w:val="18"/>
      <w:lang w:eastAsia="en-US"/>
    </w:rPr>
  </w:style>
  <w:style w:type="paragraph" w:styleId="HTMLPreformatted">
    <w:name w:val="HTML Preformatted"/>
    <w:basedOn w:val="Normal"/>
    <w:link w:val="HTMLPreformattedChar"/>
    <w:rsid w:val="003C10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rsid w:val="003C103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REGU-369-2751813</_dlc_DocId>
    <_dlc_DocIdUrl xmlns="9be56660-2c31-41ef-bc00-23e72f632f2a">
      <Url>https://cyfoethnaturiolcymru.sharepoint.com/teams/Regulatory/Permitting/_layouts/15/DocIdRedir.aspx?ID=REGU-369-2751813</Url>
      <Description>REGU-369-2751813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Mona Precast (Anglesey) Ltd</Site_x0020_Name>
    <Internal_x002f_External xmlns="859f7ad6-93f6-4205-b62b-a17f28acbbac">Internal document</Internal_x002f_External>
    <Post_x0020_code xmlns="859f7ad6-93f6-4205-b62b-a17f28acbbac">LL60 6HR</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Gaerwen Industrial Estate, Gaerwen, LL60 6HR</Addressee>
    <Process_x0020_Type xmlns="859f7ad6-93f6-4205-b62b-a17f28acbbac">Application</Process_x0020_Type>
    <Surrendered_x002f_Expired xmlns="859f7ad6-93f6-4205-b62b-a17f28acbbac" xsi:nil="true"/>
    <Document_x0020_Date xmlns="859f7ad6-93f6-4205-b62b-a17f28acbbac">2023-10-24T23:00:00+00:00</Document_x0020_Date>
    <Facility_x0020_Address xmlns="859f7ad6-93f6-4205-b62b-a17f28acbbac">Gaerwen Industrial Estate, Gaerwen</Facility_x0020_Address>
    <Environment_x0020_Sub_x0020_Folder xmlns="859f7ad6-93f6-4205-b62b-a17f28acbbac">Licences applications</Environment_x0020_Sub_x0020_Folder>
    <Customer_x0020_Name xmlns="859f7ad6-93f6-4205-b62b-a17f28acbbac">Mona Precast (Anglesey)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938865-9ED5-4FCE-B49C-6C840AA45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cd6faf52-b12f-444c-a3fc-1f0e7a71d996"/>
    <ds:schemaRef ds:uri="http://purl.org/dc/terms/"/>
    <ds:schemaRef ds:uri="http://schemas.microsoft.com/office/infopath/2007/PartnerControls"/>
    <ds:schemaRef ds:uri="http://purl.org/dc/dcmitype/"/>
    <ds:schemaRef ds:uri="859f7ad6-93f6-4205-b62b-a17f28acbbac"/>
    <ds:schemaRef ds:uri="http://schemas.openxmlformats.org/package/2006/metadata/core-properties"/>
    <ds:schemaRef ds:uri="http://schemas.microsoft.com/office/2006/documentManagement/types"/>
    <ds:schemaRef ds:uri="http://purl.org/dc/elements/1.1/"/>
    <ds:schemaRef ds:uri="9be56660-2c31-41ef-bc00-23e72f632f2a"/>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948BB9D8-3894-4255-AA73-3FB2678F8F8E}">
  <ds:schemaRefs>
    <ds:schemaRef ds:uri="http://schemas.openxmlformats.org/officeDocument/2006/bibliography"/>
  </ds:schemaRefs>
</ds:datastoreItem>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1156</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PAN-019716 Decision Document - Standalone Water discharge</vt:lpstr>
    </vt:vector>
  </TitlesOfParts>
  <Company>Environment Agency</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PAN-019716 Decision Document - Standalone Water discharge</dc:title>
  <dc:subject/>
  <dc:creator>Asta Smith</dc:creator>
  <cp:keywords>23308SD92, 233 08 SD92, 233-08-SD92</cp:keywords>
  <dc:description>233_08_SD92, Version 3_x000d_
Issue date: 19/07/2011</dc:description>
  <cp:lastModifiedBy>Smith, Asta</cp:lastModifiedBy>
  <cp:revision>20</cp:revision>
  <cp:lastPrinted>2008-01-30T13:54:00Z</cp:lastPrinted>
  <dcterms:created xsi:type="dcterms:W3CDTF">2023-09-25T09:31:00Z</dcterms:created>
  <dcterms:modified xsi:type="dcterms:W3CDTF">2023-10-25T10:20:00Z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d7ccb5f6-7c08-497d-a252-2831927e0c7e</vt:lpwstr>
  </property>
  <property fmtid="{D5CDD505-2E9C-101B-9397-08002B2CF9AE}" pid="11" name="SharedWithUsers">
    <vt:lpwstr/>
  </property>
  <property fmtid="{D5CDD505-2E9C-101B-9397-08002B2CF9AE}" pid="12" name="MediaServiceImageTags">
    <vt:lpwstr/>
  </property>
</Properties>
</file>