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REGU-212-1881008</_dlc_DocId>
    <_dlc_DocIdUrl xmlns="9be56660-2c31-41ef-bc00-23e72f632f2a">
      <Url>https://cyfoethnaturiolcymru.sharepoint.com/teams/Regulatory/Permitting/_layouts/15/DocIdRedir.aspx?ID=REGU-212-1881008</Url>
      <Description>REGU-212-1881008</Description>
    </_dlc_DocIdUrl>
    <Site_x0020_Name xmlns="859f7ad6-93f6-4205-b62b-a17f28acbbac">Adpar Wastewater Treatment Works</Site_x0020_Name>
    <Internal_x002f_External xmlns="859f7ad6-93f6-4205-b62b-a17f28acbbac">Incoming document</Internal_x002f_External>
    <Post_x0020_code xmlns="859f7ad6-93f6-4205-b62b-a17f28acbbac">SA38 9NT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2023-03-22T00:00:00+00:00</Document_x0020_Date>
    <Facility_x0020_Address xmlns="859f7ad6-93f6-4205-b62b-a17f28acbbac">Rear of house 'Woodspring', Lloyds Terrace, Adpar, Newcastle Emlyn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AE1CD-282F-4188-ABE1-F79C2425ABF0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61D619F2-F549-460F-8D85-ACB69F4A694D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ef6d1558-502b-4c19-a4bf-7a2e66936ed0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