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6C8DF4" w:rsidR="00D04424" w:rsidRPr="00F43A6C" w:rsidRDefault="0014332B" w:rsidP="003719AD">
      <w:pPr>
        <w:pStyle w:val="Heading1"/>
        <w:spacing w:before="0" w:after="0"/>
        <w:jc w:val="left"/>
        <w:rPr>
          <w:bCs/>
          <w:color w:val="auto"/>
          <w:sz w:val="32"/>
        </w:rPr>
      </w:pPr>
      <w:r w:rsidRPr="00F43A6C">
        <w:rPr>
          <w:bCs/>
          <w:color w:val="auto"/>
          <w:sz w:val="32"/>
        </w:rPr>
        <w:t>Bespoke p</w:t>
      </w:r>
      <w:r w:rsidR="00D04424" w:rsidRPr="00F43A6C">
        <w:rPr>
          <w:bCs/>
          <w:color w:val="auto"/>
          <w:sz w:val="32"/>
        </w:rPr>
        <w:t>ermit</w:t>
      </w:r>
      <w:r w:rsidR="00B73ECB" w:rsidRPr="00F43A6C">
        <w:rPr>
          <w:bCs/>
          <w:color w:val="auto"/>
          <w:sz w:val="32"/>
        </w:rPr>
        <w:t xml:space="preserve"> </w:t>
      </w:r>
    </w:p>
    <w:p w14:paraId="0FF1524F" w14:textId="77777777" w:rsidR="007820C3" w:rsidRPr="00F43A6C" w:rsidRDefault="007820C3" w:rsidP="00D04424">
      <w:pPr>
        <w:rPr>
          <w:rFonts w:ascii="Arial" w:hAnsi="Arial" w:cs="Arial"/>
          <w:szCs w:val="24"/>
        </w:rPr>
      </w:pPr>
    </w:p>
    <w:p w14:paraId="0FF15250" w14:textId="32945E6A" w:rsidR="00D04424" w:rsidRPr="00F43A6C" w:rsidRDefault="0060457F" w:rsidP="006B0BFB">
      <w:pPr>
        <w:spacing w:after="120"/>
        <w:rPr>
          <w:rFonts w:ascii="Arial" w:hAnsi="Arial" w:cs="Arial"/>
          <w:szCs w:val="24"/>
        </w:rPr>
      </w:pPr>
      <w:r w:rsidRPr="00F43A6C">
        <w:rPr>
          <w:rFonts w:ascii="Arial" w:hAnsi="Arial" w:cs="Arial"/>
          <w:szCs w:val="24"/>
        </w:rPr>
        <w:t xml:space="preserve">We have decided to </w:t>
      </w:r>
      <w:r w:rsidR="00D2020E" w:rsidRPr="00F43A6C">
        <w:rPr>
          <w:rFonts w:ascii="Arial" w:hAnsi="Arial" w:cs="Arial"/>
          <w:szCs w:val="24"/>
        </w:rPr>
        <w:t xml:space="preserve">grant </w:t>
      </w:r>
      <w:r w:rsidRPr="00F43A6C">
        <w:rPr>
          <w:rFonts w:ascii="Arial" w:hAnsi="Arial" w:cs="Arial"/>
          <w:szCs w:val="24"/>
        </w:rPr>
        <w:t xml:space="preserve">the permit for </w:t>
      </w:r>
      <w:proofErr w:type="spellStart"/>
      <w:r w:rsidR="00DF03E0" w:rsidRPr="00F43A6C">
        <w:rPr>
          <w:rFonts w:ascii="Arial" w:hAnsi="Arial" w:cs="Arial"/>
          <w:szCs w:val="24"/>
        </w:rPr>
        <w:t>Henstent</w:t>
      </w:r>
      <w:proofErr w:type="spellEnd"/>
      <w:r w:rsidR="00DF03E0" w:rsidRPr="00F43A6C">
        <w:rPr>
          <w:rFonts w:ascii="Arial" w:hAnsi="Arial" w:cs="Arial"/>
          <w:szCs w:val="24"/>
        </w:rPr>
        <w:t xml:space="preserve"> </w:t>
      </w:r>
      <w:r w:rsidR="00F43A6C" w:rsidRPr="00F43A6C">
        <w:rPr>
          <w:rFonts w:ascii="Arial" w:hAnsi="Arial" w:cs="Arial"/>
          <w:szCs w:val="24"/>
        </w:rPr>
        <w:t>Holiday Park</w:t>
      </w:r>
      <w:r w:rsidRPr="00F43A6C">
        <w:rPr>
          <w:rFonts w:ascii="Arial" w:hAnsi="Arial" w:cs="Arial"/>
          <w:szCs w:val="24"/>
        </w:rPr>
        <w:t xml:space="preserve"> operated by </w:t>
      </w:r>
      <w:r w:rsidR="00F43A6C" w:rsidRPr="00F43A6C">
        <w:rPr>
          <w:rFonts w:ascii="Arial" w:hAnsi="Arial" w:cs="Arial"/>
          <w:szCs w:val="24"/>
        </w:rPr>
        <w:t>Pale Wood Holiday Park Limited</w:t>
      </w:r>
      <w:r w:rsidR="001034AC" w:rsidRPr="00F43A6C">
        <w:rPr>
          <w:rFonts w:ascii="Arial" w:hAnsi="Arial" w:cs="Arial"/>
          <w:szCs w:val="24"/>
        </w:rPr>
        <w:t>.</w:t>
      </w:r>
    </w:p>
    <w:p w14:paraId="178F17B4" w14:textId="00B5BC9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36485A">
        <w:rPr>
          <w:rFonts w:ascii="Arial" w:hAnsi="Arial"/>
          <w:color w:val="000000"/>
          <w:kern w:val="28"/>
          <w:szCs w:val="24"/>
        </w:rPr>
        <w:t>PAN-022895</w:t>
      </w:r>
    </w:p>
    <w:p w14:paraId="0FF15251" w14:textId="59A776B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40301">
        <w:rPr>
          <w:rFonts w:ascii="Arial" w:hAnsi="Arial"/>
          <w:szCs w:val="24"/>
        </w:rPr>
        <w:t>EPR-DB3096CL</w:t>
      </w:r>
    </w:p>
    <w:p w14:paraId="489D1EC9" w14:textId="026BE574" w:rsidR="004F30B7" w:rsidRPr="004F30B7" w:rsidRDefault="004F30B7" w:rsidP="004F30B7">
      <w:pPr>
        <w:pStyle w:val="Heading3nonum"/>
        <w:rPr>
          <w:color w:val="auto"/>
          <w:sz w:val="24"/>
          <w:lang w:eastAsia="en-GB"/>
        </w:rPr>
      </w:pPr>
      <w:r w:rsidRPr="004F30B7">
        <w:rPr>
          <w:color w:val="auto"/>
          <w:sz w:val="24"/>
          <w:lang w:eastAsia="en-GB"/>
        </w:rPr>
        <w:t xml:space="preserve">A new discharge of 4.2m3/day serving a static caravan park. There are seven caravans in total, fully serviced which can accommodate four people. The discharge is secondary treated by a package treatment plant and discharges to the </w:t>
      </w:r>
      <w:proofErr w:type="spellStart"/>
      <w:r w:rsidRPr="004F30B7">
        <w:rPr>
          <w:color w:val="auto"/>
          <w:sz w:val="24"/>
          <w:lang w:eastAsia="en-GB"/>
        </w:rPr>
        <w:t>Afon</w:t>
      </w:r>
      <w:proofErr w:type="spellEnd"/>
      <w:r w:rsidRPr="004F30B7">
        <w:rPr>
          <w:color w:val="auto"/>
          <w:sz w:val="24"/>
          <w:lang w:eastAsia="en-GB"/>
        </w:rPr>
        <w:t xml:space="preserve"> Tanat.</w:t>
      </w:r>
    </w:p>
    <w:bookmarkEnd w:id="0"/>
    <w:bookmarkEnd w:id="1"/>
    <w:p w14:paraId="78EC83E6" w14:textId="77777777" w:rsidR="004F30B7" w:rsidRDefault="004F30B7" w:rsidP="006B0BFB">
      <w:pPr>
        <w:spacing w:after="120"/>
        <w:rPr>
          <w:rFonts w:ascii="Arial" w:hAnsi="Arial"/>
        </w:rPr>
      </w:pPr>
    </w:p>
    <w:p w14:paraId="0FF15253" w14:textId="3578DE1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6EFCD36" w:rsidR="007820C3" w:rsidRPr="003D6C70" w:rsidRDefault="007820C3" w:rsidP="007820C3">
            <w:pPr>
              <w:pStyle w:val="Heading3"/>
              <w:spacing w:before="60"/>
              <w:rPr>
                <w:rFonts w:ascii="Arial" w:hAnsi="Arial" w:cs="Arial"/>
                <w:b w:val="0"/>
                <w:szCs w:val="24"/>
                <w:highlight w:val="red"/>
              </w:rPr>
            </w:pPr>
            <w:r w:rsidRPr="003D6C70">
              <w:rPr>
                <w:rFonts w:ascii="Arial" w:hAnsi="Arial" w:cs="Arial"/>
                <w:b w:val="0"/>
                <w:szCs w:val="24"/>
              </w:rPr>
              <w:t xml:space="preserve">Responses to web publicising </w:t>
            </w:r>
          </w:p>
        </w:tc>
        <w:tc>
          <w:tcPr>
            <w:tcW w:w="6266" w:type="dxa"/>
            <w:tcBorders>
              <w:bottom w:val="single" w:sz="4" w:space="0" w:color="auto"/>
            </w:tcBorders>
          </w:tcPr>
          <w:p w14:paraId="0FF1529A" w14:textId="07446FE0" w:rsidR="007820C3" w:rsidRPr="003D6C70" w:rsidRDefault="007820C3" w:rsidP="007820C3">
            <w:pPr>
              <w:spacing w:before="60"/>
              <w:rPr>
                <w:rFonts w:ascii="Arial" w:hAnsi="Arial" w:cs="Arial"/>
                <w:szCs w:val="24"/>
              </w:rPr>
            </w:pPr>
            <w:r w:rsidRPr="003D6C70">
              <w:rPr>
                <w:rFonts w:ascii="Arial" w:hAnsi="Arial" w:cs="Arial"/>
                <w:szCs w:val="24"/>
              </w:rPr>
              <w:t xml:space="preserve">The web publicising responses (Annex 2) were </w:t>
            </w:r>
            <w:proofErr w:type="gramStart"/>
            <w:r w:rsidRPr="003D6C70">
              <w:rPr>
                <w:rFonts w:ascii="Arial" w:hAnsi="Arial" w:cs="Arial"/>
                <w:szCs w:val="24"/>
              </w:rPr>
              <w:t>taken into account</w:t>
            </w:r>
            <w:proofErr w:type="gramEnd"/>
            <w:r w:rsidRPr="003D6C70">
              <w:rPr>
                <w:rFonts w:ascii="Arial" w:hAnsi="Arial" w:cs="Arial"/>
                <w:szCs w:val="24"/>
              </w:rPr>
              <w:t xml:space="preserve"> in the decision.  </w:t>
            </w:r>
          </w:p>
          <w:p w14:paraId="0FF1529B" w14:textId="77777777" w:rsidR="007820C3" w:rsidRPr="003D6C70" w:rsidRDefault="007820C3" w:rsidP="007820C3">
            <w:pPr>
              <w:spacing w:before="60"/>
              <w:rPr>
                <w:rFonts w:ascii="Arial" w:hAnsi="Arial" w:cs="Arial"/>
                <w:szCs w:val="24"/>
              </w:rPr>
            </w:pPr>
          </w:p>
          <w:p w14:paraId="0FF1529C" w14:textId="77777777" w:rsidR="007820C3" w:rsidRPr="003D6C70" w:rsidRDefault="007820C3" w:rsidP="007820C3">
            <w:pPr>
              <w:spacing w:before="60"/>
              <w:rPr>
                <w:rFonts w:ascii="Arial" w:hAnsi="Arial" w:cs="Arial"/>
                <w:szCs w:val="24"/>
              </w:rPr>
            </w:pPr>
            <w:r w:rsidRPr="003D6C70">
              <w:rPr>
                <w:rFonts w:ascii="Arial" w:hAnsi="Arial" w:cs="Arial"/>
                <w:szCs w:val="24"/>
              </w:rPr>
              <w:t xml:space="preserve">The decision was taken in accordance with our guidance. </w:t>
            </w:r>
          </w:p>
          <w:p w14:paraId="0FF1529D" w14:textId="77777777" w:rsidR="007820C3" w:rsidRPr="003D6C7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04FBF6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4E9C70E1" w:rsidR="007820C3" w:rsidRPr="00504636" w:rsidRDefault="007820C3" w:rsidP="00504636">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4D76D7" w:rsidRDefault="00AF4C00" w:rsidP="0016775A">
            <w:pPr>
              <w:rPr>
                <w:rFonts w:ascii="Arial" w:hAnsi="Arial" w:cs="Arial"/>
              </w:rPr>
            </w:pPr>
            <w:r w:rsidRPr="004D76D7">
              <w:rPr>
                <w:rFonts w:ascii="Arial" w:hAnsi="Arial" w:cs="Arial"/>
                <w:szCs w:val="24"/>
              </w:rPr>
              <w:t xml:space="preserve">The </w:t>
            </w:r>
            <w:r w:rsidR="00EC6B7A" w:rsidRPr="004D76D7">
              <w:rPr>
                <w:rFonts w:ascii="Arial" w:hAnsi="Arial" w:cs="Arial"/>
                <w:szCs w:val="24"/>
              </w:rPr>
              <w:t>discharge</w:t>
            </w:r>
            <w:r w:rsidR="003A1935" w:rsidRPr="004D76D7">
              <w:rPr>
                <w:rFonts w:ascii="Arial" w:hAnsi="Arial" w:cs="Arial"/>
                <w:szCs w:val="24"/>
              </w:rPr>
              <w:t xml:space="preserve"> activity</w:t>
            </w:r>
            <w:r w:rsidR="00EC6B7A" w:rsidRPr="004D76D7">
              <w:rPr>
                <w:rFonts w:ascii="Arial" w:hAnsi="Arial" w:cs="Arial"/>
                <w:szCs w:val="24"/>
              </w:rPr>
              <w:t xml:space="preserve"> screens out from needing further assessment under WFD as it is not in </w:t>
            </w:r>
            <w:r w:rsidR="009A341D" w:rsidRPr="004D76D7">
              <w:rPr>
                <w:rFonts w:ascii="Arial" w:hAnsi="Arial" w:cs="Arial"/>
              </w:rPr>
              <w:t xml:space="preserve">a </w:t>
            </w:r>
            <w:r w:rsidR="00930E1C" w:rsidRPr="004D76D7">
              <w:rPr>
                <w:rFonts w:ascii="Arial" w:hAnsi="Arial" w:cs="Arial"/>
              </w:rPr>
              <w:t>water body at high status or high status for morphology</w:t>
            </w:r>
            <w:r w:rsidR="00B13426" w:rsidRPr="004D76D7">
              <w:rPr>
                <w:rFonts w:ascii="Arial" w:hAnsi="Arial" w:cs="Arial"/>
              </w:rPr>
              <w:t>,</w:t>
            </w:r>
            <w:r w:rsidR="001B000A" w:rsidRPr="004D76D7">
              <w:rPr>
                <w:rFonts w:ascii="Arial" w:hAnsi="Arial" w:cs="Arial"/>
              </w:rPr>
              <w:t xml:space="preserve"> and it</w:t>
            </w:r>
            <w:r w:rsidR="00B13426" w:rsidRPr="004D76D7">
              <w:rPr>
                <w:rFonts w:ascii="Arial" w:hAnsi="Arial" w:cs="Arial"/>
              </w:rPr>
              <w:t xml:space="preserve"> is </w:t>
            </w:r>
            <w:r w:rsidR="004709A1" w:rsidRPr="004D76D7">
              <w:rPr>
                <w:rFonts w:ascii="Arial" w:hAnsi="Arial" w:cs="Arial"/>
              </w:rPr>
              <w:t xml:space="preserve">listed in Annex D as a </w:t>
            </w:r>
            <w:proofErr w:type="gramStart"/>
            <w:r w:rsidR="004709A1" w:rsidRPr="004D76D7">
              <w:rPr>
                <w:rFonts w:ascii="Arial" w:hAnsi="Arial" w:cs="Arial"/>
              </w:rPr>
              <w:t>low risk</w:t>
            </w:r>
            <w:proofErr w:type="gramEnd"/>
            <w:r w:rsidR="004709A1" w:rsidRPr="004D76D7">
              <w:rPr>
                <w:rFonts w:ascii="Arial" w:hAnsi="Arial" w:cs="Arial"/>
              </w:rPr>
              <w:t xml:space="preserve"> activity </w:t>
            </w:r>
            <w:r w:rsidR="001B000A" w:rsidRPr="004D76D7">
              <w:rPr>
                <w:rFonts w:ascii="Arial" w:hAnsi="Arial" w:cs="Arial"/>
              </w:rPr>
              <w:t>plus</w:t>
            </w:r>
            <w:r w:rsidR="004709A1" w:rsidRPr="004D76D7">
              <w:rPr>
                <w:rFonts w:ascii="Arial" w:hAnsi="Arial" w:cs="Arial"/>
              </w:rPr>
              <w:t xml:space="preserve"> there is no in combination </w:t>
            </w:r>
            <w:r w:rsidR="0040420C" w:rsidRPr="004D76D7">
              <w:rPr>
                <w:rFonts w:ascii="Arial" w:hAnsi="Arial" w:cs="Arial"/>
              </w:rPr>
              <w:t>impact</w:t>
            </w:r>
            <w:r w:rsidR="00C920B9" w:rsidRPr="004D76D7">
              <w:rPr>
                <w:rFonts w:ascii="Arial" w:hAnsi="Arial" w:cs="Arial"/>
              </w:rPr>
              <w:t>.</w:t>
            </w:r>
          </w:p>
          <w:p w14:paraId="7DEDFFF1" w14:textId="024C93CF" w:rsidR="00D04626" w:rsidRPr="007820C3" w:rsidRDefault="00D04626" w:rsidP="00D04626">
            <w:pPr>
              <w:spacing w:before="60"/>
              <w:rPr>
                <w:rFonts w:ascii="Arial" w:hAnsi="Arial" w:cs="Arial"/>
                <w:szCs w:val="24"/>
              </w:rPr>
            </w:pPr>
          </w:p>
        </w:tc>
        <w:tc>
          <w:tcPr>
            <w:tcW w:w="1072" w:type="dxa"/>
          </w:tcPr>
          <w:p w14:paraId="2E80C0FB" w14:textId="4E1F195F" w:rsidR="00D512DF" w:rsidRPr="00FB30B4" w:rsidRDefault="003359D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0462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E" w14:textId="4495203E" w:rsidR="007820C3" w:rsidRPr="00F81401" w:rsidRDefault="007820C3" w:rsidP="00EF499E">
            <w:pPr>
              <w:rPr>
                <w:rFonts w:ascii="Arial" w:hAnsi="Arial" w:cs="Arial"/>
                <w:szCs w:val="24"/>
              </w:rPr>
            </w:pPr>
            <w:r w:rsidRPr="00F81401">
              <w:rPr>
                <w:rFonts w:ascii="Arial" w:hAnsi="Arial" w:cs="Arial"/>
                <w:szCs w:val="24"/>
              </w:rPr>
              <w:lastRenderedPageBreak/>
              <w:t xml:space="preserve">We have not formally </w:t>
            </w:r>
            <w:proofErr w:type="gramStart"/>
            <w:r w:rsidRPr="00F81401">
              <w:rPr>
                <w:rFonts w:ascii="Arial" w:hAnsi="Arial" w:cs="Arial"/>
                <w:szCs w:val="24"/>
              </w:rPr>
              <w:t xml:space="preserve">consulted </w:t>
            </w:r>
            <w:r w:rsidR="009A3F85" w:rsidRPr="00F81401">
              <w:rPr>
                <w:rFonts w:ascii="Arial" w:hAnsi="Arial" w:cs="Arial"/>
                <w:szCs w:val="24"/>
              </w:rPr>
              <w:t xml:space="preserve"> </w:t>
            </w:r>
            <w:r w:rsidRPr="00F81401">
              <w:rPr>
                <w:rFonts w:ascii="Arial" w:hAnsi="Arial" w:cs="Arial"/>
                <w:szCs w:val="24"/>
              </w:rPr>
              <w:t>on</w:t>
            </w:r>
            <w:proofErr w:type="gramEnd"/>
            <w:r w:rsidRPr="00F81401">
              <w:rPr>
                <w:rFonts w:ascii="Arial" w:hAnsi="Arial" w:cs="Arial"/>
                <w:szCs w:val="24"/>
              </w:rPr>
              <w:t xml:space="preserve"> the application.  The decision was taken in accordance with our guidance. </w:t>
            </w:r>
          </w:p>
          <w:p w14:paraId="1AE4868B" w14:textId="539F76C6" w:rsidR="00136717" w:rsidRPr="00F81401" w:rsidRDefault="00136717" w:rsidP="00EF499E">
            <w:pPr>
              <w:rPr>
                <w:rFonts w:ascii="Arial" w:hAnsi="Arial" w:cs="Arial"/>
                <w:szCs w:val="24"/>
              </w:rPr>
            </w:pPr>
          </w:p>
          <w:p w14:paraId="0FF152CF" w14:textId="1D281DF6" w:rsidR="00FB30B4" w:rsidRPr="007820C3" w:rsidRDefault="007E6108" w:rsidP="00C80817">
            <w:pPr>
              <w:rPr>
                <w:rFonts w:ascii="Arial" w:hAnsi="Arial" w:cs="Arial"/>
                <w:color w:val="FF00FF"/>
                <w:szCs w:val="24"/>
              </w:rPr>
            </w:pPr>
            <w:r w:rsidRPr="00F81401">
              <w:rPr>
                <w:rFonts w:ascii="Arial" w:hAnsi="Arial" w:cs="Arial"/>
                <w:szCs w:val="24"/>
              </w:rPr>
              <w:t xml:space="preserve">Berwyn SPA and SSSI </w:t>
            </w:r>
            <w:r w:rsidR="00E36AC7" w:rsidRPr="00F81401">
              <w:rPr>
                <w:rFonts w:ascii="Arial" w:hAnsi="Arial" w:cs="Arial"/>
                <w:szCs w:val="24"/>
              </w:rPr>
              <w:t xml:space="preserve">are to the </w:t>
            </w:r>
            <w:proofErr w:type="gramStart"/>
            <w:r w:rsidR="00E36AC7" w:rsidRPr="00F81401">
              <w:rPr>
                <w:rFonts w:ascii="Arial" w:hAnsi="Arial" w:cs="Arial"/>
                <w:szCs w:val="24"/>
              </w:rPr>
              <w:t>north west</w:t>
            </w:r>
            <w:proofErr w:type="gramEnd"/>
            <w:r w:rsidR="00E36AC7" w:rsidRPr="00F81401">
              <w:rPr>
                <w:rFonts w:ascii="Arial" w:hAnsi="Arial" w:cs="Arial"/>
                <w:szCs w:val="24"/>
              </w:rPr>
              <w:t xml:space="preserve"> of the discharge point and there is no</w:t>
            </w:r>
            <w:r w:rsidR="00F81401" w:rsidRPr="00F81401">
              <w:rPr>
                <w:rFonts w:ascii="Arial" w:hAnsi="Arial" w:cs="Arial"/>
                <w:szCs w:val="24"/>
              </w:rPr>
              <w:t xml:space="preserve"> impact pathway from the </w:t>
            </w:r>
            <w:proofErr w:type="spellStart"/>
            <w:r w:rsidR="00F81401" w:rsidRPr="00F81401">
              <w:rPr>
                <w:rFonts w:ascii="Arial" w:hAnsi="Arial" w:cs="Arial"/>
                <w:szCs w:val="24"/>
              </w:rPr>
              <w:t>Afon</w:t>
            </w:r>
            <w:proofErr w:type="spellEnd"/>
            <w:r w:rsidR="00F81401" w:rsidRPr="00F81401">
              <w:rPr>
                <w:rFonts w:ascii="Arial" w:hAnsi="Arial" w:cs="Arial"/>
                <w:szCs w:val="24"/>
              </w:rPr>
              <w:t xml:space="preserve"> </w:t>
            </w:r>
            <w:proofErr w:type="spellStart"/>
            <w:r w:rsidR="00F81401" w:rsidRPr="00F81401">
              <w:rPr>
                <w:rFonts w:ascii="Arial" w:hAnsi="Arial" w:cs="Arial"/>
                <w:szCs w:val="24"/>
              </w:rPr>
              <w:t>Tanant</w:t>
            </w:r>
            <w:proofErr w:type="spellEnd"/>
            <w:r w:rsidR="00F81401" w:rsidRPr="00F81401">
              <w:rPr>
                <w:rFonts w:ascii="Arial" w:hAnsi="Arial" w:cs="Arial"/>
                <w:szCs w:val="24"/>
              </w:rPr>
              <w:t xml:space="preserve"> to these</w:t>
            </w:r>
            <w:r w:rsidR="00A37FAE">
              <w:rPr>
                <w:rFonts w:ascii="Arial" w:hAnsi="Arial" w:cs="Arial"/>
                <w:szCs w:val="24"/>
              </w:rPr>
              <w:t xml:space="preserve"> designated</w:t>
            </w:r>
            <w:r w:rsidR="00F81401" w:rsidRPr="00F81401">
              <w:rPr>
                <w:rFonts w:ascii="Arial" w:hAnsi="Arial" w:cs="Arial"/>
                <w:szCs w:val="24"/>
              </w:rPr>
              <w:t xml:space="preserve"> sites. An Appendix 4 has not been completed</w:t>
            </w:r>
            <w:r w:rsidR="00A37FAE">
              <w:rPr>
                <w:rFonts w:ascii="Arial" w:hAnsi="Arial" w:cs="Arial"/>
                <w:szCs w:val="24"/>
              </w:rPr>
              <w:t xml:space="preserve"> for this reason</w:t>
            </w:r>
            <w:r w:rsidR="00F81401" w:rsidRPr="00F81401">
              <w:rPr>
                <w:rFonts w:ascii="Arial" w:hAnsi="Arial" w:cs="Arial"/>
                <w:szCs w:val="24"/>
              </w:rPr>
              <w:t xml:space="preserve">. </w:t>
            </w:r>
            <w:r w:rsidR="00FA7F3F" w:rsidRPr="00F81401">
              <w:rPr>
                <w:rFonts w:ascii="Arial" w:hAnsi="Arial" w:cs="Arial"/>
                <w:szCs w:val="24"/>
              </w:rPr>
              <w:t xml:space="preserv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50917BB1" w14:textId="12314918" w:rsidR="00136717" w:rsidRPr="00C66342" w:rsidRDefault="00136717" w:rsidP="7126189C">
            <w:pPr>
              <w:spacing w:before="60"/>
              <w:rPr>
                <w:rFonts w:ascii="Arial" w:hAnsi="Arial" w:cs="Arial"/>
              </w:rPr>
            </w:pPr>
            <w:r w:rsidRPr="00C66342">
              <w:rPr>
                <w:rFonts w:ascii="Arial" w:hAnsi="Arial" w:cs="Arial"/>
                <w:szCs w:val="24"/>
              </w:rPr>
              <w:t xml:space="preserve">HRA is not required because there is no conceivable impact pathway to any Natura 2000/Ramsar site </w:t>
            </w:r>
            <w:r w:rsidR="00E87807">
              <w:rPr>
                <w:rFonts w:ascii="Arial" w:hAnsi="Arial" w:cs="Arial"/>
                <w:szCs w:val="24"/>
              </w:rPr>
              <w:t>and</w:t>
            </w:r>
            <w:r w:rsidR="00190217" w:rsidRPr="00C66342">
              <w:rPr>
                <w:rFonts w:ascii="Arial" w:hAnsi="Arial" w:cs="Arial"/>
              </w:rPr>
              <w:t xml:space="preserve"> </w:t>
            </w:r>
            <w:r w:rsidRPr="00C66342">
              <w:rPr>
                <w:rFonts w:ascii="Arial" w:hAnsi="Arial" w:cs="Arial"/>
              </w:rPr>
              <w:t>no conceivable impact on any Natura 2000 site, by virtue of the scale or location or nature of the project.</w:t>
            </w:r>
          </w:p>
          <w:p w14:paraId="09ADB093" w14:textId="675BB5D1" w:rsidR="00190217" w:rsidRPr="00C66342" w:rsidRDefault="00190217" w:rsidP="7126189C">
            <w:pPr>
              <w:spacing w:before="60"/>
              <w:rPr>
                <w:rFonts w:ascii="Arial" w:hAnsi="Arial" w:cs="Arial"/>
              </w:rPr>
            </w:pPr>
          </w:p>
          <w:p w14:paraId="445AF887" w14:textId="602F0FE0" w:rsidR="00190217" w:rsidRPr="00C66342" w:rsidRDefault="00190217" w:rsidP="7126189C">
            <w:pPr>
              <w:spacing w:before="60"/>
              <w:rPr>
                <w:rFonts w:ascii="Arial" w:hAnsi="Arial" w:cs="Arial"/>
              </w:rPr>
            </w:pPr>
            <w:r w:rsidRPr="00C66342">
              <w:rPr>
                <w:rFonts w:ascii="Arial" w:hAnsi="Arial" w:cs="Arial"/>
              </w:rPr>
              <w:t xml:space="preserve">The discharge was screened using a radius of </w:t>
            </w:r>
            <w:r w:rsidR="00591DD4" w:rsidRPr="00C66342">
              <w:rPr>
                <w:rFonts w:ascii="Arial" w:hAnsi="Arial" w:cs="Arial"/>
              </w:rPr>
              <w:t xml:space="preserve">xx. Berwyn SPA is approximately </w:t>
            </w:r>
            <w:r w:rsidR="0001339C" w:rsidRPr="00C66342">
              <w:rPr>
                <w:rFonts w:ascii="Arial" w:hAnsi="Arial" w:cs="Arial"/>
              </w:rPr>
              <w:t xml:space="preserve">453m away to the north and there is no hydrological pathway. </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C66342">
            <w:pPr>
              <w:rPr>
                <w:rFonts w:ascii="Arial" w:hAnsi="Arial" w:cs="Arial"/>
                <w:color w:val="000000"/>
                <w:szCs w:val="24"/>
              </w:rPr>
            </w:pPr>
          </w:p>
        </w:tc>
        <w:tc>
          <w:tcPr>
            <w:tcW w:w="1072" w:type="dxa"/>
          </w:tcPr>
          <w:p w14:paraId="5CCCC72E" w14:textId="6542C8D2" w:rsidR="00136717" w:rsidRPr="00FB30B4" w:rsidRDefault="003359D6"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CCAA1A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42837" w:rsidRDefault="007820C3" w:rsidP="00A60F17">
            <w:pPr>
              <w:rPr>
                <w:rFonts w:ascii="Arial" w:hAnsi="Arial" w:cs="Arial"/>
                <w:szCs w:val="24"/>
              </w:rPr>
            </w:pPr>
            <w:r w:rsidRPr="00142837">
              <w:rPr>
                <w:rFonts w:ascii="Arial" w:hAnsi="Arial" w:cs="Arial"/>
                <w:szCs w:val="24"/>
              </w:rPr>
              <w:t xml:space="preserve">The operator considers this risk assessment is satisfactory. </w:t>
            </w:r>
          </w:p>
          <w:p w14:paraId="0FF152E9" w14:textId="77777777" w:rsidR="00FB30B4" w:rsidRPr="007820C3" w:rsidRDefault="00FB30B4" w:rsidP="00142837">
            <w:pPr>
              <w:pStyle w:val="BodyText"/>
              <w:rPr>
                <w:rFonts w:ascii="Arial" w:hAnsi="Arial" w:cs="Arial"/>
                <w:szCs w:val="24"/>
              </w:rPr>
            </w:pPr>
          </w:p>
        </w:tc>
        <w:tc>
          <w:tcPr>
            <w:tcW w:w="1072" w:type="dxa"/>
          </w:tcPr>
          <w:p w14:paraId="0FF152EA" w14:textId="40B4703E" w:rsidR="007820C3" w:rsidRPr="00FB30B4" w:rsidRDefault="003359D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142837"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142837">
              <w:rPr>
                <w:rFonts w:ascii="Arial" w:hAnsi="Arial" w:cs="Arial"/>
                <w:color w:val="auto"/>
                <w:szCs w:val="24"/>
              </w:rPr>
              <w:t xml:space="preserve">and compared these with the relevant guidance notes. </w:t>
            </w:r>
          </w:p>
          <w:p w14:paraId="0FF152F0" w14:textId="7E813844" w:rsidR="007820C3" w:rsidRPr="00142837" w:rsidRDefault="007820C3" w:rsidP="00792CEE">
            <w:pPr>
              <w:pStyle w:val="BodyText"/>
              <w:rPr>
                <w:rFonts w:ascii="Arial" w:hAnsi="Arial" w:cs="Arial"/>
                <w:color w:val="auto"/>
                <w:szCs w:val="24"/>
              </w:rPr>
            </w:pPr>
            <w:r w:rsidRPr="0014283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4283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p>
          <w:p w14:paraId="7C4FE69A" w14:textId="77777777" w:rsidR="00E96702" w:rsidRPr="00E96702" w:rsidRDefault="00E96702" w:rsidP="0014283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B34955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142837">
              <w:rPr>
                <w:rFonts w:ascii="Arial" w:eastAsia="Arial" w:hAnsi="Arial" w:cs="Arial"/>
              </w:rPr>
              <w:t xml:space="preserve">consistent with the function of determining an application for a </w:t>
            </w:r>
            <w:proofErr w:type="spellStart"/>
            <w:proofErr w:type="gramStart"/>
            <w:r w:rsidRPr="00142837">
              <w:rPr>
                <w:rFonts w:ascii="Arial" w:eastAsia="Arial" w:hAnsi="Arial" w:cs="Arial"/>
              </w:rPr>
              <w:t>stand alone</w:t>
            </w:r>
            <w:proofErr w:type="spellEnd"/>
            <w:proofErr w:type="gramEnd"/>
            <w:r w:rsidRPr="00142837">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A1D3FBC" w:rsidR="00C44B7E" w:rsidRDefault="00C44B7E" w:rsidP="003359D6">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5636292">
    <w:abstractNumId w:val="1"/>
  </w:num>
  <w:num w:numId="2" w16cid:durableId="900365245">
    <w:abstractNumId w:val="15"/>
  </w:num>
  <w:num w:numId="3" w16cid:durableId="2057772302">
    <w:abstractNumId w:val="12"/>
  </w:num>
  <w:num w:numId="4" w16cid:durableId="776293483">
    <w:abstractNumId w:val="2"/>
  </w:num>
  <w:num w:numId="5" w16cid:durableId="402023005">
    <w:abstractNumId w:val="4"/>
  </w:num>
  <w:num w:numId="6" w16cid:durableId="443498399">
    <w:abstractNumId w:val="3"/>
  </w:num>
  <w:num w:numId="7" w16cid:durableId="278226916">
    <w:abstractNumId w:val="7"/>
  </w:num>
  <w:num w:numId="8" w16cid:durableId="1351057105">
    <w:abstractNumId w:val="14"/>
  </w:num>
  <w:num w:numId="9" w16cid:durableId="1044794269">
    <w:abstractNumId w:val="18"/>
  </w:num>
  <w:num w:numId="10" w16cid:durableId="667054966">
    <w:abstractNumId w:val="10"/>
  </w:num>
  <w:num w:numId="11" w16cid:durableId="23092259">
    <w:abstractNumId w:val="13"/>
  </w:num>
  <w:num w:numId="12" w16cid:durableId="2093044827">
    <w:abstractNumId w:val="17"/>
  </w:num>
  <w:num w:numId="13" w16cid:durableId="436365182">
    <w:abstractNumId w:val="16"/>
  </w:num>
  <w:num w:numId="14" w16cid:durableId="1049185064">
    <w:abstractNumId w:val="9"/>
  </w:num>
  <w:num w:numId="15" w16cid:durableId="894312200">
    <w:abstractNumId w:val="11"/>
  </w:num>
  <w:num w:numId="16" w16cid:durableId="987904968">
    <w:abstractNumId w:val="5"/>
  </w:num>
  <w:num w:numId="17" w16cid:durableId="1351029484">
    <w:abstractNumId w:val="0"/>
  </w:num>
  <w:num w:numId="18" w16cid:durableId="293677609">
    <w:abstractNumId w:val="8"/>
  </w:num>
  <w:num w:numId="19" w16cid:durableId="190999505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39C"/>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2837"/>
    <w:rsid w:val="0014332B"/>
    <w:rsid w:val="00147725"/>
    <w:rsid w:val="001648C3"/>
    <w:rsid w:val="0016775A"/>
    <w:rsid w:val="0017110E"/>
    <w:rsid w:val="00171565"/>
    <w:rsid w:val="00175981"/>
    <w:rsid w:val="00190217"/>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87C92"/>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13A55"/>
    <w:rsid w:val="00325ED9"/>
    <w:rsid w:val="003359D6"/>
    <w:rsid w:val="003405D9"/>
    <w:rsid w:val="00340EEB"/>
    <w:rsid w:val="00343BA5"/>
    <w:rsid w:val="00346CF0"/>
    <w:rsid w:val="00351A0A"/>
    <w:rsid w:val="00352859"/>
    <w:rsid w:val="00362687"/>
    <w:rsid w:val="0036485A"/>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D6C70"/>
    <w:rsid w:val="003E395A"/>
    <w:rsid w:val="003E6841"/>
    <w:rsid w:val="003F1FF7"/>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D76D7"/>
    <w:rsid w:val="004E4418"/>
    <w:rsid w:val="004E7719"/>
    <w:rsid w:val="004F30B7"/>
    <w:rsid w:val="00504636"/>
    <w:rsid w:val="0053399B"/>
    <w:rsid w:val="0053589C"/>
    <w:rsid w:val="00540301"/>
    <w:rsid w:val="00564C6D"/>
    <w:rsid w:val="005761B2"/>
    <w:rsid w:val="00580008"/>
    <w:rsid w:val="005910D1"/>
    <w:rsid w:val="00591847"/>
    <w:rsid w:val="00591DD4"/>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4E33"/>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E6108"/>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323B"/>
    <w:rsid w:val="00894A3E"/>
    <w:rsid w:val="008A5911"/>
    <w:rsid w:val="008A5C1D"/>
    <w:rsid w:val="008D0A1D"/>
    <w:rsid w:val="008D1489"/>
    <w:rsid w:val="008D4796"/>
    <w:rsid w:val="008E0382"/>
    <w:rsid w:val="008E03A3"/>
    <w:rsid w:val="008E417C"/>
    <w:rsid w:val="00901B92"/>
    <w:rsid w:val="009027F9"/>
    <w:rsid w:val="00903A56"/>
    <w:rsid w:val="009047F4"/>
    <w:rsid w:val="009070E1"/>
    <w:rsid w:val="0092357D"/>
    <w:rsid w:val="009271E0"/>
    <w:rsid w:val="00930ABE"/>
    <w:rsid w:val="00930E1C"/>
    <w:rsid w:val="009344C0"/>
    <w:rsid w:val="00940D7D"/>
    <w:rsid w:val="00945712"/>
    <w:rsid w:val="00960321"/>
    <w:rsid w:val="0096635C"/>
    <w:rsid w:val="009779C1"/>
    <w:rsid w:val="009802DC"/>
    <w:rsid w:val="009837ED"/>
    <w:rsid w:val="009864F9"/>
    <w:rsid w:val="00992AD4"/>
    <w:rsid w:val="00995381"/>
    <w:rsid w:val="00996808"/>
    <w:rsid w:val="009A341D"/>
    <w:rsid w:val="009A3F85"/>
    <w:rsid w:val="009A4B66"/>
    <w:rsid w:val="009A57AE"/>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37FAE"/>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1FAA"/>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66342"/>
    <w:rsid w:val="00C80817"/>
    <w:rsid w:val="00C8353B"/>
    <w:rsid w:val="00C85FD5"/>
    <w:rsid w:val="00C91798"/>
    <w:rsid w:val="00C920B9"/>
    <w:rsid w:val="00C93F6F"/>
    <w:rsid w:val="00CA3222"/>
    <w:rsid w:val="00CA35B5"/>
    <w:rsid w:val="00CA4E7D"/>
    <w:rsid w:val="00CA62D3"/>
    <w:rsid w:val="00CF0436"/>
    <w:rsid w:val="00CF77A9"/>
    <w:rsid w:val="00CF79FA"/>
    <w:rsid w:val="00D04424"/>
    <w:rsid w:val="00D04626"/>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03E0"/>
    <w:rsid w:val="00DF13FA"/>
    <w:rsid w:val="00E00BE1"/>
    <w:rsid w:val="00E12083"/>
    <w:rsid w:val="00E22C8C"/>
    <w:rsid w:val="00E244F7"/>
    <w:rsid w:val="00E25A5B"/>
    <w:rsid w:val="00E35F5D"/>
    <w:rsid w:val="00E36AC7"/>
    <w:rsid w:val="00E450D5"/>
    <w:rsid w:val="00E4525E"/>
    <w:rsid w:val="00E512FF"/>
    <w:rsid w:val="00E6621A"/>
    <w:rsid w:val="00E71881"/>
    <w:rsid w:val="00E723B6"/>
    <w:rsid w:val="00E72E6C"/>
    <w:rsid w:val="00E874B8"/>
    <w:rsid w:val="00E87807"/>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699B"/>
    <w:rsid w:val="00F2779C"/>
    <w:rsid w:val="00F37C15"/>
    <w:rsid w:val="00F41FA5"/>
    <w:rsid w:val="00F43A6C"/>
    <w:rsid w:val="00F44625"/>
    <w:rsid w:val="00F65963"/>
    <w:rsid w:val="00F6632F"/>
    <w:rsid w:val="00F81401"/>
    <w:rsid w:val="00F84220"/>
    <w:rsid w:val="00F852AC"/>
    <w:rsid w:val="00F87A6E"/>
    <w:rsid w:val="00F97A77"/>
    <w:rsid w:val="00FA7F3F"/>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F30B7"/>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F30B7"/>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REGU-212-13531781</_dlc_DocId>
    <_dlc_DocIdUrl xmlns="9be56660-2c31-41ef-bc00-23e72f632f2a">
      <Url>https://cyfoethnaturiolcymru.sharepoint.com/teams/Regulatory/Permitting/_layouts/15/DocIdRedir.aspx?ID=REGU-212-13531781</Url>
      <Description>REGU-212-13531781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Henstent Holiday Park</Site_x0020_Name>
    <Internal_x002f_External xmlns="859f7ad6-93f6-4205-b62b-a17f28acbbac">Internal document</Internal_x002f_External>
    <Post_x0020_code xmlns="859f7ad6-93f6-4205-b62b-a17f28acbbac">SY10 0EP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Llanddefel, Bala, LL23 7RA</Addressee>
    <Process_x0020_Type xmlns="859f7ad6-93f6-4205-b62b-a17f28acbbac">Permit</Process_x0020_Type>
    <Surrendered_x002f_Expired xmlns="859f7ad6-93f6-4205-b62b-a17f28acbbac" xsi:nil="true"/>
    <Document_x0020_Date xmlns="859f7ad6-93f6-4205-b62b-a17f28acbbac">2023-11-21T00:00:00+00:00</Document_x0020_Date>
    <Facility_x0020_Address xmlns="859f7ad6-93f6-4205-b62b-a17f28acbbac">Llangynog</Facility_x0020_Address>
    <Environment_x0020_Sub_x0020_Folder xmlns="859f7ad6-93f6-4205-b62b-a17f28acbbac">Licences applications</Environment_x0020_Sub_x0020_Folder>
    <Customer_x0020_Name xmlns="859f7ad6-93f6-4205-b62b-a17f28acbbac">Pale Wood Holiday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E28B59-29C1-4FB7-9D95-E5C4C8EBA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859f7ad6-93f6-4205-b62b-a17f28acbbac"/>
    <ds:schemaRef ds:uri="http://www.w3.org/XML/1998/namespace"/>
    <ds:schemaRef ds:uri="http://schemas.microsoft.com/office/2006/documentManagement/types"/>
    <ds:schemaRef ds:uri="6e121689-de5b-41b9-a751-bfeda7fa2b07"/>
    <ds:schemaRef ds:uri="84145aa9-ae2a-4b81-96bf-da2258b9f1c9"/>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887</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29</cp:revision>
  <cp:lastPrinted>2008-01-30T13:54:00Z</cp:lastPrinted>
  <dcterms:created xsi:type="dcterms:W3CDTF">2023-11-21T09:12:00Z</dcterms:created>
  <dcterms:modified xsi:type="dcterms:W3CDTF">2023-12-04T11:44:00Z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3325ef74-98ba-4c91-8520-239e89e3df9b</vt:lpwstr>
  </property>
  <property fmtid="{D5CDD505-2E9C-101B-9397-08002B2CF9AE}" pid="11" name="SharedWithUsers">
    <vt:lpwstr/>
  </property>
  <property fmtid="{D5CDD505-2E9C-101B-9397-08002B2CF9AE}" pid="12" name="MediaServiceImageTags">
    <vt:lpwstr/>
  </property>
</Properties>
</file>