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BA170" w14:textId="442A071C" w:rsidR="00B62282" w:rsidRPr="00BD3A47" w:rsidRDefault="00BD3A47">
      <w:pPr>
        <w:rPr>
          <w:rFonts w:ascii="Arial" w:hAnsi="Arial" w:cs="Arial"/>
          <w:b/>
          <w:bCs/>
          <w:sz w:val="24"/>
          <w:szCs w:val="24"/>
          <w:u w:val="single"/>
        </w:rPr>
      </w:pPr>
      <w:r w:rsidRPr="00BD3A47">
        <w:rPr>
          <w:rFonts w:ascii="Arial" w:hAnsi="Arial" w:cs="Arial"/>
          <w:b/>
          <w:bCs/>
          <w:sz w:val="24"/>
          <w:szCs w:val="24"/>
          <w:u w:val="single"/>
        </w:rPr>
        <w:t>PAN-023606 MyMap Report</w:t>
      </w:r>
    </w:p>
    <w:p w14:paraId="4A8FF69B" w14:textId="77777777" w:rsidR="00BD3A47" w:rsidRPr="00BD3A47" w:rsidRDefault="00BD3A47" w:rsidP="00BD3A47">
      <w:pPr>
        <w:rPr>
          <w:rFonts w:ascii="Arial" w:hAnsi="Arial" w:cs="Arial"/>
          <w:sz w:val="24"/>
          <w:szCs w:val="24"/>
        </w:rPr>
      </w:pPr>
      <w:r w:rsidRPr="00BD3A47">
        <w:rPr>
          <w:rFonts w:ascii="Arial" w:hAnsi="Arial" w:cs="Arial"/>
          <w:sz w:val="24"/>
          <w:szCs w:val="24"/>
        </w:rPr>
        <w:t>The activities shall not be carried out within 200 metres of a European Site and or a SSSI.</w:t>
      </w:r>
    </w:p>
    <w:p w14:paraId="00A01586" w14:textId="16ECCD36" w:rsidR="00BD3A47" w:rsidRPr="00BD3A47" w:rsidRDefault="00BD3A47" w:rsidP="00F964C0">
      <w:pPr>
        <w:pStyle w:val="ListParagraph"/>
        <w:numPr>
          <w:ilvl w:val="0"/>
          <w:numId w:val="1"/>
        </w:numPr>
        <w:rPr>
          <w:rFonts w:ascii="Arial" w:hAnsi="Arial" w:cs="Arial"/>
          <w:sz w:val="24"/>
          <w:szCs w:val="24"/>
        </w:rPr>
      </w:pPr>
      <w:r w:rsidRPr="00BD3A47">
        <w:rPr>
          <w:rFonts w:ascii="Arial" w:hAnsi="Arial" w:cs="Arial"/>
          <w:sz w:val="24"/>
          <w:szCs w:val="24"/>
        </w:rPr>
        <w:t>Special Areas of Conservation (SAC)</w:t>
      </w:r>
      <w:r w:rsidR="00020C80">
        <w:rPr>
          <w:rFonts w:ascii="Arial" w:hAnsi="Arial" w:cs="Arial"/>
          <w:sz w:val="24"/>
          <w:szCs w:val="24"/>
        </w:rPr>
        <w:t>- none</w:t>
      </w:r>
    </w:p>
    <w:p w14:paraId="10D680E4" w14:textId="77BD766A" w:rsidR="00BD3A47" w:rsidRPr="00BD3A47" w:rsidRDefault="00BD3A47" w:rsidP="000F4075">
      <w:pPr>
        <w:pStyle w:val="ListParagraph"/>
        <w:numPr>
          <w:ilvl w:val="0"/>
          <w:numId w:val="1"/>
        </w:numPr>
        <w:rPr>
          <w:rFonts w:ascii="Arial" w:hAnsi="Arial" w:cs="Arial"/>
          <w:sz w:val="24"/>
          <w:szCs w:val="24"/>
        </w:rPr>
      </w:pPr>
      <w:r w:rsidRPr="00BD3A47">
        <w:rPr>
          <w:rFonts w:ascii="Arial" w:hAnsi="Arial" w:cs="Arial"/>
          <w:sz w:val="24"/>
          <w:szCs w:val="24"/>
        </w:rPr>
        <w:t>Special Protection Area (SPA)</w:t>
      </w:r>
      <w:r w:rsidR="00020C80">
        <w:rPr>
          <w:rFonts w:ascii="Arial" w:hAnsi="Arial" w:cs="Arial"/>
          <w:sz w:val="24"/>
          <w:szCs w:val="24"/>
        </w:rPr>
        <w:t>- none</w:t>
      </w:r>
    </w:p>
    <w:p w14:paraId="5E8949D3" w14:textId="222AE120" w:rsidR="00BD3A47" w:rsidRPr="00BD3A47" w:rsidRDefault="00BD3A47" w:rsidP="00E002D8">
      <w:pPr>
        <w:pStyle w:val="ListParagraph"/>
        <w:numPr>
          <w:ilvl w:val="0"/>
          <w:numId w:val="1"/>
        </w:numPr>
        <w:rPr>
          <w:rFonts w:ascii="Arial" w:hAnsi="Arial" w:cs="Arial"/>
          <w:sz w:val="24"/>
          <w:szCs w:val="24"/>
        </w:rPr>
      </w:pPr>
      <w:r w:rsidRPr="00BD3A47">
        <w:rPr>
          <w:rFonts w:ascii="Arial" w:hAnsi="Arial" w:cs="Arial"/>
          <w:sz w:val="24"/>
          <w:szCs w:val="24"/>
        </w:rPr>
        <w:t>Ramsar</w:t>
      </w:r>
      <w:r w:rsidR="00020C80">
        <w:rPr>
          <w:rFonts w:ascii="Arial" w:hAnsi="Arial" w:cs="Arial"/>
          <w:sz w:val="24"/>
          <w:szCs w:val="24"/>
        </w:rPr>
        <w:t>- none</w:t>
      </w:r>
    </w:p>
    <w:p w14:paraId="1CD9A5AA" w14:textId="316C41D1" w:rsidR="00BD3A47" w:rsidRPr="00BD3A47" w:rsidRDefault="00BD3A47" w:rsidP="00E002D8">
      <w:pPr>
        <w:pStyle w:val="ListParagraph"/>
        <w:numPr>
          <w:ilvl w:val="0"/>
          <w:numId w:val="1"/>
        </w:numPr>
        <w:rPr>
          <w:rFonts w:ascii="Arial" w:hAnsi="Arial" w:cs="Arial"/>
          <w:sz w:val="24"/>
          <w:szCs w:val="24"/>
        </w:rPr>
      </w:pPr>
      <w:r w:rsidRPr="00BD3A47">
        <w:rPr>
          <w:rFonts w:ascii="Arial" w:hAnsi="Arial" w:cs="Arial"/>
          <w:sz w:val="24"/>
          <w:szCs w:val="24"/>
        </w:rPr>
        <w:t>Site of Special Scientific Interest (SSSI)</w:t>
      </w:r>
      <w:r w:rsidR="00020C80">
        <w:rPr>
          <w:rFonts w:ascii="Arial" w:hAnsi="Arial" w:cs="Arial"/>
          <w:sz w:val="24"/>
          <w:szCs w:val="24"/>
        </w:rPr>
        <w:t>- none</w:t>
      </w:r>
    </w:p>
    <w:p w14:paraId="666C0F2D" w14:textId="04F994F3" w:rsidR="00BD3A47" w:rsidRPr="00CD1A5A" w:rsidRDefault="00CD1A5A" w:rsidP="00BD3A47">
      <w:pPr>
        <w:rPr>
          <w:rFonts w:ascii="Arial" w:hAnsi="Arial" w:cs="Arial"/>
          <w:b/>
          <w:bCs/>
          <w:sz w:val="24"/>
          <w:szCs w:val="24"/>
        </w:rPr>
      </w:pPr>
      <w:r w:rsidRPr="00CD1A5A">
        <w:rPr>
          <w:rFonts w:ascii="Arial" w:hAnsi="Arial" w:cs="Arial"/>
          <w:b/>
          <w:bCs/>
          <w:sz w:val="24"/>
          <w:szCs w:val="24"/>
        </w:rPr>
        <w:drawing>
          <wp:inline distT="0" distB="0" distL="0" distR="0" wp14:anchorId="75D3D889" wp14:editId="5B26EAB1">
            <wp:extent cx="7525137" cy="46103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525137" cy="4610337"/>
                    </a:xfrm>
                    <a:prstGeom prst="rect">
                      <a:avLst/>
                    </a:prstGeom>
                  </pic:spPr>
                </pic:pic>
              </a:graphicData>
            </a:graphic>
          </wp:inline>
        </w:drawing>
      </w:r>
    </w:p>
    <w:p w14:paraId="3E704DCE" w14:textId="77777777" w:rsidR="00BD3A47" w:rsidRPr="00BD3A47" w:rsidRDefault="00BD3A47">
      <w:pPr>
        <w:rPr>
          <w:rFonts w:ascii="Arial" w:hAnsi="Arial" w:cs="Arial"/>
          <w:sz w:val="24"/>
          <w:szCs w:val="24"/>
        </w:rPr>
      </w:pPr>
      <w:r w:rsidRPr="00BD3A47">
        <w:rPr>
          <w:rFonts w:ascii="Arial" w:hAnsi="Arial" w:cs="Arial"/>
          <w:sz w:val="24"/>
          <w:szCs w:val="24"/>
        </w:rPr>
        <w:br w:type="page"/>
      </w:r>
    </w:p>
    <w:p w14:paraId="2922A6F3" w14:textId="77777777" w:rsidR="00BD3A47" w:rsidRPr="00BD3A47" w:rsidRDefault="00BD3A47" w:rsidP="00BD3A47">
      <w:pPr>
        <w:rPr>
          <w:rFonts w:ascii="Arial" w:hAnsi="Arial" w:cs="Arial"/>
          <w:sz w:val="24"/>
          <w:szCs w:val="24"/>
        </w:rPr>
      </w:pPr>
      <w:r w:rsidRPr="00BD3A47">
        <w:rPr>
          <w:rFonts w:ascii="Arial" w:hAnsi="Arial" w:cs="Arial"/>
          <w:sz w:val="24"/>
          <w:szCs w:val="24"/>
        </w:rPr>
        <w:lastRenderedPageBreak/>
        <w:t>The activities shall not be carried out within Groundwater Source Protection Zone 1, or if a Source Protection Zone has not been defined then within 50m of any well spring or borehole used for the supply of water for human consumption. This must include private water supplies.</w:t>
      </w:r>
    </w:p>
    <w:p w14:paraId="3EBDF31C" w14:textId="720A1E60" w:rsidR="00BD3A47" w:rsidRPr="00BD3A47" w:rsidRDefault="00BD3A47" w:rsidP="00BD3A47">
      <w:pPr>
        <w:pStyle w:val="ListParagraph"/>
        <w:numPr>
          <w:ilvl w:val="0"/>
          <w:numId w:val="1"/>
        </w:numPr>
        <w:rPr>
          <w:rFonts w:ascii="Arial" w:hAnsi="Arial" w:cs="Arial"/>
          <w:sz w:val="24"/>
          <w:szCs w:val="24"/>
        </w:rPr>
      </w:pPr>
      <w:r w:rsidRPr="00BD3A47">
        <w:rPr>
          <w:rFonts w:ascii="Arial" w:hAnsi="Arial" w:cs="Arial"/>
          <w:sz w:val="24"/>
          <w:szCs w:val="24"/>
        </w:rPr>
        <w:t>Well used for drinking water</w:t>
      </w:r>
      <w:r w:rsidR="00CD1A5A">
        <w:rPr>
          <w:rFonts w:ascii="Arial" w:hAnsi="Arial" w:cs="Arial"/>
          <w:sz w:val="24"/>
          <w:szCs w:val="24"/>
        </w:rPr>
        <w:t>- none</w:t>
      </w:r>
    </w:p>
    <w:p w14:paraId="1591BBBC" w14:textId="093C3FB7" w:rsidR="00BD3A47" w:rsidRP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Spring used for drinking water</w:t>
      </w:r>
      <w:r w:rsidR="00CD1A5A">
        <w:rPr>
          <w:rFonts w:ascii="Arial" w:hAnsi="Arial" w:cs="Arial"/>
          <w:sz w:val="24"/>
          <w:szCs w:val="24"/>
        </w:rPr>
        <w:t>- none</w:t>
      </w:r>
    </w:p>
    <w:p w14:paraId="12DBE63A" w14:textId="67650640" w:rsidR="00BD3A47" w:rsidRP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Borehole used for drinking water</w:t>
      </w:r>
      <w:r w:rsidR="00CD1A5A">
        <w:rPr>
          <w:rFonts w:ascii="Arial" w:hAnsi="Arial" w:cs="Arial"/>
          <w:sz w:val="24"/>
          <w:szCs w:val="24"/>
        </w:rPr>
        <w:t>- none</w:t>
      </w:r>
    </w:p>
    <w:p w14:paraId="191C0B20" w14:textId="649214D8" w:rsidR="00BD3A47" w:rsidRP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Groundwater Source Protection Zone 1</w:t>
      </w:r>
      <w:r w:rsidR="00020C80">
        <w:rPr>
          <w:rFonts w:ascii="Arial" w:hAnsi="Arial" w:cs="Arial"/>
          <w:sz w:val="24"/>
          <w:szCs w:val="24"/>
        </w:rPr>
        <w:t>- none</w:t>
      </w:r>
    </w:p>
    <w:p w14:paraId="63E38C1C" w14:textId="29ADBCFD" w:rsidR="00BD3A47" w:rsidRP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Well used for domestic/ food production</w:t>
      </w:r>
      <w:r w:rsidR="00CD1A5A">
        <w:rPr>
          <w:rFonts w:ascii="Arial" w:hAnsi="Arial" w:cs="Arial"/>
          <w:sz w:val="24"/>
          <w:szCs w:val="24"/>
        </w:rPr>
        <w:t>- none</w:t>
      </w:r>
    </w:p>
    <w:p w14:paraId="2B8304EF" w14:textId="0937F36E" w:rsidR="00BD3A47" w:rsidRP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Spring used for domestic/ food production</w:t>
      </w:r>
      <w:r w:rsidR="00CD1A5A">
        <w:rPr>
          <w:rFonts w:ascii="Arial" w:hAnsi="Arial" w:cs="Arial"/>
          <w:sz w:val="24"/>
          <w:szCs w:val="24"/>
        </w:rPr>
        <w:t>- none</w:t>
      </w:r>
    </w:p>
    <w:p w14:paraId="3C35B6FB" w14:textId="42827B4F" w:rsidR="00BD3A47" w:rsidRDefault="00BD3A47" w:rsidP="00BD3A47">
      <w:pPr>
        <w:pStyle w:val="ListParagraph"/>
        <w:numPr>
          <w:ilvl w:val="0"/>
          <w:numId w:val="2"/>
        </w:numPr>
        <w:rPr>
          <w:rFonts w:ascii="Arial" w:hAnsi="Arial" w:cs="Arial"/>
          <w:sz w:val="24"/>
          <w:szCs w:val="24"/>
        </w:rPr>
      </w:pPr>
      <w:r w:rsidRPr="00BD3A47">
        <w:rPr>
          <w:rFonts w:ascii="Arial" w:hAnsi="Arial" w:cs="Arial"/>
          <w:sz w:val="24"/>
          <w:szCs w:val="24"/>
        </w:rPr>
        <w:t>Borehole used for domestic/ food production</w:t>
      </w:r>
      <w:r w:rsidR="00CD1A5A">
        <w:rPr>
          <w:rFonts w:ascii="Arial" w:hAnsi="Arial" w:cs="Arial"/>
          <w:sz w:val="24"/>
          <w:szCs w:val="24"/>
        </w:rPr>
        <w:t>- none</w:t>
      </w:r>
    </w:p>
    <w:p w14:paraId="341AC34D" w14:textId="0E5B7705" w:rsidR="00CD1A5A" w:rsidRDefault="00CD1A5A" w:rsidP="00CD1A5A">
      <w:pPr>
        <w:rPr>
          <w:rFonts w:ascii="Arial" w:hAnsi="Arial" w:cs="Arial"/>
          <w:sz w:val="24"/>
          <w:szCs w:val="24"/>
        </w:rPr>
      </w:pPr>
      <w:r w:rsidRPr="00CD1A5A">
        <w:rPr>
          <w:rFonts w:ascii="Arial" w:hAnsi="Arial" w:cs="Arial"/>
          <w:sz w:val="24"/>
          <w:szCs w:val="24"/>
        </w:rPr>
        <w:drawing>
          <wp:inline distT="0" distB="0" distL="0" distR="0" wp14:anchorId="73463830" wp14:editId="67E66FCA">
            <wp:extent cx="7493385" cy="45404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493385" cy="4540483"/>
                    </a:xfrm>
                    <a:prstGeom prst="rect">
                      <a:avLst/>
                    </a:prstGeom>
                  </pic:spPr>
                </pic:pic>
              </a:graphicData>
            </a:graphic>
          </wp:inline>
        </w:drawing>
      </w:r>
    </w:p>
    <w:p w14:paraId="65F1BE1A" w14:textId="51F82555" w:rsidR="00CD1A5A" w:rsidRPr="00CD1A5A" w:rsidRDefault="00CD1A5A" w:rsidP="00CD1A5A">
      <w:pPr>
        <w:rPr>
          <w:rFonts w:ascii="Arial" w:hAnsi="Arial" w:cs="Arial"/>
          <w:sz w:val="24"/>
          <w:szCs w:val="24"/>
        </w:rPr>
      </w:pPr>
      <w:r w:rsidRPr="00CD1A5A">
        <w:rPr>
          <w:rFonts w:ascii="Arial" w:hAnsi="Arial" w:cs="Arial"/>
          <w:sz w:val="24"/>
          <w:szCs w:val="24"/>
        </w:rPr>
        <w:lastRenderedPageBreak/>
        <w:drawing>
          <wp:inline distT="0" distB="0" distL="0" distR="0" wp14:anchorId="37BD10EF" wp14:editId="6B3F7F9B">
            <wp:extent cx="7512436" cy="45404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512436" cy="4540483"/>
                    </a:xfrm>
                    <a:prstGeom prst="rect">
                      <a:avLst/>
                    </a:prstGeom>
                  </pic:spPr>
                </pic:pic>
              </a:graphicData>
            </a:graphic>
          </wp:inline>
        </w:drawing>
      </w:r>
    </w:p>
    <w:sectPr w:rsidR="00CD1A5A" w:rsidRPr="00CD1A5A" w:rsidSect="00BD3A4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84FBC"/>
    <w:multiLevelType w:val="hybridMultilevel"/>
    <w:tmpl w:val="4E965754"/>
    <w:lvl w:ilvl="0" w:tplc="2D4AB5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D03561"/>
    <w:multiLevelType w:val="hybridMultilevel"/>
    <w:tmpl w:val="F592A016"/>
    <w:lvl w:ilvl="0" w:tplc="2D4AB5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284377">
    <w:abstractNumId w:val="0"/>
  </w:num>
  <w:num w:numId="2" w16cid:durableId="158810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A47"/>
    <w:rsid w:val="00020C80"/>
    <w:rsid w:val="0054418B"/>
    <w:rsid w:val="00B62282"/>
    <w:rsid w:val="00BC3F7A"/>
    <w:rsid w:val="00BD3A47"/>
    <w:rsid w:val="00CD1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62953"/>
  <w15:chartTrackingRefBased/>
  <w15:docId w15:val="{0707181C-58FE-4645-A4A4-8AE2A4FC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A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28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REGU-204-2749346</_dlc_DocId>
    <_dlc_DocIdUrl xmlns="9be56660-2c31-41ef-bc00-23e72f632f2a">
      <Url>https://cyfoethnaturiolcymru.sharepoint.com/teams/Regulatory/Permitting/_layouts/15/DocIdRedir.aspx?ID=REGU-204-2749346</Url>
      <Description>REGU-204-2749346</Description>
    </_dlc_DocIdUrl>
    <Site_x0020_Name xmlns="859f7ad6-93f6-4205-b62b-a17f28acbbac">J H Evans &amp; Sons</Site_x0020_Name>
    <Internal_x002f_External xmlns="859f7ad6-93f6-4205-b62b-a17f28acbbac">Internal document</Internal_x002f_External>
    <Post_x0020_code xmlns="859f7ad6-93f6-4205-b62b-a17f28acbbac">LL41 3LN</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108 Manod Road, Manod, Blaenau Ffestiniog, LL41 4AH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2024-02-09T00:00:00+00:00</Document_x0020_Date>
    <Facility_x0020_Address xmlns="859f7ad6-93f6-4205-b62b-a17f28acbbac">Land at rear of Glanypwll Depot, Rhiwbryfdir, Blaenau Ffestiniog</Facility_x0020_Address>
    <Environment_x0020_Sub_x0020_Folder xmlns="859f7ad6-93f6-4205-b62b-a17f28acbbac">Licences applications</Environment_x0020_Sub_x0020_Folder>
    <Customer_x0020_Name xmlns="859f7ad6-93f6-4205-b62b-a17f28acbbac">Mr John Evans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BE1A3F1-A00A-4027-88E9-95BE21F2A62B}"/>
</file>

<file path=customXml/itemProps2.xml><?xml version="1.0" encoding="utf-8"?>
<ds:datastoreItem xmlns:ds="http://schemas.openxmlformats.org/officeDocument/2006/customXml" ds:itemID="{BC9B0913-D81C-43BF-82A4-AD538C331F91}"/>
</file>

<file path=customXml/itemProps3.xml><?xml version="1.0" encoding="utf-8"?>
<ds:datastoreItem xmlns:ds="http://schemas.openxmlformats.org/officeDocument/2006/customXml" ds:itemID="{B160AC90-1F40-467A-8D3F-0B03E940F9AC}">
  <ds:schemaRefs>
    <ds:schemaRef ds:uri="http://schemas.microsoft.com/sharepoint/events"/>
  </ds:schemaRefs>
</ds:datastoreItem>
</file>

<file path=customXml/itemProps4.xml><?xml version="1.0" encoding="utf-8"?>
<ds:datastoreItem xmlns:ds="http://schemas.openxmlformats.org/officeDocument/2006/customXml" ds:itemID="{616F0E8B-A78A-43E9-85FE-95292AADA66B}">
  <ds:schemaRefs>
    <ds:schemaRef ds:uri="http://schemas.microsoft.com/sharepoint/v3/contenttype/forms"/>
  </ds:schemaRefs>
</ds:datastoreItem>
</file>

<file path=customXml/itemProps5.xml><?xml version="1.0" encoding="utf-8"?>
<ds:datastoreItem xmlns:ds="http://schemas.openxmlformats.org/officeDocument/2006/customXml" ds:itemID="{364A8EED-151A-494D-B76A-83E3A5F5C44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2024-02-09T15:26:00Z</dcterms:created>
  <dcterms:modified xsi:type="dcterms:W3CDTF">2024-02-09T15:59:00Z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73b5ade5-5afd-4e89-a07b-3fcfe8f841e2</vt:lpwstr>
  </property>
  <property fmtid="{D5CDD505-2E9C-101B-9397-08002B2CF9AE}" pid="4" name="MediaServiceImageTags">
    <vt:lpwstr/>
  </property>
</Properties>
</file>