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42F8A" w14:textId="4D7567C0" w:rsidR="00AC74CB" w:rsidRPr="00AA4872" w:rsidRDefault="00385F0B" w:rsidP="00AC74CB">
      <w:pPr>
        <w:pStyle w:val="BodyText"/>
        <w:rPr>
          <w:rFonts w:cs="Arial"/>
          <w:color w:val="FF0000"/>
          <w:sz w:val="56"/>
        </w:rPr>
      </w:pPr>
      <w:r w:rsidRPr="00385F0B">
        <w:rPr>
          <w:rFonts w:cs="Arial"/>
          <w:color w:val="FF0000"/>
          <w:sz w:val="56"/>
        </w:rPr>
        <w:t xml:space="preserve">Rhymney Great Wharf </w:t>
      </w:r>
      <w:r w:rsidR="007408F4">
        <w:rPr>
          <w:rFonts w:cs="Arial"/>
          <w:color w:val="FF0000"/>
          <w:sz w:val="56"/>
        </w:rPr>
        <w:t xml:space="preserve">Habitat Restoration Polders Enhancement </w:t>
      </w:r>
      <w:r w:rsidRPr="00385F0B">
        <w:rPr>
          <w:rFonts w:cs="Arial"/>
          <w:color w:val="FF0000"/>
          <w:sz w:val="56"/>
        </w:rPr>
        <w:t>Polders</w:t>
      </w:r>
    </w:p>
    <w:p w14:paraId="4DCBD31E" w14:textId="108D96CB" w:rsidR="00966396" w:rsidRDefault="007408F4" w:rsidP="00BA17AA">
      <w:pPr>
        <w:pStyle w:val="HeaderTitle"/>
      </w:pPr>
      <w:r>
        <w:rPr>
          <w:noProof/>
        </w:rPr>
        <w:drawing>
          <wp:anchor distT="0" distB="0" distL="114300" distR="114300" simplePos="0" relativeHeight="251658240" behindDoc="0" locked="0" layoutInCell="1" allowOverlap="1" wp14:anchorId="45CC2BB3" wp14:editId="2D433755">
            <wp:simplePos x="0" y="0"/>
            <wp:positionH relativeFrom="margin">
              <wp:align>center</wp:align>
            </wp:positionH>
            <wp:positionV relativeFrom="paragraph">
              <wp:posOffset>559435</wp:posOffset>
            </wp:positionV>
            <wp:extent cx="4439607" cy="5915025"/>
            <wp:effectExtent l="0" t="0" r="0" b="0"/>
            <wp:wrapTopAndBottom/>
            <wp:docPr id="1017265858" name="Picture 1017265858" descr="A rocky shore with grass and roc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404460" name="Picture 1" descr="A rocky shore with grass and rocks&#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39607" cy="5915025"/>
                    </a:xfrm>
                    <a:prstGeom prst="rect">
                      <a:avLst/>
                    </a:prstGeom>
                    <a:noFill/>
                    <a:ln>
                      <a:noFill/>
                    </a:ln>
                  </pic:spPr>
                </pic:pic>
              </a:graphicData>
            </a:graphic>
          </wp:anchor>
        </w:drawing>
      </w:r>
      <w:r w:rsidR="005C67C8" w:rsidRPr="00195A2C">
        <w:t xml:space="preserve">Project </w:t>
      </w:r>
      <w:r w:rsidR="005C67C8" w:rsidRPr="00BA17AA">
        <w:t>Environmental</w:t>
      </w:r>
      <w:r w:rsidR="005C67C8" w:rsidRPr="00195A2C">
        <w:t xml:space="preserve"> Report </w:t>
      </w:r>
    </w:p>
    <w:p w14:paraId="3B89DA5E" w14:textId="0821B79C" w:rsidR="00D72F55" w:rsidRPr="00D72F55" w:rsidRDefault="00D72F55" w:rsidP="00D72F55">
      <w:pPr>
        <w:pStyle w:val="BodyText"/>
      </w:pPr>
    </w:p>
    <w:p w14:paraId="38489E2A" w14:textId="1F1AB729" w:rsidR="00D72F55" w:rsidRDefault="00D72F55" w:rsidP="00C46877">
      <w:pPr>
        <w:pStyle w:val="BodyText"/>
        <w:jc w:val="center"/>
        <w:sectPr w:rsidR="00D72F55" w:rsidSect="00DA0329">
          <w:headerReference w:type="even" r:id="rId15"/>
          <w:headerReference w:type="default" r:id="rId16"/>
          <w:footerReference w:type="even" r:id="rId17"/>
          <w:footerReference w:type="default" r:id="rId18"/>
          <w:headerReference w:type="first" r:id="rId19"/>
          <w:footerReference w:type="first" r:id="rId20"/>
          <w:pgSz w:w="11906" w:h="16838" w:code="9"/>
          <w:pgMar w:top="2722" w:right="1134" w:bottom="1134" w:left="1134" w:header="720" w:footer="720" w:gutter="0"/>
          <w:cols w:space="720"/>
          <w:noEndnote/>
          <w:titlePg/>
          <w:docGrid w:linePitch="326"/>
        </w:sectPr>
      </w:pPr>
    </w:p>
    <w:p w14:paraId="357336A0" w14:textId="6FAFBED5" w:rsidR="00AC74CB" w:rsidRPr="00AA4872" w:rsidRDefault="00AC74CB">
      <w:pPr>
        <w:rPr>
          <w:rFonts w:ascii="Arial" w:hAnsi="Arial" w:cs="Arial"/>
        </w:rPr>
      </w:pPr>
    </w:p>
    <w:p w14:paraId="38136063" w14:textId="77777777" w:rsidR="00AC74CB" w:rsidRPr="004533E9" w:rsidRDefault="00AC74CB" w:rsidP="00D72F55">
      <w:pPr>
        <w:pStyle w:val="Covertitles"/>
      </w:pPr>
      <w:r w:rsidRPr="004533E9">
        <w:t xml:space="preserve">Version </w:t>
      </w:r>
      <w:r w:rsidRPr="00D72F55">
        <w:t>history</w:t>
      </w:r>
      <w:r w:rsidRPr="004533E9">
        <w:t>:</w:t>
      </w:r>
    </w:p>
    <w:p w14:paraId="5A658E74" w14:textId="13B4CDB4" w:rsidR="00AC74CB" w:rsidRPr="00AA4872" w:rsidRDefault="00AC74CB" w:rsidP="006A207C">
      <w:pPr>
        <w:pStyle w:val="BodyText"/>
        <w:rPr>
          <w:rFonts w:cs="Arial"/>
        </w:rPr>
      </w:pPr>
      <w:r w:rsidRPr="00AA4872">
        <w:rPr>
          <w:rFonts w:cs="Arial"/>
        </w:rPr>
        <w:t>Through development of the project changes to the Environmental Report can occur. It is therefore important to maintain document control and record the different versions.</w:t>
      </w:r>
    </w:p>
    <w:p w14:paraId="0516E5D7" w14:textId="77777777" w:rsidR="00AC74CB" w:rsidRPr="00AA4872" w:rsidRDefault="00AC74CB" w:rsidP="00D72F55">
      <w:pPr>
        <w:pStyle w:val="BodyText"/>
      </w:pPr>
    </w:p>
    <w:tbl>
      <w:tblPr>
        <w:tblStyle w:val="TableGrid"/>
        <w:tblW w:w="4756" w:type="pct"/>
        <w:tblLook w:val="04A0" w:firstRow="1" w:lastRow="0" w:firstColumn="1" w:lastColumn="0" w:noHBand="0" w:noVBand="1"/>
      </w:tblPr>
      <w:tblGrid>
        <w:gridCol w:w="3026"/>
        <w:gridCol w:w="3066"/>
        <w:gridCol w:w="3066"/>
      </w:tblGrid>
      <w:tr w:rsidR="007C65A1" w:rsidRPr="00AA4872" w14:paraId="038B733D" w14:textId="023E1CDB" w:rsidTr="00D84FE4">
        <w:trPr>
          <w:trHeight w:val="567"/>
        </w:trPr>
        <w:tc>
          <w:tcPr>
            <w:tcW w:w="1652" w:type="pct"/>
            <w:vAlign w:val="center"/>
            <w:hideMark/>
          </w:tcPr>
          <w:p w14:paraId="5A7C1995" w14:textId="77777777" w:rsidR="007C65A1" w:rsidRPr="00D72F55" w:rsidRDefault="007C65A1" w:rsidP="003E7002">
            <w:pPr>
              <w:pStyle w:val="Bullets"/>
              <w:numPr>
                <w:ilvl w:val="0"/>
                <w:numId w:val="0"/>
              </w:numPr>
              <w:ind w:left="360"/>
              <w:rPr>
                <w:b/>
                <w:bCs/>
              </w:rPr>
            </w:pPr>
            <w:r w:rsidRPr="00D72F55">
              <w:rPr>
                <w:b/>
                <w:bCs/>
              </w:rPr>
              <w:t>Document version</w:t>
            </w:r>
          </w:p>
        </w:tc>
        <w:tc>
          <w:tcPr>
            <w:tcW w:w="1674" w:type="pct"/>
            <w:vAlign w:val="center"/>
            <w:hideMark/>
          </w:tcPr>
          <w:p w14:paraId="65EE56F9" w14:textId="77777777" w:rsidR="007C65A1" w:rsidRPr="00D72F55" w:rsidRDefault="007C65A1" w:rsidP="003E7002">
            <w:pPr>
              <w:pStyle w:val="Bullets"/>
              <w:numPr>
                <w:ilvl w:val="0"/>
                <w:numId w:val="0"/>
              </w:numPr>
              <w:ind w:left="360"/>
              <w:rPr>
                <w:b/>
                <w:bCs/>
              </w:rPr>
            </w:pPr>
            <w:r w:rsidRPr="00D72F55">
              <w:rPr>
                <w:b/>
                <w:bCs/>
              </w:rPr>
              <w:t>Date</w:t>
            </w:r>
          </w:p>
        </w:tc>
        <w:tc>
          <w:tcPr>
            <w:tcW w:w="1674" w:type="pct"/>
            <w:vAlign w:val="center"/>
          </w:tcPr>
          <w:p w14:paraId="23E5B35C" w14:textId="318FF21C" w:rsidR="007C65A1" w:rsidRPr="00D72F55" w:rsidRDefault="007C65A1" w:rsidP="003E7002">
            <w:pPr>
              <w:pStyle w:val="Bullets"/>
              <w:numPr>
                <w:ilvl w:val="0"/>
                <w:numId w:val="0"/>
              </w:numPr>
              <w:ind w:left="360"/>
              <w:rPr>
                <w:b/>
                <w:bCs/>
              </w:rPr>
            </w:pPr>
            <w:r w:rsidRPr="00D72F55">
              <w:rPr>
                <w:b/>
                <w:bCs/>
              </w:rPr>
              <w:t>Reason for change</w:t>
            </w:r>
          </w:p>
        </w:tc>
      </w:tr>
      <w:tr w:rsidR="007C65A1" w:rsidRPr="00AA4872" w14:paraId="398B62B0" w14:textId="3E1E93EF" w:rsidTr="00D84FE4">
        <w:trPr>
          <w:trHeight w:val="567"/>
        </w:trPr>
        <w:tc>
          <w:tcPr>
            <w:tcW w:w="1652" w:type="pct"/>
            <w:vAlign w:val="center"/>
            <w:hideMark/>
          </w:tcPr>
          <w:p w14:paraId="17D0AA67" w14:textId="294FF76E" w:rsidR="007C65A1" w:rsidRPr="00AA4872" w:rsidRDefault="003E7002" w:rsidP="003E7002">
            <w:pPr>
              <w:pStyle w:val="Bullets"/>
              <w:numPr>
                <w:ilvl w:val="0"/>
                <w:numId w:val="0"/>
              </w:numPr>
              <w:ind w:left="360"/>
            </w:pPr>
            <w:r>
              <w:t>P01</w:t>
            </w:r>
          </w:p>
        </w:tc>
        <w:tc>
          <w:tcPr>
            <w:tcW w:w="1674" w:type="pct"/>
            <w:vAlign w:val="center"/>
            <w:hideMark/>
          </w:tcPr>
          <w:p w14:paraId="3B25F095" w14:textId="017BA847" w:rsidR="007C65A1" w:rsidRPr="00AA4872" w:rsidRDefault="00AC4943" w:rsidP="003E7002">
            <w:pPr>
              <w:pStyle w:val="Bullets"/>
              <w:numPr>
                <w:ilvl w:val="0"/>
                <w:numId w:val="0"/>
              </w:numPr>
              <w:ind w:left="360"/>
            </w:pPr>
            <w:r>
              <w:t>17/11/2023</w:t>
            </w:r>
          </w:p>
        </w:tc>
        <w:tc>
          <w:tcPr>
            <w:tcW w:w="1674" w:type="pct"/>
            <w:vAlign w:val="center"/>
          </w:tcPr>
          <w:p w14:paraId="361E1B8E" w14:textId="4A397015" w:rsidR="007C65A1" w:rsidRPr="00AA4872" w:rsidRDefault="00AC4943" w:rsidP="003E7002">
            <w:pPr>
              <w:pStyle w:val="Bullets"/>
              <w:numPr>
                <w:ilvl w:val="0"/>
                <w:numId w:val="0"/>
              </w:numPr>
              <w:ind w:left="360"/>
            </w:pPr>
            <w:r>
              <w:t>First Draft</w:t>
            </w:r>
          </w:p>
        </w:tc>
      </w:tr>
      <w:tr w:rsidR="007C65A1" w:rsidRPr="00AA4872" w14:paraId="3A7F8E38" w14:textId="3C13E75C" w:rsidTr="00D84FE4">
        <w:trPr>
          <w:trHeight w:val="567"/>
        </w:trPr>
        <w:tc>
          <w:tcPr>
            <w:tcW w:w="1652" w:type="pct"/>
            <w:vAlign w:val="center"/>
          </w:tcPr>
          <w:p w14:paraId="3355DC9F" w14:textId="2C1080E9" w:rsidR="007C65A1" w:rsidRPr="00AA4872" w:rsidRDefault="003E7002" w:rsidP="003E7002">
            <w:pPr>
              <w:pStyle w:val="Bullets"/>
              <w:numPr>
                <w:ilvl w:val="0"/>
                <w:numId w:val="0"/>
              </w:numPr>
              <w:ind w:left="360"/>
            </w:pPr>
            <w:r>
              <w:t>P02</w:t>
            </w:r>
          </w:p>
        </w:tc>
        <w:tc>
          <w:tcPr>
            <w:tcW w:w="1674" w:type="pct"/>
            <w:vAlign w:val="center"/>
          </w:tcPr>
          <w:p w14:paraId="7FFD7BB3" w14:textId="7E2D8E08" w:rsidR="007C65A1" w:rsidRPr="00AA4872" w:rsidRDefault="00E1647E" w:rsidP="003E7002">
            <w:pPr>
              <w:pStyle w:val="Bullets"/>
              <w:numPr>
                <w:ilvl w:val="0"/>
                <w:numId w:val="0"/>
              </w:numPr>
              <w:ind w:left="360"/>
            </w:pPr>
            <w:r>
              <w:t>21/12/2023</w:t>
            </w:r>
          </w:p>
        </w:tc>
        <w:tc>
          <w:tcPr>
            <w:tcW w:w="1674" w:type="pct"/>
            <w:vAlign w:val="center"/>
          </w:tcPr>
          <w:p w14:paraId="629F86EB" w14:textId="3CAFCF9C" w:rsidR="007C65A1" w:rsidRPr="00AA4872" w:rsidRDefault="00E1647E" w:rsidP="003E7002">
            <w:pPr>
              <w:pStyle w:val="Bullets"/>
              <w:numPr>
                <w:ilvl w:val="0"/>
                <w:numId w:val="0"/>
              </w:numPr>
              <w:ind w:left="360"/>
            </w:pPr>
            <w:r>
              <w:t>Issue</w:t>
            </w:r>
          </w:p>
        </w:tc>
      </w:tr>
      <w:tr w:rsidR="007C65A1" w:rsidRPr="00AA4872" w14:paraId="31026916" w14:textId="1D07BEB0" w:rsidTr="00D84FE4">
        <w:trPr>
          <w:trHeight w:val="567"/>
        </w:trPr>
        <w:tc>
          <w:tcPr>
            <w:tcW w:w="1652" w:type="pct"/>
            <w:vAlign w:val="center"/>
          </w:tcPr>
          <w:p w14:paraId="4A7FCE7D" w14:textId="72A5D6B8" w:rsidR="007C65A1" w:rsidRPr="00AA4872" w:rsidRDefault="008C3E91" w:rsidP="003E7002">
            <w:pPr>
              <w:pStyle w:val="Bullets"/>
              <w:numPr>
                <w:ilvl w:val="0"/>
                <w:numId w:val="0"/>
              </w:numPr>
              <w:ind w:left="360"/>
            </w:pPr>
            <w:r>
              <w:t>P</w:t>
            </w:r>
            <w:r w:rsidR="00947197">
              <w:t>0</w:t>
            </w:r>
            <w:r>
              <w:t>3</w:t>
            </w:r>
          </w:p>
        </w:tc>
        <w:tc>
          <w:tcPr>
            <w:tcW w:w="1674" w:type="pct"/>
            <w:vAlign w:val="center"/>
          </w:tcPr>
          <w:p w14:paraId="24216A94" w14:textId="55FDCFF0" w:rsidR="007C65A1" w:rsidRPr="00AA4872" w:rsidRDefault="008C3E91" w:rsidP="003E7002">
            <w:pPr>
              <w:pStyle w:val="Bullets"/>
              <w:numPr>
                <w:ilvl w:val="0"/>
                <w:numId w:val="0"/>
              </w:numPr>
              <w:ind w:left="360"/>
            </w:pPr>
            <w:r>
              <w:t>0</w:t>
            </w:r>
            <w:r w:rsidR="00F54625">
              <w:t>7</w:t>
            </w:r>
            <w:r>
              <w:t>/03/202</w:t>
            </w:r>
            <w:r w:rsidR="00B046EC">
              <w:t>4</w:t>
            </w:r>
          </w:p>
        </w:tc>
        <w:tc>
          <w:tcPr>
            <w:tcW w:w="1674" w:type="pct"/>
            <w:vAlign w:val="center"/>
          </w:tcPr>
          <w:p w14:paraId="4D2B2D32" w14:textId="7202D08B" w:rsidR="007C65A1" w:rsidRPr="00AA4872" w:rsidRDefault="008C3E91" w:rsidP="003E7002">
            <w:pPr>
              <w:pStyle w:val="Bullets"/>
              <w:numPr>
                <w:ilvl w:val="0"/>
                <w:numId w:val="0"/>
              </w:numPr>
              <w:ind w:left="360"/>
            </w:pPr>
            <w:r>
              <w:t>Issue</w:t>
            </w:r>
            <w:r w:rsidR="006358B7">
              <w:t xml:space="preserve"> </w:t>
            </w:r>
            <w:r>
              <w:t>- addition of further archaeological information</w:t>
            </w:r>
          </w:p>
        </w:tc>
      </w:tr>
      <w:tr w:rsidR="00B046EC" w:rsidRPr="00AA4872" w14:paraId="7782F59A" w14:textId="77777777" w:rsidTr="00D84FE4">
        <w:trPr>
          <w:trHeight w:val="567"/>
        </w:trPr>
        <w:tc>
          <w:tcPr>
            <w:tcW w:w="1652" w:type="pct"/>
            <w:vAlign w:val="center"/>
          </w:tcPr>
          <w:p w14:paraId="290FEE9C" w14:textId="30BBA2E3" w:rsidR="00B046EC" w:rsidRDefault="00B046EC" w:rsidP="003E7002">
            <w:pPr>
              <w:pStyle w:val="Bullets"/>
              <w:numPr>
                <w:ilvl w:val="0"/>
                <w:numId w:val="0"/>
              </w:numPr>
              <w:ind w:left="360"/>
            </w:pPr>
            <w:r>
              <w:t>P04</w:t>
            </w:r>
          </w:p>
        </w:tc>
        <w:tc>
          <w:tcPr>
            <w:tcW w:w="1674" w:type="pct"/>
            <w:vAlign w:val="center"/>
          </w:tcPr>
          <w:p w14:paraId="63418F04" w14:textId="45E56268" w:rsidR="00B046EC" w:rsidRDefault="00B046EC" w:rsidP="003E7002">
            <w:pPr>
              <w:pStyle w:val="Bullets"/>
              <w:numPr>
                <w:ilvl w:val="0"/>
                <w:numId w:val="0"/>
              </w:numPr>
              <w:ind w:left="360"/>
            </w:pPr>
            <w:r>
              <w:t>15/03/2024</w:t>
            </w:r>
          </w:p>
        </w:tc>
        <w:tc>
          <w:tcPr>
            <w:tcW w:w="1674" w:type="pct"/>
            <w:vAlign w:val="center"/>
          </w:tcPr>
          <w:p w14:paraId="65187D12" w14:textId="6A52E77F" w:rsidR="00B046EC" w:rsidRDefault="00B046EC" w:rsidP="003E7002">
            <w:pPr>
              <w:pStyle w:val="Bullets"/>
              <w:numPr>
                <w:ilvl w:val="0"/>
                <w:numId w:val="0"/>
              </w:numPr>
              <w:ind w:left="360"/>
            </w:pPr>
            <w:r>
              <w:t>NRW including of advisory comments to ML</w:t>
            </w:r>
          </w:p>
        </w:tc>
      </w:tr>
    </w:tbl>
    <w:p w14:paraId="74F6E53E" w14:textId="77777777" w:rsidR="00AC74CB" w:rsidRPr="00AA4872" w:rsidRDefault="00AC74CB" w:rsidP="00AC74CB">
      <w:pPr>
        <w:pStyle w:val="Date"/>
        <w:ind w:left="0"/>
        <w:rPr>
          <w:rFonts w:cs="Arial"/>
        </w:rPr>
      </w:pPr>
      <w:r w:rsidRPr="00AA4872">
        <w:rPr>
          <w:rFonts w:cs="Arial"/>
        </w:rPr>
        <w:t>Date</w:t>
      </w:r>
    </w:p>
    <w:p w14:paraId="25F8E8F0" w14:textId="77777777" w:rsidR="00B53565" w:rsidRPr="00AA4872" w:rsidRDefault="00AC74CB">
      <w:pPr>
        <w:rPr>
          <w:rFonts w:ascii="Arial" w:hAnsi="Arial" w:cs="Arial"/>
        </w:rPr>
      </w:pPr>
      <w:r w:rsidRPr="00AA4872">
        <w:rPr>
          <w:rFonts w:ascii="Arial" w:hAnsi="Arial" w:cs="Arial"/>
        </w:rPr>
        <w:br w:type="page"/>
      </w:r>
    </w:p>
    <w:p w14:paraId="244E6C43" w14:textId="5EBA3831" w:rsidR="00AC74CB" w:rsidRDefault="00D72F55" w:rsidP="003C772B">
      <w:pPr>
        <w:pStyle w:val="Covertitles"/>
        <w:rPr>
          <w:rStyle w:val="Hyperlink"/>
          <w:color w:val="00A0AA" w:themeColor="accent6"/>
          <w:u w:val="none"/>
        </w:rPr>
      </w:pPr>
      <w:r w:rsidRPr="003C772B">
        <w:rPr>
          <w:rStyle w:val="Hyperlink"/>
          <w:color w:val="00A0AA" w:themeColor="accent6"/>
          <w:u w:val="none"/>
        </w:rPr>
        <w:lastRenderedPageBreak/>
        <w:t>Contents</w:t>
      </w:r>
    </w:p>
    <w:p w14:paraId="4C51FC11" w14:textId="2B64BDD3" w:rsidR="00D84FE4" w:rsidRDefault="00D72F55">
      <w:pPr>
        <w:pStyle w:val="TOC1"/>
        <w:rPr>
          <w:rFonts w:asciiTheme="minorHAnsi" w:eastAsiaTheme="minorEastAsia" w:hAnsiTheme="minorHAnsi" w:cstheme="minorBidi"/>
          <w:noProof/>
          <w:kern w:val="2"/>
          <w:sz w:val="22"/>
          <w:szCs w:val="22"/>
          <w14:ligatures w14:val="standardContextual"/>
        </w:rPr>
      </w:pPr>
      <w:r>
        <w:rPr>
          <w:color w:val="FFFFFF"/>
        </w:rPr>
        <w:fldChar w:fldCharType="begin"/>
      </w:r>
      <w:r>
        <w:rPr>
          <w:color w:val="FFFFFF"/>
        </w:rPr>
        <w:instrText xml:space="preserve"> TOC \o "1-2" \h \z \u </w:instrText>
      </w:r>
      <w:r>
        <w:rPr>
          <w:color w:val="FFFFFF"/>
        </w:rPr>
        <w:fldChar w:fldCharType="separate"/>
      </w:r>
      <w:hyperlink w:anchor="_Toc160701710" w:history="1">
        <w:r w:rsidR="00D84FE4" w:rsidRPr="005E010E">
          <w:rPr>
            <w:rStyle w:val="Hyperlink"/>
            <w:rFonts w:cs="Arial"/>
            <w:noProof/>
          </w:rPr>
          <w:t>Executive summary</w:t>
        </w:r>
        <w:r w:rsidR="00D84FE4">
          <w:rPr>
            <w:noProof/>
            <w:webHidden/>
          </w:rPr>
          <w:tab/>
        </w:r>
        <w:r w:rsidR="00D84FE4">
          <w:rPr>
            <w:noProof/>
            <w:webHidden/>
          </w:rPr>
          <w:fldChar w:fldCharType="begin"/>
        </w:r>
        <w:r w:rsidR="00D84FE4">
          <w:rPr>
            <w:noProof/>
            <w:webHidden/>
          </w:rPr>
          <w:instrText xml:space="preserve"> PAGEREF _Toc160701710 \h </w:instrText>
        </w:r>
        <w:r w:rsidR="00D84FE4">
          <w:rPr>
            <w:noProof/>
            <w:webHidden/>
          </w:rPr>
        </w:r>
        <w:r w:rsidR="00D84FE4">
          <w:rPr>
            <w:noProof/>
            <w:webHidden/>
          </w:rPr>
          <w:fldChar w:fldCharType="separate"/>
        </w:r>
        <w:r w:rsidR="006358B7">
          <w:rPr>
            <w:noProof/>
            <w:webHidden/>
          </w:rPr>
          <w:t>2</w:t>
        </w:r>
        <w:r w:rsidR="00D84FE4">
          <w:rPr>
            <w:noProof/>
            <w:webHidden/>
          </w:rPr>
          <w:fldChar w:fldCharType="end"/>
        </w:r>
      </w:hyperlink>
    </w:p>
    <w:p w14:paraId="00400679" w14:textId="6C9DA343" w:rsidR="00D84FE4" w:rsidRDefault="001B6153">
      <w:pPr>
        <w:pStyle w:val="TOC1"/>
        <w:rPr>
          <w:rFonts w:asciiTheme="minorHAnsi" w:eastAsiaTheme="minorEastAsia" w:hAnsiTheme="minorHAnsi" w:cstheme="minorBidi"/>
          <w:noProof/>
          <w:kern w:val="2"/>
          <w:sz w:val="22"/>
          <w:szCs w:val="22"/>
          <w14:ligatures w14:val="standardContextual"/>
        </w:rPr>
      </w:pPr>
      <w:hyperlink w:anchor="_Toc160701711" w:history="1">
        <w:r w:rsidR="00D84FE4" w:rsidRPr="005E010E">
          <w:rPr>
            <w:rStyle w:val="Hyperlink"/>
            <w:rFonts w:cs="Arial"/>
            <w:noProof/>
          </w:rPr>
          <w:t>1. Introduction</w:t>
        </w:r>
        <w:r w:rsidR="00D84FE4">
          <w:rPr>
            <w:noProof/>
            <w:webHidden/>
          </w:rPr>
          <w:tab/>
        </w:r>
        <w:r w:rsidR="00D84FE4">
          <w:rPr>
            <w:noProof/>
            <w:webHidden/>
          </w:rPr>
          <w:fldChar w:fldCharType="begin"/>
        </w:r>
        <w:r w:rsidR="00D84FE4">
          <w:rPr>
            <w:noProof/>
            <w:webHidden/>
          </w:rPr>
          <w:instrText xml:space="preserve"> PAGEREF _Toc160701711 \h </w:instrText>
        </w:r>
        <w:r w:rsidR="00D84FE4">
          <w:rPr>
            <w:noProof/>
            <w:webHidden/>
          </w:rPr>
        </w:r>
        <w:r w:rsidR="00D84FE4">
          <w:rPr>
            <w:noProof/>
            <w:webHidden/>
          </w:rPr>
          <w:fldChar w:fldCharType="separate"/>
        </w:r>
        <w:r w:rsidR="006358B7">
          <w:rPr>
            <w:noProof/>
            <w:webHidden/>
          </w:rPr>
          <w:t>3</w:t>
        </w:r>
        <w:r w:rsidR="00D84FE4">
          <w:rPr>
            <w:noProof/>
            <w:webHidden/>
          </w:rPr>
          <w:fldChar w:fldCharType="end"/>
        </w:r>
      </w:hyperlink>
    </w:p>
    <w:p w14:paraId="334511D2" w14:textId="04AA5B8A"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12" w:history="1">
        <w:r w:rsidR="00D84FE4" w:rsidRPr="005E010E">
          <w:rPr>
            <w:rStyle w:val="Hyperlink"/>
            <w:rFonts w:cs="Arial"/>
            <w:noProof/>
          </w:rPr>
          <w:t>1.1 Background</w:t>
        </w:r>
        <w:r w:rsidR="00D84FE4">
          <w:rPr>
            <w:noProof/>
            <w:webHidden/>
          </w:rPr>
          <w:tab/>
        </w:r>
        <w:r w:rsidR="00D84FE4">
          <w:rPr>
            <w:noProof/>
            <w:webHidden/>
          </w:rPr>
          <w:fldChar w:fldCharType="begin"/>
        </w:r>
        <w:r w:rsidR="00D84FE4">
          <w:rPr>
            <w:noProof/>
            <w:webHidden/>
          </w:rPr>
          <w:instrText xml:space="preserve"> PAGEREF _Toc160701712 \h </w:instrText>
        </w:r>
        <w:r w:rsidR="00D84FE4">
          <w:rPr>
            <w:noProof/>
            <w:webHidden/>
          </w:rPr>
        </w:r>
        <w:r w:rsidR="00D84FE4">
          <w:rPr>
            <w:noProof/>
            <w:webHidden/>
          </w:rPr>
          <w:fldChar w:fldCharType="separate"/>
        </w:r>
        <w:r w:rsidR="006358B7">
          <w:rPr>
            <w:noProof/>
            <w:webHidden/>
          </w:rPr>
          <w:t>3</w:t>
        </w:r>
        <w:r w:rsidR="00D84FE4">
          <w:rPr>
            <w:noProof/>
            <w:webHidden/>
          </w:rPr>
          <w:fldChar w:fldCharType="end"/>
        </w:r>
      </w:hyperlink>
    </w:p>
    <w:p w14:paraId="7BC9722A" w14:textId="1442F8CA"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13" w:history="1">
        <w:r w:rsidR="00D84FE4" w:rsidRPr="005E010E">
          <w:rPr>
            <w:rStyle w:val="Hyperlink"/>
            <w:rFonts w:cs="Arial"/>
            <w:noProof/>
          </w:rPr>
          <w:t>1.2 Project description</w:t>
        </w:r>
        <w:r w:rsidR="00D84FE4">
          <w:rPr>
            <w:noProof/>
            <w:webHidden/>
          </w:rPr>
          <w:tab/>
        </w:r>
        <w:r w:rsidR="00D84FE4">
          <w:rPr>
            <w:noProof/>
            <w:webHidden/>
          </w:rPr>
          <w:fldChar w:fldCharType="begin"/>
        </w:r>
        <w:r w:rsidR="00D84FE4">
          <w:rPr>
            <w:noProof/>
            <w:webHidden/>
          </w:rPr>
          <w:instrText xml:space="preserve"> PAGEREF _Toc160701713 \h </w:instrText>
        </w:r>
        <w:r w:rsidR="00D84FE4">
          <w:rPr>
            <w:noProof/>
            <w:webHidden/>
          </w:rPr>
        </w:r>
        <w:r w:rsidR="00D84FE4">
          <w:rPr>
            <w:noProof/>
            <w:webHidden/>
          </w:rPr>
          <w:fldChar w:fldCharType="separate"/>
        </w:r>
        <w:r w:rsidR="006358B7">
          <w:rPr>
            <w:noProof/>
            <w:webHidden/>
          </w:rPr>
          <w:t>3</w:t>
        </w:r>
        <w:r w:rsidR="00D84FE4">
          <w:rPr>
            <w:noProof/>
            <w:webHidden/>
          </w:rPr>
          <w:fldChar w:fldCharType="end"/>
        </w:r>
      </w:hyperlink>
    </w:p>
    <w:p w14:paraId="7A2DAB6B" w14:textId="22C7545C"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14" w:history="1">
        <w:r w:rsidR="00D84FE4" w:rsidRPr="005E010E">
          <w:rPr>
            <w:rStyle w:val="Hyperlink"/>
            <w:rFonts w:cs="Arial"/>
            <w:noProof/>
          </w:rPr>
          <w:t>1.3 Consenting requirements</w:t>
        </w:r>
        <w:r w:rsidR="00D84FE4">
          <w:rPr>
            <w:noProof/>
            <w:webHidden/>
          </w:rPr>
          <w:tab/>
        </w:r>
        <w:r w:rsidR="00D84FE4">
          <w:rPr>
            <w:noProof/>
            <w:webHidden/>
          </w:rPr>
          <w:fldChar w:fldCharType="begin"/>
        </w:r>
        <w:r w:rsidR="00D84FE4">
          <w:rPr>
            <w:noProof/>
            <w:webHidden/>
          </w:rPr>
          <w:instrText xml:space="preserve"> PAGEREF _Toc160701714 \h </w:instrText>
        </w:r>
        <w:r w:rsidR="00D84FE4">
          <w:rPr>
            <w:noProof/>
            <w:webHidden/>
          </w:rPr>
        </w:r>
        <w:r w:rsidR="00D84FE4">
          <w:rPr>
            <w:noProof/>
            <w:webHidden/>
          </w:rPr>
          <w:fldChar w:fldCharType="separate"/>
        </w:r>
        <w:r w:rsidR="006358B7">
          <w:rPr>
            <w:noProof/>
            <w:webHidden/>
          </w:rPr>
          <w:t>5</w:t>
        </w:r>
        <w:r w:rsidR="00D84FE4">
          <w:rPr>
            <w:noProof/>
            <w:webHidden/>
          </w:rPr>
          <w:fldChar w:fldCharType="end"/>
        </w:r>
      </w:hyperlink>
    </w:p>
    <w:p w14:paraId="451612F2" w14:textId="7291F02A" w:rsidR="00D84FE4" w:rsidRDefault="001B6153">
      <w:pPr>
        <w:pStyle w:val="TOC1"/>
        <w:rPr>
          <w:rFonts w:asciiTheme="minorHAnsi" w:eastAsiaTheme="minorEastAsia" w:hAnsiTheme="minorHAnsi" w:cstheme="minorBidi"/>
          <w:noProof/>
          <w:kern w:val="2"/>
          <w:sz w:val="22"/>
          <w:szCs w:val="22"/>
          <w14:ligatures w14:val="standardContextual"/>
        </w:rPr>
      </w:pPr>
      <w:hyperlink w:anchor="_Toc160701715" w:history="1">
        <w:r w:rsidR="00D84FE4" w:rsidRPr="005E010E">
          <w:rPr>
            <w:rStyle w:val="Hyperlink"/>
            <w:rFonts w:cs="Arial"/>
            <w:noProof/>
          </w:rPr>
          <w:t>2. Potential environmental risks</w:t>
        </w:r>
        <w:r w:rsidR="00D84FE4">
          <w:rPr>
            <w:noProof/>
            <w:webHidden/>
          </w:rPr>
          <w:tab/>
        </w:r>
        <w:r w:rsidR="00D84FE4">
          <w:rPr>
            <w:noProof/>
            <w:webHidden/>
          </w:rPr>
          <w:fldChar w:fldCharType="begin"/>
        </w:r>
        <w:r w:rsidR="00D84FE4">
          <w:rPr>
            <w:noProof/>
            <w:webHidden/>
          </w:rPr>
          <w:instrText xml:space="preserve"> PAGEREF _Toc160701715 \h </w:instrText>
        </w:r>
        <w:r w:rsidR="00D84FE4">
          <w:rPr>
            <w:noProof/>
            <w:webHidden/>
          </w:rPr>
        </w:r>
        <w:r w:rsidR="00D84FE4">
          <w:rPr>
            <w:noProof/>
            <w:webHidden/>
          </w:rPr>
          <w:fldChar w:fldCharType="separate"/>
        </w:r>
        <w:r w:rsidR="006358B7">
          <w:rPr>
            <w:noProof/>
            <w:webHidden/>
          </w:rPr>
          <w:t>5</w:t>
        </w:r>
        <w:r w:rsidR="00D84FE4">
          <w:rPr>
            <w:noProof/>
            <w:webHidden/>
          </w:rPr>
          <w:fldChar w:fldCharType="end"/>
        </w:r>
      </w:hyperlink>
    </w:p>
    <w:p w14:paraId="7AE1971E" w14:textId="608317DD"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16" w:history="1">
        <w:r w:rsidR="00D84FE4" w:rsidRPr="005E010E">
          <w:rPr>
            <w:rStyle w:val="Hyperlink"/>
            <w:rFonts w:cs="Arial"/>
            <w:noProof/>
          </w:rPr>
          <w:t>2.1 Biodiversity</w:t>
        </w:r>
        <w:r w:rsidR="00D84FE4">
          <w:rPr>
            <w:noProof/>
            <w:webHidden/>
          </w:rPr>
          <w:tab/>
        </w:r>
        <w:r w:rsidR="00D84FE4">
          <w:rPr>
            <w:noProof/>
            <w:webHidden/>
          </w:rPr>
          <w:fldChar w:fldCharType="begin"/>
        </w:r>
        <w:r w:rsidR="00D84FE4">
          <w:rPr>
            <w:noProof/>
            <w:webHidden/>
          </w:rPr>
          <w:instrText xml:space="preserve"> PAGEREF _Toc160701716 \h </w:instrText>
        </w:r>
        <w:r w:rsidR="00D84FE4">
          <w:rPr>
            <w:noProof/>
            <w:webHidden/>
          </w:rPr>
        </w:r>
        <w:r w:rsidR="00D84FE4">
          <w:rPr>
            <w:noProof/>
            <w:webHidden/>
          </w:rPr>
          <w:fldChar w:fldCharType="separate"/>
        </w:r>
        <w:r w:rsidR="006358B7">
          <w:rPr>
            <w:noProof/>
            <w:webHidden/>
          </w:rPr>
          <w:t>5</w:t>
        </w:r>
        <w:r w:rsidR="00D84FE4">
          <w:rPr>
            <w:noProof/>
            <w:webHidden/>
          </w:rPr>
          <w:fldChar w:fldCharType="end"/>
        </w:r>
      </w:hyperlink>
    </w:p>
    <w:p w14:paraId="3B6F457F" w14:textId="7769C700"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17" w:history="1">
        <w:r w:rsidR="00D84FE4" w:rsidRPr="005E010E">
          <w:rPr>
            <w:rStyle w:val="Hyperlink"/>
            <w:rFonts w:cs="Arial"/>
            <w:noProof/>
          </w:rPr>
          <w:t>2.2 Water Environment</w:t>
        </w:r>
        <w:r w:rsidR="00D84FE4">
          <w:rPr>
            <w:noProof/>
            <w:webHidden/>
          </w:rPr>
          <w:tab/>
        </w:r>
        <w:r w:rsidR="00D84FE4">
          <w:rPr>
            <w:noProof/>
            <w:webHidden/>
          </w:rPr>
          <w:fldChar w:fldCharType="begin"/>
        </w:r>
        <w:r w:rsidR="00D84FE4">
          <w:rPr>
            <w:noProof/>
            <w:webHidden/>
          </w:rPr>
          <w:instrText xml:space="preserve"> PAGEREF _Toc160701717 \h </w:instrText>
        </w:r>
        <w:r w:rsidR="00D84FE4">
          <w:rPr>
            <w:noProof/>
            <w:webHidden/>
          </w:rPr>
        </w:r>
        <w:r w:rsidR="00D84FE4">
          <w:rPr>
            <w:noProof/>
            <w:webHidden/>
          </w:rPr>
          <w:fldChar w:fldCharType="separate"/>
        </w:r>
        <w:r w:rsidR="006358B7">
          <w:rPr>
            <w:noProof/>
            <w:webHidden/>
          </w:rPr>
          <w:t>11</w:t>
        </w:r>
        <w:r w:rsidR="00D84FE4">
          <w:rPr>
            <w:noProof/>
            <w:webHidden/>
          </w:rPr>
          <w:fldChar w:fldCharType="end"/>
        </w:r>
      </w:hyperlink>
    </w:p>
    <w:p w14:paraId="36C9ECAF" w14:textId="6C84697E"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18" w:history="1">
        <w:r w:rsidR="00D84FE4" w:rsidRPr="005E010E">
          <w:rPr>
            <w:rStyle w:val="Hyperlink"/>
            <w:rFonts w:cs="Arial"/>
            <w:noProof/>
          </w:rPr>
          <w:t>2.3 Heritage and Landscape</w:t>
        </w:r>
        <w:r w:rsidR="00D84FE4">
          <w:rPr>
            <w:noProof/>
            <w:webHidden/>
          </w:rPr>
          <w:tab/>
        </w:r>
        <w:r w:rsidR="00D84FE4">
          <w:rPr>
            <w:noProof/>
            <w:webHidden/>
          </w:rPr>
          <w:fldChar w:fldCharType="begin"/>
        </w:r>
        <w:r w:rsidR="00D84FE4">
          <w:rPr>
            <w:noProof/>
            <w:webHidden/>
          </w:rPr>
          <w:instrText xml:space="preserve"> PAGEREF _Toc160701718 \h </w:instrText>
        </w:r>
        <w:r w:rsidR="00D84FE4">
          <w:rPr>
            <w:noProof/>
            <w:webHidden/>
          </w:rPr>
        </w:r>
        <w:r w:rsidR="00D84FE4">
          <w:rPr>
            <w:noProof/>
            <w:webHidden/>
          </w:rPr>
          <w:fldChar w:fldCharType="separate"/>
        </w:r>
        <w:r w:rsidR="006358B7">
          <w:rPr>
            <w:noProof/>
            <w:webHidden/>
          </w:rPr>
          <w:t>13</w:t>
        </w:r>
        <w:r w:rsidR="00D84FE4">
          <w:rPr>
            <w:noProof/>
            <w:webHidden/>
          </w:rPr>
          <w:fldChar w:fldCharType="end"/>
        </w:r>
      </w:hyperlink>
    </w:p>
    <w:p w14:paraId="7B89BD5A" w14:textId="0C45FB98"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19" w:history="1">
        <w:r w:rsidR="00D84FE4" w:rsidRPr="005E010E">
          <w:rPr>
            <w:rStyle w:val="Hyperlink"/>
            <w:rFonts w:cs="Arial"/>
            <w:noProof/>
          </w:rPr>
          <w:t>2.4 Cumulative impacts</w:t>
        </w:r>
        <w:r w:rsidR="00D84FE4">
          <w:rPr>
            <w:noProof/>
            <w:webHidden/>
          </w:rPr>
          <w:tab/>
        </w:r>
        <w:r w:rsidR="00D84FE4">
          <w:rPr>
            <w:noProof/>
            <w:webHidden/>
          </w:rPr>
          <w:fldChar w:fldCharType="begin"/>
        </w:r>
        <w:r w:rsidR="00D84FE4">
          <w:rPr>
            <w:noProof/>
            <w:webHidden/>
          </w:rPr>
          <w:instrText xml:space="preserve"> PAGEREF _Toc160701719 \h </w:instrText>
        </w:r>
        <w:r w:rsidR="00D84FE4">
          <w:rPr>
            <w:noProof/>
            <w:webHidden/>
          </w:rPr>
        </w:r>
        <w:r w:rsidR="00D84FE4">
          <w:rPr>
            <w:noProof/>
            <w:webHidden/>
          </w:rPr>
          <w:fldChar w:fldCharType="separate"/>
        </w:r>
        <w:r w:rsidR="006358B7">
          <w:rPr>
            <w:noProof/>
            <w:webHidden/>
          </w:rPr>
          <w:t>16</w:t>
        </w:r>
        <w:r w:rsidR="00D84FE4">
          <w:rPr>
            <w:noProof/>
            <w:webHidden/>
          </w:rPr>
          <w:fldChar w:fldCharType="end"/>
        </w:r>
      </w:hyperlink>
    </w:p>
    <w:p w14:paraId="6E322658" w14:textId="118152AE" w:rsidR="00D84FE4" w:rsidRDefault="001B6153">
      <w:pPr>
        <w:pStyle w:val="TOC1"/>
        <w:rPr>
          <w:rFonts w:asciiTheme="minorHAnsi" w:eastAsiaTheme="minorEastAsia" w:hAnsiTheme="minorHAnsi" w:cstheme="minorBidi"/>
          <w:noProof/>
          <w:kern w:val="2"/>
          <w:sz w:val="22"/>
          <w:szCs w:val="22"/>
          <w14:ligatures w14:val="standardContextual"/>
        </w:rPr>
      </w:pPr>
      <w:hyperlink w:anchor="_Toc160701720" w:history="1">
        <w:r w:rsidR="00D84FE4" w:rsidRPr="005E010E">
          <w:rPr>
            <w:rStyle w:val="Hyperlink"/>
            <w:rFonts w:cs="Arial"/>
            <w:noProof/>
          </w:rPr>
          <w:t>3. Value added by environmental assessment</w:t>
        </w:r>
        <w:r w:rsidR="00D84FE4">
          <w:rPr>
            <w:noProof/>
            <w:webHidden/>
          </w:rPr>
          <w:tab/>
        </w:r>
        <w:r w:rsidR="00D84FE4">
          <w:rPr>
            <w:noProof/>
            <w:webHidden/>
          </w:rPr>
          <w:fldChar w:fldCharType="begin"/>
        </w:r>
        <w:r w:rsidR="00D84FE4">
          <w:rPr>
            <w:noProof/>
            <w:webHidden/>
          </w:rPr>
          <w:instrText xml:space="preserve"> PAGEREF _Toc160701720 \h </w:instrText>
        </w:r>
        <w:r w:rsidR="00D84FE4">
          <w:rPr>
            <w:noProof/>
            <w:webHidden/>
          </w:rPr>
        </w:r>
        <w:r w:rsidR="00D84FE4">
          <w:rPr>
            <w:noProof/>
            <w:webHidden/>
          </w:rPr>
          <w:fldChar w:fldCharType="separate"/>
        </w:r>
        <w:r w:rsidR="006358B7">
          <w:rPr>
            <w:noProof/>
            <w:webHidden/>
          </w:rPr>
          <w:t>17</w:t>
        </w:r>
        <w:r w:rsidR="00D84FE4">
          <w:rPr>
            <w:noProof/>
            <w:webHidden/>
          </w:rPr>
          <w:fldChar w:fldCharType="end"/>
        </w:r>
      </w:hyperlink>
    </w:p>
    <w:p w14:paraId="14F5F987" w14:textId="31994E3A" w:rsidR="00D84FE4" w:rsidRDefault="001B6153">
      <w:pPr>
        <w:pStyle w:val="TOC1"/>
        <w:rPr>
          <w:rFonts w:asciiTheme="minorHAnsi" w:eastAsiaTheme="minorEastAsia" w:hAnsiTheme="minorHAnsi" w:cstheme="minorBidi"/>
          <w:noProof/>
          <w:kern w:val="2"/>
          <w:sz w:val="22"/>
          <w:szCs w:val="22"/>
          <w14:ligatures w14:val="standardContextual"/>
        </w:rPr>
      </w:pPr>
      <w:hyperlink w:anchor="_Toc160701721" w:history="1">
        <w:r w:rsidR="00D84FE4" w:rsidRPr="005E010E">
          <w:rPr>
            <w:rStyle w:val="Hyperlink"/>
            <w:rFonts w:cs="Arial"/>
            <w:noProof/>
          </w:rPr>
          <w:t>4. Multiple benefits</w:t>
        </w:r>
        <w:r w:rsidR="00D84FE4">
          <w:rPr>
            <w:noProof/>
            <w:webHidden/>
          </w:rPr>
          <w:tab/>
        </w:r>
        <w:r w:rsidR="00D84FE4">
          <w:rPr>
            <w:noProof/>
            <w:webHidden/>
          </w:rPr>
          <w:fldChar w:fldCharType="begin"/>
        </w:r>
        <w:r w:rsidR="00D84FE4">
          <w:rPr>
            <w:noProof/>
            <w:webHidden/>
          </w:rPr>
          <w:instrText xml:space="preserve"> PAGEREF _Toc160701721 \h </w:instrText>
        </w:r>
        <w:r w:rsidR="00D84FE4">
          <w:rPr>
            <w:noProof/>
            <w:webHidden/>
          </w:rPr>
        </w:r>
        <w:r w:rsidR="00D84FE4">
          <w:rPr>
            <w:noProof/>
            <w:webHidden/>
          </w:rPr>
          <w:fldChar w:fldCharType="separate"/>
        </w:r>
        <w:r w:rsidR="006358B7">
          <w:rPr>
            <w:noProof/>
            <w:webHidden/>
          </w:rPr>
          <w:t>17</w:t>
        </w:r>
        <w:r w:rsidR="00D84FE4">
          <w:rPr>
            <w:noProof/>
            <w:webHidden/>
          </w:rPr>
          <w:fldChar w:fldCharType="end"/>
        </w:r>
      </w:hyperlink>
    </w:p>
    <w:p w14:paraId="3B7277C0" w14:textId="08B4A83B"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22" w:history="1">
        <w:r w:rsidR="00D84FE4" w:rsidRPr="005E010E">
          <w:rPr>
            <w:rStyle w:val="Hyperlink"/>
            <w:rFonts w:cs="Arial"/>
            <w:noProof/>
          </w:rPr>
          <w:t>Annex A - Environmental Constraints and Opportunities Plans</w:t>
        </w:r>
        <w:r w:rsidR="00D84FE4">
          <w:rPr>
            <w:noProof/>
            <w:webHidden/>
          </w:rPr>
          <w:tab/>
        </w:r>
        <w:r w:rsidR="00D84FE4">
          <w:rPr>
            <w:noProof/>
            <w:webHidden/>
          </w:rPr>
          <w:fldChar w:fldCharType="begin"/>
        </w:r>
        <w:r w:rsidR="00D84FE4">
          <w:rPr>
            <w:noProof/>
            <w:webHidden/>
          </w:rPr>
          <w:instrText xml:space="preserve"> PAGEREF _Toc160701722 \h </w:instrText>
        </w:r>
        <w:r w:rsidR="00D84FE4">
          <w:rPr>
            <w:noProof/>
            <w:webHidden/>
          </w:rPr>
        </w:r>
        <w:r w:rsidR="00D84FE4">
          <w:rPr>
            <w:noProof/>
            <w:webHidden/>
          </w:rPr>
          <w:fldChar w:fldCharType="separate"/>
        </w:r>
        <w:r w:rsidR="006358B7">
          <w:rPr>
            <w:noProof/>
            <w:webHidden/>
          </w:rPr>
          <w:t>18</w:t>
        </w:r>
        <w:r w:rsidR="00D84FE4">
          <w:rPr>
            <w:noProof/>
            <w:webHidden/>
          </w:rPr>
          <w:fldChar w:fldCharType="end"/>
        </w:r>
      </w:hyperlink>
    </w:p>
    <w:p w14:paraId="3168D412" w14:textId="2DED5EE4" w:rsidR="00D84FE4" w:rsidRDefault="001B6153" w:rsidP="00F314B6">
      <w:pPr>
        <w:pStyle w:val="TOC2"/>
        <w:rPr>
          <w:rFonts w:asciiTheme="minorHAnsi" w:eastAsiaTheme="minorEastAsia" w:hAnsiTheme="minorHAnsi" w:cstheme="minorBidi"/>
          <w:noProof/>
          <w:kern w:val="2"/>
          <w:sz w:val="22"/>
          <w:szCs w:val="22"/>
          <w14:ligatures w14:val="standardContextual"/>
        </w:rPr>
      </w:pPr>
      <w:hyperlink w:anchor="_Toc160701723" w:history="1">
        <w:r w:rsidR="00D84FE4" w:rsidRPr="005E010E">
          <w:rPr>
            <w:rStyle w:val="Hyperlink"/>
            <w:rFonts w:cs="Arial"/>
            <w:noProof/>
          </w:rPr>
          <w:t>Annex B - Consultation Record</w:t>
        </w:r>
        <w:r w:rsidR="00D84FE4">
          <w:rPr>
            <w:noProof/>
            <w:webHidden/>
          </w:rPr>
          <w:tab/>
        </w:r>
        <w:r w:rsidR="00D84FE4">
          <w:rPr>
            <w:noProof/>
            <w:webHidden/>
          </w:rPr>
          <w:fldChar w:fldCharType="begin"/>
        </w:r>
        <w:r w:rsidR="00D84FE4">
          <w:rPr>
            <w:noProof/>
            <w:webHidden/>
          </w:rPr>
          <w:instrText xml:space="preserve"> PAGEREF _Toc160701723 \h </w:instrText>
        </w:r>
        <w:r w:rsidR="00D84FE4">
          <w:rPr>
            <w:noProof/>
            <w:webHidden/>
          </w:rPr>
        </w:r>
        <w:r w:rsidR="00D84FE4">
          <w:rPr>
            <w:noProof/>
            <w:webHidden/>
          </w:rPr>
          <w:fldChar w:fldCharType="separate"/>
        </w:r>
        <w:r w:rsidR="006358B7">
          <w:rPr>
            <w:noProof/>
            <w:webHidden/>
          </w:rPr>
          <w:t>19</w:t>
        </w:r>
        <w:r w:rsidR="00D84FE4">
          <w:rPr>
            <w:noProof/>
            <w:webHidden/>
          </w:rPr>
          <w:fldChar w:fldCharType="end"/>
        </w:r>
      </w:hyperlink>
    </w:p>
    <w:p w14:paraId="290A85D3" w14:textId="1D9C8FC8" w:rsidR="00D72F55" w:rsidRPr="00AA4872" w:rsidRDefault="00D72F55" w:rsidP="00D72F55">
      <w:pPr>
        <w:pStyle w:val="Covertitles"/>
        <w:rPr>
          <w:color w:val="FFFFFF"/>
        </w:rPr>
      </w:pPr>
      <w:r>
        <w:rPr>
          <w:color w:val="FFFFFF"/>
        </w:rPr>
        <w:fldChar w:fldCharType="end"/>
      </w:r>
    </w:p>
    <w:p w14:paraId="2ADAE94A" w14:textId="77777777" w:rsidR="00AA4872" w:rsidRPr="00D72F55" w:rsidRDefault="00AA4872" w:rsidP="00D72F55">
      <w:pPr>
        <w:pStyle w:val="BodyText"/>
      </w:pPr>
      <w:bookmarkStart w:id="0" w:name="_Toc525555484"/>
      <w:bookmarkStart w:id="1" w:name="_Toc111549654"/>
      <w:r w:rsidRPr="00AA4872">
        <w:br w:type="page"/>
      </w:r>
    </w:p>
    <w:p w14:paraId="1101C04A" w14:textId="77777777" w:rsidR="00AA4872" w:rsidRPr="004533E9" w:rsidRDefault="00AA4872" w:rsidP="00AA4872">
      <w:pPr>
        <w:pStyle w:val="Heading1"/>
        <w:rPr>
          <w:rFonts w:cs="Arial"/>
          <w:bCs w:val="0"/>
          <w:i/>
          <w:color w:val="00A0AA" w:themeColor="accent6"/>
          <w:sz w:val="24"/>
          <w:szCs w:val="24"/>
        </w:rPr>
      </w:pPr>
      <w:bookmarkStart w:id="2" w:name="_Toc527977344"/>
      <w:bookmarkStart w:id="3" w:name="_Toc525555485"/>
      <w:bookmarkStart w:id="4" w:name="_Toc111549655"/>
      <w:bookmarkStart w:id="5" w:name="_Toc160701710"/>
      <w:bookmarkEnd w:id="0"/>
      <w:bookmarkEnd w:id="1"/>
      <w:bookmarkEnd w:id="2"/>
      <w:r w:rsidRPr="004533E9">
        <w:rPr>
          <w:rFonts w:cs="Arial"/>
          <w:color w:val="00A0AA" w:themeColor="accent6"/>
        </w:rPr>
        <w:lastRenderedPageBreak/>
        <w:t>Executive summary</w:t>
      </w:r>
      <w:bookmarkEnd w:id="3"/>
      <w:bookmarkEnd w:id="4"/>
      <w:bookmarkEnd w:id="5"/>
    </w:p>
    <w:p w14:paraId="5089D340" w14:textId="06C95074" w:rsidR="00656643" w:rsidRPr="004C70EF" w:rsidRDefault="007408F4" w:rsidP="004C70EF">
      <w:pPr>
        <w:pStyle w:val="BodyText"/>
      </w:pPr>
      <w:r w:rsidRPr="004C70EF">
        <w:rPr>
          <w:rFonts w:cs="Arial"/>
          <w:bCs/>
          <w:iCs/>
          <w:color w:val="auto"/>
        </w:rPr>
        <w:t>The Rhymney Great Wharf Habitat Restoration Polders Enhancement Project seeks to restore and enhance important saltmarsh habitats along the Rhymney Great Wharf by repairing some of the existing polders and extending the polder system to the west. Arup has been commissioned by Natural Resources Wales to produce a Project Environmental Report in support of a Marine Licence Application for the Project.</w:t>
      </w:r>
      <w:r w:rsidR="00373D42" w:rsidRPr="004C70EF">
        <w:rPr>
          <w:rFonts w:cs="Arial"/>
          <w:bCs/>
          <w:iCs/>
          <w:color w:val="auto"/>
        </w:rPr>
        <w:t xml:space="preserve"> This report outlines the environmental baseline, environmental receptors and summarises surveys and reports undertaken to date.</w:t>
      </w:r>
      <w:r w:rsidR="00373D42">
        <w:rPr>
          <w:rFonts w:cs="Arial"/>
          <w:b/>
          <w:iCs/>
          <w:color w:val="auto"/>
        </w:rPr>
        <w:t xml:space="preserve"> </w:t>
      </w:r>
      <w:r w:rsidR="00DA6B94">
        <w:t>T</w:t>
      </w:r>
      <w:r w:rsidR="00373D42">
        <w:t>his report</w:t>
      </w:r>
      <w:r w:rsidR="00DA6B94">
        <w:t xml:space="preserve"> focuses on the key receptors:</w:t>
      </w:r>
      <w:r w:rsidR="00373D42">
        <w:t xml:space="preserve"> Biodiversity, Water Environment, Heritage and Landscape</w:t>
      </w:r>
      <w:r w:rsidR="00AB67A3">
        <w:t xml:space="preserve"> and are informed by desk study, field survey, research, stakeholder engagement and detailed assessment; including Habitats Regulations Assessment (HRA) and Water Environment Regulations (WER) Compliance Assessment. </w:t>
      </w:r>
      <w:r w:rsidR="00373D42">
        <w:t xml:space="preserve">Baseline information is presented, potential risks and mitigation measures are outlined </w:t>
      </w:r>
      <w:r w:rsidR="00DA6B94">
        <w:t xml:space="preserve">and </w:t>
      </w:r>
      <w:r w:rsidR="00AB67A3">
        <w:t xml:space="preserve">potential for </w:t>
      </w:r>
      <w:r w:rsidR="00DA6B94">
        <w:t>c</w:t>
      </w:r>
      <w:r w:rsidR="00373D42">
        <w:t xml:space="preserve">umulative </w:t>
      </w:r>
      <w:r w:rsidR="00AB67A3">
        <w:t>effects</w:t>
      </w:r>
      <w:r w:rsidR="00373D42">
        <w:t xml:space="preserve"> considered.</w:t>
      </w:r>
    </w:p>
    <w:p w14:paraId="6C8DDE6A" w14:textId="742015CE" w:rsidR="00E1647E" w:rsidRDefault="00656643" w:rsidP="004C70EF">
      <w:r>
        <w:rPr>
          <w:rFonts w:ascii="Arial" w:eastAsia="Times New Roman" w:hAnsi="Arial" w:cs="Arial"/>
        </w:rPr>
        <w:t>The HRA Stage 1: Screening identified potential pathways for effect on each site: Severn Estuary SAC, SPA, Ramsar and River Usk SAC and River Wye SAC, primarily via disturbance, pollution incident or trampling activities on passage waders, migratory (catadromous and anadromous) fish and the intertidal mudflat and Atlantic salt meadow features. The HRA Stage 2: Appropriate Assessment determined</w:t>
      </w:r>
      <w:r w:rsidDel="00AF2CAA">
        <w:rPr>
          <w:rFonts w:ascii="Arial" w:eastAsia="Times New Roman" w:hAnsi="Arial" w:cs="Arial"/>
        </w:rPr>
        <w:t xml:space="preserve"> </w:t>
      </w:r>
      <w:r>
        <w:rPr>
          <w:rFonts w:ascii="Arial" w:eastAsia="Times New Roman" w:hAnsi="Arial" w:cs="Arial"/>
        </w:rPr>
        <w:t>that adverse effects on site integrity cannot be ruled out in the absence of mitigation; however, concluded no adverse effects on site integrity alone following the application of reasonable mitigation measures: pollution prevention measures, low ground  pressure vehicles and weekly ECoW checks for breeding birds or high frequency counts of key species.  Further in-combination assessment also concluded no adverse effects on site integrity when considered against other plans and projects.</w:t>
      </w:r>
    </w:p>
    <w:p w14:paraId="5697C54E" w14:textId="0DF16B5D" w:rsidR="00E1647E" w:rsidRDefault="00E1647E" w:rsidP="004C70EF">
      <w:pPr>
        <w:pStyle w:val="NormalWeb"/>
        <w:rPr>
          <w:rFonts w:ascii="Arial" w:hAnsi="Arial" w:cs="Arial"/>
        </w:rPr>
      </w:pPr>
      <w:r>
        <w:rPr>
          <w:rFonts w:ascii="Arial" w:hAnsi="Arial" w:cs="Arial"/>
        </w:rPr>
        <w:t xml:space="preserve">A Preliminary Water Environment Regulations (WER) compliance assessment has been undertaken, which identified potential risks to the following receptors: hydromorphology, lower and higher sensitivity habitats, fish, water quality, protected areas and </w:t>
      </w:r>
      <w:r w:rsidR="00AB67A3">
        <w:rPr>
          <w:rFonts w:ascii="Arial" w:hAnsi="Arial" w:cs="Arial"/>
        </w:rPr>
        <w:t>i</w:t>
      </w:r>
      <w:r>
        <w:rPr>
          <w:rFonts w:ascii="Arial" w:hAnsi="Arial" w:cs="Arial"/>
        </w:rPr>
        <w:t>nvasive non-native species. With appropriate mitigation measures in place, no significant risks to the water environment are anticipated.</w:t>
      </w:r>
      <w:r w:rsidR="001A2FFC">
        <w:rPr>
          <w:rFonts w:ascii="Arial" w:hAnsi="Arial" w:cs="Arial"/>
        </w:rPr>
        <w:t xml:space="preserve"> Mitigation measures include, </w:t>
      </w:r>
      <w:r w:rsidR="001A2FFC" w:rsidRPr="001A2FFC">
        <w:rPr>
          <w:rFonts w:ascii="Arial" w:hAnsi="Arial" w:cs="Arial"/>
        </w:rPr>
        <w:t xml:space="preserve">all site activities controlled and in accordance with standard </w:t>
      </w:r>
      <w:r w:rsidR="001A2FFC">
        <w:rPr>
          <w:rFonts w:ascii="Arial" w:hAnsi="Arial" w:cs="Arial"/>
        </w:rPr>
        <w:t xml:space="preserve">pollution prevention measures and </w:t>
      </w:r>
      <w:r w:rsidR="001A2FFC" w:rsidRPr="001A2FFC">
        <w:rPr>
          <w:rFonts w:ascii="Arial" w:hAnsi="Arial" w:cs="Arial"/>
        </w:rPr>
        <w:t>best practice</w:t>
      </w:r>
      <w:r w:rsidR="001A2FFC">
        <w:rPr>
          <w:rFonts w:ascii="Arial" w:hAnsi="Arial" w:cs="Arial"/>
        </w:rPr>
        <w:t xml:space="preserve">, use of </w:t>
      </w:r>
      <w:r w:rsidR="001A2FFC" w:rsidRPr="001A2FFC">
        <w:rPr>
          <w:rFonts w:ascii="Arial" w:hAnsi="Arial" w:cs="Arial"/>
        </w:rPr>
        <w:t>spill kits which site personnel will be trained to use</w:t>
      </w:r>
      <w:r w:rsidR="001A2FFC">
        <w:rPr>
          <w:rFonts w:ascii="Arial" w:hAnsi="Arial" w:cs="Arial"/>
        </w:rPr>
        <w:t xml:space="preserve">, </w:t>
      </w:r>
      <w:r w:rsidR="001A2FFC" w:rsidRPr="001A2FFC">
        <w:rPr>
          <w:rFonts w:ascii="Arial" w:hAnsi="Arial" w:cs="Arial"/>
        </w:rPr>
        <w:t>biodegradable fuel oils</w:t>
      </w:r>
      <w:r w:rsidR="001A2FFC">
        <w:rPr>
          <w:rFonts w:ascii="Arial" w:hAnsi="Arial" w:cs="Arial"/>
        </w:rPr>
        <w:t>, a</w:t>
      </w:r>
      <w:r w:rsidR="001A2FFC" w:rsidRPr="001A2FFC">
        <w:rPr>
          <w:rFonts w:ascii="Arial" w:hAnsi="Arial" w:cs="Arial"/>
        </w:rPr>
        <w:t>ll storage containers appropriately bunded to prevent any spillages or leaks</w:t>
      </w:r>
      <w:r w:rsidR="001A2FFC">
        <w:rPr>
          <w:rFonts w:ascii="Arial" w:hAnsi="Arial" w:cs="Arial"/>
        </w:rPr>
        <w:t xml:space="preserve"> and n</w:t>
      </w:r>
      <w:r w:rsidR="001A2FFC" w:rsidRPr="001A2FFC">
        <w:rPr>
          <w:rFonts w:ascii="Arial" w:hAnsi="Arial" w:cs="Arial"/>
        </w:rPr>
        <w:t>o storage of materials or refuelling operations will be permitted outside the site compound</w:t>
      </w:r>
      <w:r w:rsidR="001A2FFC">
        <w:rPr>
          <w:rFonts w:ascii="Arial" w:hAnsi="Arial" w:cs="Arial"/>
        </w:rPr>
        <w:t>.</w:t>
      </w:r>
    </w:p>
    <w:p w14:paraId="5C9C4348" w14:textId="0EBC2E8C" w:rsidR="00A421E4" w:rsidRDefault="001B08D4" w:rsidP="00E1647E">
      <w:pPr>
        <w:pStyle w:val="NormalWeb"/>
        <w:spacing w:before="0" w:beforeAutospacing="0" w:after="0" w:afterAutospacing="0"/>
        <w:rPr>
          <w:rFonts w:ascii="Arial" w:hAnsi="Arial" w:cs="Arial"/>
          <w:highlight w:val="yellow"/>
        </w:rPr>
      </w:pPr>
      <w:r>
        <w:rPr>
          <w:rFonts w:ascii="Arial" w:hAnsi="Arial" w:cs="Arial"/>
        </w:rPr>
        <w:t xml:space="preserve">The site is located in an archeologically sensitive area, with previously encountered </w:t>
      </w:r>
      <w:r w:rsidRPr="001B08D4">
        <w:rPr>
          <w:rFonts w:ascii="Arial" w:hAnsi="Arial" w:cs="Arial"/>
        </w:rPr>
        <w:t>archaeological features, artefacts and artefact scatters, as well as palaeochannels</w:t>
      </w:r>
      <w:r>
        <w:rPr>
          <w:rFonts w:ascii="Arial" w:hAnsi="Arial" w:cs="Arial"/>
        </w:rPr>
        <w:t xml:space="preserve">. </w:t>
      </w:r>
      <w:r w:rsidR="00A421E4" w:rsidRPr="00D84FE4">
        <w:rPr>
          <w:rFonts w:ascii="Arial" w:hAnsi="Arial" w:cs="Arial"/>
        </w:rPr>
        <w:t>A supplementary Archaeological Note has been produced to understand the known and potential archaeology which could be impacted and propose mitigation.</w:t>
      </w:r>
      <w:r w:rsidR="00A421E4" w:rsidRPr="00A421E4">
        <w:t xml:space="preserve"> </w:t>
      </w:r>
      <w:r w:rsidR="00A421E4" w:rsidRPr="00A421E4">
        <w:rPr>
          <w:rFonts w:ascii="Arial" w:hAnsi="Arial" w:cs="Arial"/>
        </w:rPr>
        <w:t xml:space="preserve">The construction of the scheme, including the movement of plant and the installation of the polder fencing, has the potential to remove or damage </w:t>
      </w:r>
      <w:r w:rsidR="00BA4C64">
        <w:rPr>
          <w:rFonts w:ascii="Arial" w:hAnsi="Arial" w:cs="Arial"/>
        </w:rPr>
        <w:t xml:space="preserve">any </w:t>
      </w:r>
      <w:r w:rsidR="00A421E4" w:rsidRPr="00A421E4">
        <w:rPr>
          <w:rFonts w:ascii="Arial" w:hAnsi="Arial" w:cs="Arial"/>
        </w:rPr>
        <w:t>archaeological remains within the footprint of the area disturbed.</w:t>
      </w:r>
      <w:r w:rsidR="00A421E4" w:rsidRPr="00A421E4">
        <w:t xml:space="preserve"> </w:t>
      </w:r>
      <w:r w:rsidR="00A421E4" w:rsidRPr="00A421E4">
        <w:rPr>
          <w:rFonts w:ascii="Arial" w:hAnsi="Arial" w:cs="Arial"/>
        </w:rPr>
        <w:t>It is unlikely</w:t>
      </w:r>
      <w:r w:rsidR="00A421E4">
        <w:rPr>
          <w:rFonts w:ascii="Arial" w:hAnsi="Arial" w:cs="Arial"/>
        </w:rPr>
        <w:t xml:space="preserve"> </w:t>
      </w:r>
      <w:r w:rsidR="00A421E4" w:rsidRPr="00A421E4">
        <w:rPr>
          <w:rFonts w:ascii="Arial" w:hAnsi="Arial" w:cs="Arial"/>
        </w:rPr>
        <w:t>that there will be any indirect adverse impacts resulting from changes to preservation conditions</w:t>
      </w:r>
      <w:r w:rsidR="00A421E4">
        <w:rPr>
          <w:rFonts w:ascii="Arial" w:hAnsi="Arial" w:cs="Arial"/>
        </w:rPr>
        <w:t xml:space="preserve">. </w:t>
      </w:r>
      <w:r w:rsidR="00A421E4" w:rsidRPr="00A421E4">
        <w:rPr>
          <w:rFonts w:ascii="Arial" w:hAnsi="Arial" w:cs="Arial"/>
        </w:rPr>
        <w:t>It is unlikely that there would be any permanent impacts to heritage assets beyond the immediate area of the works and the access</w:t>
      </w:r>
      <w:r w:rsidR="00A421E4">
        <w:rPr>
          <w:rFonts w:ascii="Arial" w:hAnsi="Arial" w:cs="Arial"/>
        </w:rPr>
        <w:t>. Proposed mitigation includes a walkover survey, provision of exclusion areas if features are identified and a protocol for reporting archaeological discoveries to</w:t>
      </w:r>
      <w:r w:rsidRPr="001B08D4">
        <w:t xml:space="preserve"> </w:t>
      </w:r>
      <w:r w:rsidRPr="001B08D4">
        <w:rPr>
          <w:rFonts w:ascii="Arial" w:hAnsi="Arial" w:cs="Arial"/>
        </w:rPr>
        <w:t>The Glamorgan-Gwent Archaeological Trust</w:t>
      </w:r>
      <w:r w:rsidR="00A421E4">
        <w:rPr>
          <w:rFonts w:ascii="Arial" w:hAnsi="Arial" w:cs="Arial"/>
        </w:rPr>
        <w:t xml:space="preserve"> </w:t>
      </w:r>
      <w:r>
        <w:rPr>
          <w:rFonts w:ascii="Arial" w:hAnsi="Arial" w:cs="Arial"/>
        </w:rPr>
        <w:t>(</w:t>
      </w:r>
      <w:r w:rsidR="00A421E4">
        <w:rPr>
          <w:rFonts w:ascii="Arial" w:hAnsi="Arial" w:cs="Arial"/>
        </w:rPr>
        <w:t>GGAT</w:t>
      </w:r>
      <w:r>
        <w:rPr>
          <w:rFonts w:ascii="Arial" w:hAnsi="Arial" w:cs="Arial"/>
        </w:rPr>
        <w:t>)</w:t>
      </w:r>
      <w:r w:rsidR="00A421E4">
        <w:rPr>
          <w:rFonts w:ascii="Arial" w:hAnsi="Arial" w:cs="Arial"/>
        </w:rPr>
        <w:t xml:space="preserve"> and </w:t>
      </w:r>
      <w:r w:rsidRPr="001B08D4">
        <w:rPr>
          <w:rFonts w:ascii="Arial" w:hAnsi="Arial" w:cs="Arial"/>
        </w:rPr>
        <w:t xml:space="preserve">Royal Commission on the Ancient and Historical Monuments of Wales </w:t>
      </w:r>
      <w:r>
        <w:rPr>
          <w:rFonts w:ascii="Arial" w:hAnsi="Arial" w:cs="Arial"/>
        </w:rPr>
        <w:t>(</w:t>
      </w:r>
      <w:r w:rsidR="00A421E4">
        <w:rPr>
          <w:rFonts w:ascii="Arial" w:hAnsi="Arial" w:cs="Arial"/>
        </w:rPr>
        <w:t>RCAHMW</w:t>
      </w:r>
      <w:r>
        <w:rPr>
          <w:rFonts w:ascii="Arial" w:hAnsi="Arial" w:cs="Arial"/>
        </w:rPr>
        <w:t>)</w:t>
      </w:r>
      <w:r w:rsidR="00A421E4">
        <w:rPr>
          <w:rFonts w:ascii="Arial" w:hAnsi="Arial" w:cs="Arial"/>
        </w:rPr>
        <w:t>.</w:t>
      </w:r>
    </w:p>
    <w:p w14:paraId="5DFA4D4A" w14:textId="77777777" w:rsidR="00A421E4" w:rsidRDefault="00A421E4" w:rsidP="00E1647E">
      <w:pPr>
        <w:pStyle w:val="NormalWeb"/>
        <w:spacing w:before="0" w:beforeAutospacing="0" w:after="0" w:afterAutospacing="0"/>
        <w:rPr>
          <w:rFonts w:ascii="Arial" w:hAnsi="Arial" w:cs="Arial"/>
          <w:highlight w:val="yellow"/>
        </w:rPr>
      </w:pPr>
    </w:p>
    <w:p w14:paraId="04413311" w14:textId="18E49388" w:rsidR="00373D42" w:rsidRPr="004C70EF" w:rsidRDefault="00A421E4" w:rsidP="00D84FE4">
      <w:pPr>
        <w:pStyle w:val="NormalWeb"/>
        <w:spacing w:before="0" w:beforeAutospacing="0" w:after="0" w:afterAutospacing="0"/>
      </w:pPr>
      <w:r>
        <w:rPr>
          <w:rFonts w:ascii="Arial" w:hAnsi="Arial" w:cs="Arial"/>
        </w:rPr>
        <w:t>The</w:t>
      </w:r>
      <w:r w:rsidR="00E1647E">
        <w:rPr>
          <w:rFonts w:ascii="Arial" w:hAnsi="Arial" w:cs="Arial"/>
        </w:rPr>
        <w:t xml:space="preserve"> project will provide a multitude of </w:t>
      </w:r>
      <w:r w:rsidR="00AB67A3">
        <w:rPr>
          <w:rFonts w:ascii="Arial" w:hAnsi="Arial" w:cs="Arial"/>
        </w:rPr>
        <w:t xml:space="preserve">positive </w:t>
      </w:r>
      <w:r w:rsidR="00E1647E">
        <w:rPr>
          <w:rFonts w:ascii="Arial" w:hAnsi="Arial" w:cs="Arial"/>
        </w:rPr>
        <w:t xml:space="preserve">outcomes and benefits including biodiversity enhancement, flood </w:t>
      </w:r>
      <w:r w:rsidR="003E7002">
        <w:rPr>
          <w:rFonts w:ascii="Arial" w:hAnsi="Arial" w:cs="Arial"/>
        </w:rPr>
        <w:t>risk management</w:t>
      </w:r>
      <w:r w:rsidR="00E1647E">
        <w:rPr>
          <w:rFonts w:ascii="Arial" w:hAnsi="Arial" w:cs="Arial"/>
        </w:rPr>
        <w:t xml:space="preserve"> and carbon sequestration. </w:t>
      </w:r>
    </w:p>
    <w:p w14:paraId="0F00D747" w14:textId="5FF7C068" w:rsidR="00AC74CB" w:rsidRPr="004533E9" w:rsidRDefault="006A207C" w:rsidP="006A207C">
      <w:pPr>
        <w:pStyle w:val="Heading1"/>
        <w:rPr>
          <w:rFonts w:cs="Arial"/>
          <w:color w:val="00A0AA" w:themeColor="accent6"/>
        </w:rPr>
      </w:pPr>
      <w:bookmarkStart w:id="6" w:name="_Toc125619212"/>
      <w:bookmarkStart w:id="7" w:name="_Toc160701711"/>
      <w:r w:rsidRPr="004533E9">
        <w:rPr>
          <w:rFonts w:cs="Arial"/>
          <w:color w:val="00A0AA" w:themeColor="accent6"/>
        </w:rPr>
        <w:t xml:space="preserve">1. </w:t>
      </w:r>
      <w:r w:rsidR="00AC74CB" w:rsidRPr="004533E9">
        <w:rPr>
          <w:rFonts w:cs="Arial"/>
          <w:color w:val="00A0AA" w:themeColor="accent6"/>
        </w:rPr>
        <w:t>Introduction</w:t>
      </w:r>
      <w:bookmarkEnd w:id="6"/>
      <w:bookmarkEnd w:id="7"/>
    </w:p>
    <w:p w14:paraId="1056A1D2" w14:textId="64436FE8" w:rsidR="00385F0B" w:rsidRPr="00385F0B" w:rsidRDefault="00B53565" w:rsidP="00385F0B">
      <w:pPr>
        <w:pStyle w:val="Heading2"/>
        <w:rPr>
          <w:rFonts w:cs="Arial"/>
          <w:color w:val="00A0AA" w:themeColor="accent6"/>
        </w:rPr>
      </w:pPr>
      <w:bookmarkStart w:id="8" w:name="_Toc160701712"/>
      <w:r w:rsidRPr="004533E9">
        <w:rPr>
          <w:rFonts w:cs="Arial"/>
          <w:color w:val="00A0AA" w:themeColor="accent6"/>
        </w:rPr>
        <w:t xml:space="preserve">1.1 </w:t>
      </w:r>
      <w:r w:rsidR="00AC74CB" w:rsidRPr="004533E9">
        <w:rPr>
          <w:rFonts w:cs="Arial"/>
          <w:color w:val="00A0AA" w:themeColor="accent6"/>
        </w:rPr>
        <w:t>Background</w:t>
      </w:r>
      <w:bookmarkEnd w:id="8"/>
    </w:p>
    <w:p w14:paraId="6F7F2420" w14:textId="33DD9936" w:rsidR="00385F0B" w:rsidRDefault="00385F0B" w:rsidP="00385F0B">
      <w:pPr>
        <w:pStyle w:val="BodyText"/>
      </w:pPr>
      <w:r w:rsidRPr="00385F0B">
        <w:t xml:space="preserve">This report comprises a Project Environmental Report prepared by Ove Arup and Partners Ltd. (Arup) on behalf of Natural Resources Wales (NRW) to support the </w:t>
      </w:r>
      <w:r w:rsidR="007408F4" w:rsidRPr="007408F4">
        <w:t>Rhymney Great Wharf Habitat Restoration Polders Enhancement Projec</w:t>
      </w:r>
      <w:r w:rsidRPr="00385F0B">
        <w:t>t (herein referred to as ‘the Project’).</w:t>
      </w:r>
    </w:p>
    <w:p w14:paraId="5CF2C7F1" w14:textId="75996C4F" w:rsidR="00AC4943" w:rsidRPr="00385F0B" w:rsidRDefault="00DA6B94" w:rsidP="00385F0B">
      <w:pPr>
        <w:pStyle w:val="BodyText"/>
      </w:pPr>
      <w:r w:rsidRPr="00DA6B94">
        <w:t>This report focuses on the key receptors: Biodiversity, Water Environment, Heritage and Landscape</w:t>
      </w:r>
      <w:r w:rsidR="00AC4943">
        <w:t xml:space="preserve">. Baseline information is </w:t>
      </w:r>
      <w:r w:rsidR="00CE038B">
        <w:t>presented,</w:t>
      </w:r>
      <w:r w:rsidR="00AC4943">
        <w:t xml:space="preserve"> and potential risk</w:t>
      </w:r>
      <w:r w:rsidR="00CE038B">
        <w:t>s</w:t>
      </w:r>
      <w:r w:rsidR="00AC4943">
        <w:t xml:space="preserve"> and mitigation outlined. </w:t>
      </w:r>
    </w:p>
    <w:p w14:paraId="30C5DEE9" w14:textId="22C3EF21" w:rsidR="00AC74CB" w:rsidRDefault="00B53565" w:rsidP="00B53565">
      <w:pPr>
        <w:pStyle w:val="Heading2"/>
        <w:rPr>
          <w:rFonts w:cs="Arial"/>
          <w:color w:val="00A0AA" w:themeColor="accent6"/>
        </w:rPr>
      </w:pPr>
      <w:bookmarkStart w:id="9" w:name="_Toc160701713"/>
      <w:r w:rsidRPr="004533E9">
        <w:rPr>
          <w:rFonts w:cs="Arial"/>
          <w:color w:val="00A0AA" w:themeColor="accent6"/>
        </w:rPr>
        <w:t xml:space="preserve">1.2 </w:t>
      </w:r>
      <w:r w:rsidR="00AC74CB" w:rsidRPr="004533E9">
        <w:rPr>
          <w:rFonts w:cs="Arial"/>
          <w:color w:val="00A0AA" w:themeColor="accent6"/>
        </w:rPr>
        <w:t xml:space="preserve">Project </w:t>
      </w:r>
      <w:r w:rsidR="00D72F55">
        <w:rPr>
          <w:rFonts w:cs="Arial"/>
          <w:color w:val="00A0AA" w:themeColor="accent6"/>
        </w:rPr>
        <w:t>d</w:t>
      </w:r>
      <w:r w:rsidR="00AC74CB" w:rsidRPr="004533E9">
        <w:rPr>
          <w:rFonts w:cs="Arial"/>
          <w:color w:val="00A0AA" w:themeColor="accent6"/>
        </w:rPr>
        <w:t>escription</w:t>
      </w:r>
      <w:bookmarkEnd w:id="9"/>
      <w:r w:rsidR="00AC74CB" w:rsidRPr="004533E9">
        <w:rPr>
          <w:rFonts w:cs="Arial"/>
          <w:color w:val="00A0AA" w:themeColor="accent6"/>
        </w:rPr>
        <w:t xml:space="preserve"> </w:t>
      </w:r>
    </w:p>
    <w:p w14:paraId="7F90A4F8" w14:textId="19DD16E0" w:rsidR="00385F0B" w:rsidRPr="00385F0B" w:rsidRDefault="00385F0B" w:rsidP="00385F0B">
      <w:pPr>
        <w:pStyle w:val="BodyText"/>
      </w:pPr>
      <w:r w:rsidRPr="00385F0B">
        <w:t>Rhymney Great Wharf is located approximately 5km to the north-east of Cardiff City Centre on the Severn Estuary foreshore, seaward of the Wentlooge Sea Defences (approximate grid reference ST 23126 77613 to ST 24992 78619)</w:t>
      </w:r>
      <w:r w:rsidR="00657AF3">
        <w:t xml:space="preserve">. </w:t>
      </w:r>
      <w:r w:rsidR="00BA7E4F" w:rsidRPr="00385F0B">
        <w:t>Refer to Environmental Constraints and Opportunities Plans (</w:t>
      </w:r>
      <w:r w:rsidR="005B124D" w:rsidRPr="00AC4943">
        <w:t>A</w:t>
      </w:r>
      <w:r w:rsidR="005B124D">
        <w:t>nne</w:t>
      </w:r>
      <w:r w:rsidR="005B124D" w:rsidRPr="00AC4943">
        <w:t xml:space="preserve">x </w:t>
      </w:r>
      <w:r w:rsidR="00BA7E4F">
        <w:t>A</w:t>
      </w:r>
      <w:r w:rsidR="00BA7E4F" w:rsidRPr="00AC4943">
        <w:t>)</w:t>
      </w:r>
      <w:r w:rsidR="00BA7E4F">
        <w:t xml:space="preserve">. </w:t>
      </w:r>
      <w:r w:rsidRPr="00385F0B">
        <w:t xml:space="preserve">The land use of the site is coastal estuarine, with a mix of grassland, built-up areas, and arable and horticultural land to the north. </w:t>
      </w:r>
      <w:r w:rsidR="00181A61">
        <w:t>The saltmarsh is also used for livestock grazing. A public right of way which forms part of the Wales Coastal Path runs along the site, along the flood embankment.</w:t>
      </w:r>
    </w:p>
    <w:p w14:paraId="6B15B275" w14:textId="692D3433" w:rsidR="00385F0B" w:rsidRPr="00385F0B" w:rsidRDefault="00385F0B" w:rsidP="00385F0B">
      <w:pPr>
        <w:pStyle w:val="BodyText"/>
      </w:pPr>
      <w:r w:rsidRPr="00385F0B">
        <w:t xml:space="preserve">The upper vegetated saltmarsh on site is referred to as the ‘wharf’ and the lower unvegetated foreshore as the ‘mudflats’. The Wentlooge Sea Defences protect an area of low-lying land, of which approximately 32km lies below Mean High Water Springs (MHWS). The wharf contributes to the flood defence by reducing the incident wave energy on the embankment. </w:t>
      </w:r>
      <w:r w:rsidR="00672CBA">
        <w:t>The site, similar to the wider Severn Estuary, is under erosive pressure caused by sea level rise and the constraints of existing hard defences around the estuary. This means that currently salt marsh is being eroded (loss of extent) and mudflats are lowering.</w:t>
      </w:r>
    </w:p>
    <w:p w14:paraId="3A6C0FCA" w14:textId="6DC531A6" w:rsidR="00385F0B" w:rsidRPr="00385F0B" w:rsidRDefault="00385F0B" w:rsidP="00385F0B">
      <w:pPr>
        <w:pStyle w:val="BodyText"/>
      </w:pPr>
      <w:bookmarkStart w:id="10" w:name="_Hlk151045838"/>
      <w:r w:rsidRPr="00385F0B">
        <w:t>This Project seeks to restore and enhance priority saltmarsh habitats along the Rhymney Great Wharf by installing polders and extending the polder system to the west</w:t>
      </w:r>
      <w:r w:rsidR="00BA7E4F">
        <w:t xml:space="preserve"> as well as repairing existing polders</w:t>
      </w:r>
      <w:r w:rsidRPr="00385F0B">
        <w:t xml:space="preserve">. Polders are fences constructed of brushwood materials (e.g. willow branches) inserted between chestnut fence posts in a rectangular pattern across the mudflat at an appropriate height to facilitate accretion of sediment (c.3m below Mean High Water Springs – MHWS). Tidal currents are slowed by the fences, and wave movements reduced, so that sediment can more easily settle out of the water column and encourage accretion that supports saltmarsh regeneration. This will provide a multitude of outcomes and benefits, including for biodiversity, flood </w:t>
      </w:r>
      <w:r w:rsidR="003E7002">
        <w:t xml:space="preserve">risk </w:t>
      </w:r>
      <w:r w:rsidR="006358B7">
        <w:t>management</w:t>
      </w:r>
      <w:r w:rsidRPr="00385F0B">
        <w:t xml:space="preserve"> and carbon sequestration.</w:t>
      </w:r>
    </w:p>
    <w:bookmarkEnd w:id="10"/>
    <w:p w14:paraId="5EA697C4" w14:textId="6DEBD73C" w:rsidR="00385F0B" w:rsidRDefault="00385F0B" w:rsidP="00385F0B">
      <w:pPr>
        <w:pStyle w:val="BodyText"/>
      </w:pPr>
      <w:r w:rsidRPr="00385F0B">
        <w:t>Currently there are five existing polders along Rhymney Great Wharf (Polders 1-4 constructed in 2005 and Polder 5 constructed in 1988), which have received little or no maintenance since construction</w:t>
      </w:r>
      <w:r w:rsidR="00181A61">
        <w:t>, therefore are not fully functioning</w:t>
      </w:r>
      <w:r w:rsidRPr="00385F0B">
        <w:t>.</w:t>
      </w:r>
    </w:p>
    <w:p w14:paraId="450C47C9" w14:textId="77777777" w:rsidR="00BA7E4F" w:rsidRDefault="00BA7E4F" w:rsidP="00BA7E4F">
      <w:pPr>
        <w:pStyle w:val="BodyText"/>
      </w:pPr>
      <w:r>
        <w:lastRenderedPageBreak/>
        <w:t>The required project outcomes as identified in the Business Justification Case are:</w:t>
      </w:r>
    </w:p>
    <w:p w14:paraId="032AC7C2" w14:textId="2AF488BD" w:rsidR="00BA7E4F" w:rsidRDefault="00BA7E4F" w:rsidP="00CE038B">
      <w:pPr>
        <w:pStyle w:val="Bullets"/>
      </w:pPr>
      <w:r>
        <w:t xml:space="preserve">Protect the frontage of Rhymney Great Wharf from existing erosive pressures upon mudflat and saltmarsh habitats. </w:t>
      </w:r>
    </w:p>
    <w:p w14:paraId="1B3E19DF" w14:textId="49F1E7C9" w:rsidR="00BA7E4F" w:rsidRDefault="00BA7E4F" w:rsidP="00CE038B">
      <w:pPr>
        <w:pStyle w:val="Bullets"/>
      </w:pPr>
      <w:r>
        <w:t xml:space="preserve">Promote sediment deposition in the first instance, to reduce or ideally reverse the erosive trends currently being experienced. </w:t>
      </w:r>
    </w:p>
    <w:p w14:paraId="387342ED" w14:textId="17F56419" w:rsidR="00BA7E4F" w:rsidRDefault="00BA7E4F" w:rsidP="00CE038B">
      <w:pPr>
        <w:pStyle w:val="Bullets"/>
      </w:pPr>
      <w:r>
        <w:t xml:space="preserve">Create conditions that will support both mudflat and saltmarsh features to varying extents over time. </w:t>
      </w:r>
    </w:p>
    <w:p w14:paraId="38DB5072" w14:textId="5CED7A86" w:rsidR="00BA7E4F" w:rsidRDefault="00BA7E4F" w:rsidP="00CE038B">
      <w:pPr>
        <w:pStyle w:val="Bullets"/>
      </w:pPr>
      <w:r>
        <w:t>Have a refined sedimentation polder design.</w:t>
      </w:r>
    </w:p>
    <w:p w14:paraId="7475F685" w14:textId="766BC105" w:rsidR="00BA7E4F" w:rsidRDefault="00BA7E4F" w:rsidP="00CE038B">
      <w:pPr>
        <w:pStyle w:val="Bullets"/>
      </w:pPr>
      <w:r>
        <w:t>Support the flood risk management of the area.</w:t>
      </w:r>
    </w:p>
    <w:p w14:paraId="13B153E0" w14:textId="77777777" w:rsidR="000E64E3" w:rsidRDefault="000E64E3" w:rsidP="000E64E3">
      <w:pPr>
        <w:pStyle w:val="Bullets"/>
        <w:numPr>
          <w:ilvl w:val="0"/>
          <w:numId w:val="0"/>
        </w:numPr>
      </w:pPr>
    </w:p>
    <w:p w14:paraId="0A21EA29" w14:textId="41F044DF" w:rsidR="000E64E3" w:rsidRPr="000E64E3" w:rsidRDefault="000E64E3" w:rsidP="000E64E3">
      <w:pPr>
        <w:pStyle w:val="Bullets"/>
        <w:numPr>
          <w:ilvl w:val="0"/>
          <w:numId w:val="0"/>
        </w:numPr>
      </w:pPr>
      <w:r w:rsidRPr="000E64E3">
        <w:rPr>
          <w:rFonts w:cs="Arial"/>
          <w:color w:val="auto"/>
          <w:lang w:eastAsia="en-US"/>
        </w:rPr>
        <w:t>The delivery of this project will contribute to The Nature Recovery Action Plan for Wales, The National Strategy for Flood and Coastal Erosion Management in Wales, and delivery of the Welsh National Marine Plan policy to “Maintain and enhance the resilience of marine ecosystems and the benefits they provide in order to meet the needs of present and future generations</w:t>
      </w:r>
      <w:r>
        <w:rPr>
          <w:rFonts w:cs="Arial"/>
          <w:color w:val="auto"/>
          <w:lang w:eastAsia="en-US"/>
        </w:rPr>
        <w:t>.</w:t>
      </w:r>
    </w:p>
    <w:p w14:paraId="296C9B26" w14:textId="77777777" w:rsidR="000E64E3" w:rsidRPr="00385F0B" w:rsidRDefault="000E64E3" w:rsidP="000E64E3">
      <w:pPr>
        <w:pStyle w:val="Bullets"/>
        <w:numPr>
          <w:ilvl w:val="0"/>
          <w:numId w:val="0"/>
        </w:numPr>
        <w:ind w:left="720" w:hanging="360"/>
      </w:pPr>
    </w:p>
    <w:p w14:paraId="38191CCF" w14:textId="081844D9" w:rsidR="00385F0B" w:rsidRPr="00385F0B" w:rsidRDefault="00385F0B" w:rsidP="00385F0B">
      <w:pPr>
        <w:pStyle w:val="BodyText"/>
      </w:pPr>
      <w:r w:rsidRPr="00385F0B">
        <w:t>Construction is anticipated to take place over the summer of 2024</w:t>
      </w:r>
      <w:r w:rsidR="00AC4943">
        <w:t xml:space="preserve"> (exact dates to be confirmed)</w:t>
      </w:r>
      <w:r w:rsidRPr="00385F0B">
        <w:t xml:space="preserve">. Anticipated construction methods are outlined below, for more detail refer to </w:t>
      </w:r>
      <w:r w:rsidR="00481EA9">
        <w:t xml:space="preserve">the Outline </w:t>
      </w:r>
      <w:r w:rsidRPr="00385F0B">
        <w:t>Construction Phase Method Statemen</w:t>
      </w:r>
      <w:r w:rsidR="00AC4943">
        <w:t>t</w:t>
      </w:r>
      <w:r w:rsidRPr="00385F0B">
        <w:t>:</w:t>
      </w:r>
    </w:p>
    <w:p w14:paraId="36730C8A" w14:textId="77777777" w:rsidR="00385F0B" w:rsidRPr="00385F0B" w:rsidRDefault="00385F0B" w:rsidP="00CE038B">
      <w:pPr>
        <w:pStyle w:val="Bullets"/>
      </w:pPr>
      <w:r w:rsidRPr="00385F0B">
        <w:t>Work will be planned around the tide times and predicted tidal heights.</w:t>
      </w:r>
    </w:p>
    <w:p w14:paraId="76B4CDB7" w14:textId="77777777" w:rsidR="00385F0B" w:rsidRPr="00385F0B" w:rsidRDefault="00385F0B" w:rsidP="00CE038B">
      <w:pPr>
        <w:pStyle w:val="Bullets"/>
      </w:pPr>
      <w:r w:rsidRPr="00385F0B">
        <w:t>As the work is expected to be delivered over a period of approximately six weeks flexible working times will be adopted.</w:t>
      </w:r>
    </w:p>
    <w:p w14:paraId="1144DF8B" w14:textId="77777777" w:rsidR="00385F0B" w:rsidRPr="00385F0B" w:rsidRDefault="00385F0B" w:rsidP="00CE038B">
      <w:pPr>
        <w:pStyle w:val="Bullets"/>
      </w:pPr>
      <w:r w:rsidRPr="00385F0B">
        <w:t>Machine work can commence directly behind a falling tide but must be completed 1 hour in advance of a rising tide.</w:t>
      </w:r>
    </w:p>
    <w:p w14:paraId="1A4086EE" w14:textId="77777777" w:rsidR="00385F0B" w:rsidRPr="00385F0B" w:rsidRDefault="00385F0B" w:rsidP="00CE038B">
      <w:pPr>
        <w:pStyle w:val="Bullets"/>
      </w:pPr>
      <w:r w:rsidRPr="00385F0B">
        <w:t>The site manager will monitor tides and weather and decide when and where to work. They have the authority to stand down should weather conditions raise any safety concerns.</w:t>
      </w:r>
    </w:p>
    <w:p w14:paraId="38850B1D" w14:textId="77777777" w:rsidR="00385F0B" w:rsidRPr="00385F0B" w:rsidRDefault="00385F0B" w:rsidP="00CE038B">
      <w:pPr>
        <w:pStyle w:val="Bullets"/>
      </w:pPr>
      <w:r w:rsidRPr="00385F0B">
        <w:t>No lone working at any time on the mud flats.</w:t>
      </w:r>
    </w:p>
    <w:p w14:paraId="63082948" w14:textId="77777777" w:rsidR="00385F0B" w:rsidRPr="00385F0B" w:rsidRDefault="00385F0B" w:rsidP="00CE038B">
      <w:pPr>
        <w:pStyle w:val="Bullets"/>
      </w:pPr>
      <w:r w:rsidRPr="00385F0B">
        <w:t>The line of the polders will be marked out with ranging rods installed by hand held post knocker. A line can be strung between the ranging rods to give a line the posts can be driven to.</w:t>
      </w:r>
    </w:p>
    <w:p w14:paraId="4B248F84" w14:textId="4C709CDF" w:rsidR="00385F0B" w:rsidRPr="00385F0B" w:rsidRDefault="00385F0B" w:rsidP="00CE038B">
      <w:pPr>
        <w:pStyle w:val="Bullets"/>
      </w:pPr>
      <w:r w:rsidRPr="00385F0B">
        <w:t>The string can also be set up to give an average depth of 1000mm above ground level to give a smoot</w:t>
      </w:r>
      <w:r w:rsidR="00657AF3">
        <w:t>h</w:t>
      </w:r>
      <w:r w:rsidRPr="00385F0B">
        <w:t xml:space="preserve"> top line in areas of undulation.</w:t>
      </w:r>
    </w:p>
    <w:p w14:paraId="54A2850E" w14:textId="77777777" w:rsidR="00385F0B" w:rsidRPr="00385F0B" w:rsidRDefault="00385F0B" w:rsidP="00CE038B">
      <w:pPr>
        <w:pStyle w:val="Bullets"/>
      </w:pPr>
      <w:r w:rsidRPr="00385F0B">
        <w:t xml:space="preserve">The stakes and brushwood bundles will be transported to the work area using the tracked dumper. </w:t>
      </w:r>
    </w:p>
    <w:p w14:paraId="79D75C93" w14:textId="77777777" w:rsidR="00385F0B" w:rsidRPr="00385F0B" w:rsidRDefault="00385F0B" w:rsidP="00CE038B">
      <w:pPr>
        <w:pStyle w:val="Bullets"/>
      </w:pPr>
      <w:r w:rsidRPr="00385F0B">
        <w:t>Each full round chestnut stake 2.5m long peeled and pointed will be pitched and driven to level using the hydraulic post knocker attachment on the excavator.</w:t>
      </w:r>
    </w:p>
    <w:p w14:paraId="56076238" w14:textId="2EAA7708" w:rsidR="00385F0B" w:rsidRPr="00385F0B" w:rsidRDefault="00385F0B" w:rsidP="00CE038B">
      <w:pPr>
        <w:pStyle w:val="Bullets"/>
      </w:pPr>
      <w:r w:rsidRPr="00385F0B">
        <w:t xml:space="preserve">A double row of posts driven in pairs </w:t>
      </w:r>
      <w:r w:rsidR="00FC597F">
        <w:t xml:space="preserve">offset </w:t>
      </w:r>
      <w:r w:rsidRPr="00385F0B">
        <w:t>300mm apart and at 600mm centres.</w:t>
      </w:r>
    </w:p>
    <w:p w14:paraId="744FF10E" w14:textId="2615F2E7" w:rsidR="00385F0B" w:rsidRPr="00385F0B" w:rsidRDefault="00385F0B" w:rsidP="00CE038B">
      <w:pPr>
        <w:pStyle w:val="Bullets"/>
      </w:pPr>
      <w:r w:rsidRPr="00385F0B">
        <w:t xml:space="preserve">The 2.5 m stake </w:t>
      </w:r>
      <w:r w:rsidR="003F31D7">
        <w:t>will be no more than 10cm higher than the</w:t>
      </w:r>
      <w:r w:rsidRPr="00385F0B">
        <w:t xml:space="preserve"> brushwood.</w:t>
      </w:r>
    </w:p>
    <w:p w14:paraId="39DFA9D0" w14:textId="77777777" w:rsidR="00385F0B" w:rsidRPr="00385F0B" w:rsidRDefault="00385F0B" w:rsidP="00CE038B">
      <w:pPr>
        <w:pStyle w:val="Bullets"/>
      </w:pPr>
      <w:r w:rsidRPr="00385F0B">
        <w:t>Each 3000mm x 300mm brushwood bundle will be placed between the stakes and each layer trodden down with the bottom layer being pushed into the soft mud.</w:t>
      </w:r>
    </w:p>
    <w:p w14:paraId="548250A0" w14:textId="77777777" w:rsidR="00385F0B" w:rsidRPr="00385F0B" w:rsidRDefault="00385F0B" w:rsidP="00CE038B">
      <w:pPr>
        <w:pStyle w:val="Bullets"/>
      </w:pPr>
      <w:r w:rsidRPr="00385F0B">
        <w:t>Each layer will be trodden in to form a compact wall of brushwood with no gaps or large voids.</w:t>
      </w:r>
    </w:p>
    <w:p w14:paraId="265BEF94" w14:textId="77777777" w:rsidR="00385F0B" w:rsidRDefault="00385F0B" w:rsidP="00CE038B">
      <w:pPr>
        <w:pStyle w:val="Bullets"/>
      </w:pPr>
      <w:r w:rsidRPr="00385F0B">
        <w:t>The brushwood is then wired over using a plain fencing wire secured to the stakes with u nails.</w:t>
      </w:r>
    </w:p>
    <w:p w14:paraId="5D305F8F" w14:textId="1551340D" w:rsidR="00BA7E4F" w:rsidRPr="00385F0B" w:rsidRDefault="00BA7E4F" w:rsidP="00BA7E4F">
      <w:pPr>
        <w:pStyle w:val="BodyText"/>
      </w:pPr>
      <w:r>
        <w:t xml:space="preserve">The access to the site will be agreed with the client and will be suitable for low loader and articulated lorry deliveries. A safe fenced compound will be required for the storage of </w:t>
      </w:r>
      <w:r>
        <w:lastRenderedPageBreak/>
        <w:t xml:space="preserve">materials and the siting of welfare, fuel bowser etc. </w:t>
      </w:r>
      <w:r w:rsidR="00087C57" w:rsidRPr="00087C57">
        <w:t>The location of this compound is to be confirmed, away from the intertidal area.</w:t>
      </w:r>
      <w:r w:rsidR="00087C57">
        <w:t xml:space="preserve"> </w:t>
      </w:r>
      <w:r>
        <w:t>The bowser will be bunded, maximum of 2000ltrs and locked when not in use. Spill kits and drip trays will be used with the bowser. Bowser to be sited at least 20m away from any watercourse or receptors such as drains or natural slopes leading to a watercourse.</w:t>
      </w:r>
    </w:p>
    <w:p w14:paraId="068B1E38" w14:textId="55BF02D6" w:rsidR="00AC74CB" w:rsidRDefault="00B53565" w:rsidP="00B53565">
      <w:pPr>
        <w:pStyle w:val="Heading2"/>
        <w:rPr>
          <w:rFonts w:cs="Arial"/>
          <w:color w:val="00A0AA" w:themeColor="accent6"/>
        </w:rPr>
      </w:pPr>
      <w:bookmarkStart w:id="11" w:name="_Toc160701714"/>
      <w:r w:rsidRPr="004533E9">
        <w:rPr>
          <w:rFonts w:cs="Arial"/>
          <w:color w:val="00A0AA" w:themeColor="accent6"/>
        </w:rPr>
        <w:t xml:space="preserve">1.3 </w:t>
      </w:r>
      <w:r w:rsidR="00AC74CB" w:rsidRPr="004533E9">
        <w:rPr>
          <w:rFonts w:cs="Arial"/>
          <w:color w:val="00A0AA" w:themeColor="accent6"/>
        </w:rPr>
        <w:t xml:space="preserve">Consenting </w:t>
      </w:r>
      <w:r w:rsidR="00D72F55">
        <w:rPr>
          <w:rFonts w:cs="Arial"/>
          <w:color w:val="00A0AA" w:themeColor="accent6"/>
        </w:rPr>
        <w:t>r</w:t>
      </w:r>
      <w:r w:rsidR="00AC74CB" w:rsidRPr="004533E9">
        <w:rPr>
          <w:rFonts w:cs="Arial"/>
          <w:color w:val="00A0AA" w:themeColor="accent6"/>
        </w:rPr>
        <w:t>equirements</w:t>
      </w:r>
      <w:bookmarkEnd w:id="11"/>
      <w:r w:rsidR="00AC74CB" w:rsidRPr="004533E9">
        <w:rPr>
          <w:rFonts w:cs="Arial"/>
          <w:color w:val="00A0AA" w:themeColor="accent6"/>
        </w:rPr>
        <w:t xml:space="preserve"> </w:t>
      </w:r>
    </w:p>
    <w:p w14:paraId="1C442085" w14:textId="77777777" w:rsidR="00385F0B" w:rsidRPr="00385F0B" w:rsidRDefault="00385F0B" w:rsidP="00385F0B">
      <w:pPr>
        <w:pStyle w:val="BodyText"/>
        <w:rPr>
          <w:bCs/>
          <w:iCs/>
        </w:rPr>
      </w:pPr>
      <w:r w:rsidRPr="00385F0B">
        <w:rPr>
          <w:bCs/>
          <w:iCs/>
        </w:rPr>
        <w:t>Consenting history:</w:t>
      </w:r>
    </w:p>
    <w:p w14:paraId="7CA0606F" w14:textId="1EADC6F2" w:rsidR="00385F0B" w:rsidRPr="00385F0B" w:rsidRDefault="00385F0B" w:rsidP="00CE038B">
      <w:pPr>
        <w:pStyle w:val="Bullets"/>
      </w:pPr>
      <w:r w:rsidRPr="00385F0B">
        <w:t>A Town and Country Planning (Environmental Impact Assessment) (Wales) Regulations 2017 screening request was submitted to Cardiff Council on 21/09/23. Cardiff Council responded confirming that the project was not EIA development on 16/10/23</w:t>
      </w:r>
      <w:r w:rsidR="00657AF3">
        <w:t xml:space="preserve"> </w:t>
      </w:r>
      <w:r w:rsidR="00657AF3" w:rsidRPr="00657AF3">
        <w:t>(Reference number- 23/02213/SCR)</w:t>
      </w:r>
      <w:r w:rsidRPr="00385F0B">
        <w:t>.</w:t>
      </w:r>
    </w:p>
    <w:p w14:paraId="2FA08586" w14:textId="0F0B3E70" w:rsidR="00385F0B" w:rsidRPr="00385F0B" w:rsidRDefault="00385F0B" w:rsidP="00CE038B">
      <w:pPr>
        <w:pStyle w:val="Bullets"/>
      </w:pPr>
      <w:r w:rsidRPr="00385F0B">
        <w:t>A Marine Works (Environmental Impact Assessment) Regulations 2017 screening request was also submitted to NRW Marine Licensing Team on 29/09/23. NRW responded confirming that the project does not require a statutory EIA on 09/10/23</w:t>
      </w:r>
      <w:r w:rsidR="00657AF3">
        <w:t xml:space="preserve"> </w:t>
      </w:r>
      <w:r w:rsidR="00657AF3" w:rsidRPr="00657AF3">
        <w:t>(Reference number- SC2305)</w:t>
      </w:r>
      <w:r w:rsidR="00657AF3">
        <w:t>.</w:t>
      </w:r>
    </w:p>
    <w:p w14:paraId="3C2F419E" w14:textId="77777777" w:rsidR="00385F0B" w:rsidRPr="00385F0B" w:rsidRDefault="00385F0B" w:rsidP="00385F0B">
      <w:pPr>
        <w:pStyle w:val="BodyText"/>
        <w:rPr>
          <w:bCs/>
          <w:iCs/>
        </w:rPr>
      </w:pPr>
      <w:r w:rsidRPr="00385F0B">
        <w:rPr>
          <w:bCs/>
          <w:iCs/>
        </w:rPr>
        <w:t>Consenting requirements are outlined below:</w:t>
      </w:r>
    </w:p>
    <w:p w14:paraId="7BF51F5D" w14:textId="606B44BA" w:rsidR="00385F0B" w:rsidRPr="00385F0B" w:rsidRDefault="00385F0B" w:rsidP="00CE038B">
      <w:pPr>
        <w:pStyle w:val="Bullets"/>
      </w:pPr>
      <w:r w:rsidRPr="00385F0B">
        <w:t>Marine Licence</w:t>
      </w:r>
      <w:r w:rsidR="00AF2CAA">
        <w:t xml:space="preserve"> </w:t>
      </w:r>
      <w:r w:rsidRPr="00385F0B">
        <w:t>- a Band 2 Marine Licence is required. Activities relevant to Band 2 Licensing include small to medium scale construction, alteration or improvement of works e.g. coastal defence works, bridge repairs, some removal activities using a vehicle or vessel e.g. removals from the seabed, pier demolition. Band 2 projects are charged at a fixed fee of £1,920. The Service Level Agreement (SLA) timescale for determination is four months.</w:t>
      </w:r>
    </w:p>
    <w:p w14:paraId="05C1323E" w14:textId="509122FC" w:rsidR="00385F0B" w:rsidRPr="00385F0B" w:rsidRDefault="00385F0B" w:rsidP="00CE038B">
      <w:pPr>
        <w:pStyle w:val="Bullets"/>
      </w:pPr>
      <w:r w:rsidRPr="00385F0B">
        <w:t>Planning Application</w:t>
      </w:r>
      <w:r w:rsidR="00AF2CAA">
        <w:t xml:space="preserve"> </w:t>
      </w:r>
      <w:r w:rsidRPr="00385F0B">
        <w:t xml:space="preserve">- </w:t>
      </w:r>
      <w:r w:rsidRPr="004C70EF">
        <w:t xml:space="preserve">at time of writing </w:t>
      </w:r>
      <w:r w:rsidR="003F31D7">
        <w:t>an a</w:t>
      </w:r>
      <w:r w:rsidR="003F31D7" w:rsidRPr="003F31D7">
        <w:t>pplication for a Lawful Development Certificate for a Proposed Use or Development</w:t>
      </w:r>
      <w:r w:rsidR="003F31D7">
        <w:t xml:space="preserve"> has been submitted to Cardiff Council (reference no. </w:t>
      </w:r>
      <w:r w:rsidR="003F31D7" w:rsidRPr="003F31D7">
        <w:t>23/02727/CLPU</w:t>
      </w:r>
      <w:r w:rsidR="003F31D7" w:rsidRPr="00511C40">
        <w:t>D</w:t>
      </w:r>
      <w:r w:rsidR="00511C40" w:rsidRPr="004C70EF">
        <w:t>).</w:t>
      </w:r>
      <w:r w:rsidR="003F31D7" w:rsidRPr="004C70EF">
        <w:t xml:space="preserve"> </w:t>
      </w:r>
    </w:p>
    <w:p w14:paraId="5FB126F3" w14:textId="11FF2ECC" w:rsidR="00385F0B" w:rsidRPr="00385F0B" w:rsidRDefault="00385F0B" w:rsidP="00385F0B">
      <w:pPr>
        <w:pStyle w:val="BodyText"/>
        <w:rPr>
          <w:bCs/>
          <w:iCs/>
        </w:rPr>
      </w:pPr>
      <w:r w:rsidRPr="00385F0B">
        <w:rPr>
          <w:bCs/>
          <w:iCs/>
        </w:rPr>
        <w:t xml:space="preserve">Supporting environmental documents </w:t>
      </w:r>
      <w:r w:rsidR="00087C57">
        <w:rPr>
          <w:bCs/>
          <w:iCs/>
        </w:rPr>
        <w:t>produced to support Marine Licence</w:t>
      </w:r>
      <w:r w:rsidRPr="00385F0B">
        <w:rPr>
          <w:bCs/>
          <w:iCs/>
        </w:rPr>
        <w:t>:</w:t>
      </w:r>
    </w:p>
    <w:p w14:paraId="2A301B7C" w14:textId="19C07B85" w:rsidR="00385F0B" w:rsidRPr="00385F0B" w:rsidRDefault="00385F0B" w:rsidP="00CE038B">
      <w:pPr>
        <w:pStyle w:val="Bullets"/>
      </w:pPr>
      <w:r w:rsidRPr="00385F0B">
        <w:t>Preliminary Ecological Appraisal (PEA)</w:t>
      </w:r>
      <w:r w:rsidR="00511C40">
        <w:t>- Appendix E of the Marine Licence application.</w:t>
      </w:r>
    </w:p>
    <w:p w14:paraId="3BD7A773" w14:textId="1F928CB7" w:rsidR="00657AF3" w:rsidRPr="00385F0B" w:rsidRDefault="00657AF3" w:rsidP="00CE038B">
      <w:pPr>
        <w:pStyle w:val="Bullets"/>
      </w:pPr>
      <w:r>
        <w:t xml:space="preserve">Preliminary </w:t>
      </w:r>
      <w:r w:rsidRPr="00385F0B">
        <w:t>Water Environmental Regulations (WER) Assessment stage 1 and 2</w:t>
      </w:r>
      <w:r w:rsidR="00511C40">
        <w:t>- Appendix F of the Marine Licence application</w:t>
      </w:r>
    </w:p>
    <w:p w14:paraId="129B2A68" w14:textId="62831C8D" w:rsidR="00385F0B" w:rsidRPr="00657AF3" w:rsidRDefault="00385F0B" w:rsidP="00CE038B">
      <w:pPr>
        <w:pStyle w:val="Bullets"/>
      </w:pPr>
      <w:r w:rsidRPr="00657AF3">
        <w:rPr>
          <w:rFonts w:cs="Arial"/>
        </w:rPr>
        <w:t>Habitat Regulations Assessment (HRA) Stage 1 and 2</w:t>
      </w:r>
      <w:r w:rsidR="00511C40">
        <w:t>- Appendix H of the Marine Licence application.</w:t>
      </w:r>
    </w:p>
    <w:p w14:paraId="2A422F89" w14:textId="182CD2F6" w:rsidR="00385F0B" w:rsidRPr="00385F0B" w:rsidRDefault="00385F0B" w:rsidP="00CE038B">
      <w:pPr>
        <w:pStyle w:val="Bullets"/>
      </w:pPr>
      <w:r w:rsidRPr="00385F0B">
        <w:t>Environmental Action Plan (EAP)</w:t>
      </w:r>
      <w:r w:rsidR="00511C40">
        <w:t>- Appendix G of the Marine Licence Application.</w:t>
      </w:r>
    </w:p>
    <w:p w14:paraId="09EAEFE1" w14:textId="66C05763" w:rsidR="00385F0B" w:rsidRPr="00511C40" w:rsidRDefault="00511C40" w:rsidP="00CE038B">
      <w:pPr>
        <w:pStyle w:val="Bullets"/>
      </w:pPr>
      <w:r w:rsidRPr="00511C40">
        <w:t xml:space="preserve">Consideration for the Welsh National Marine Plan- </w:t>
      </w:r>
      <w:r w:rsidR="00657AF3" w:rsidRPr="004C70EF">
        <w:t xml:space="preserve"> </w:t>
      </w:r>
      <w:r w:rsidRPr="004C70EF">
        <w:t>Appendix L of the Marine Licence application.</w:t>
      </w:r>
    </w:p>
    <w:p w14:paraId="40877632" w14:textId="311895DF" w:rsidR="00AC74CB" w:rsidRPr="004533E9" w:rsidRDefault="00B53565" w:rsidP="00B53565">
      <w:pPr>
        <w:pStyle w:val="Heading1"/>
        <w:rPr>
          <w:rFonts w:cs="Arial"/>
          <w:color w:val="00A0AA" w:themeColor="accent6"/>
        </w:rPr>
      </w:pPr>
      <w:bookmarkStart w:id="12" w:name="_Toc125619213"/>
      <w:bookmarkStart w:id="13" w:name="_Toc160701715"/>
      <w:r w:rsidRPr="004533E9">
        <w:rPr>
          <w:rFonts w:cs="Arial"/>
          <w:color w:val="00A0AA" w:themeColor="accent6"/>
        </w:rPr>
        <w:t xml:space="preserve">2. </w:t>
      </w:r>
      <w:r w:rsidR="00AC74CB" w:rsidRPr="004533E9">
        <w:rPr>
          <w:rFonts w:cs="Arial"/>
          <w:color w:val="00A0AA" w:themeColor="accent6"/>
        </w:rPr>
        <w:t xml:space="preserve">Potential </w:t>
      </w:r>
      <w:r w:rsidR="00D72F55">
        <w:rPr>
          <w:rFonts w:cs="Arial"/>
          <w:color w:val="00A0AA" w:themeColor="accent6"/>
        </w:rPr>
        <w:t>e</w:t>
      </w:r>
      <w:r w:rsidR="00AC74CB" w:rsidRPr="004533E9">
        <w:rPr>
          <w:rFonts w:cs="Arial"/>
          <w:color w:val="00A0AA" w:themeColor="accent6"/>
        </w:rPr>
        <w:t xml:space="preserve">nvironmental </w:t>
      </w:r>
      <w:bookmarkEnd w:id="12"/>
      <w:r w:rsidR="00D72F55">
        <w:rPr>
          <w:rFonts w:cs="Arial"/>
          <w:color w:val="00A0AA" w:themeColor="accent6"/>
        </w:rPr>
        <w:t>r</w:t>
      </w:r>
      <w:r w:rsidR="009B1FEF">
        <w:rPr>
          <w:rFonts w:cs="Arial"/>
          <w:color w:val="00A0AA" w:themeColor="accent6"/>
        </w:rPr>
        <w:t>isks</w:t>
      </w:r>
      <w:bookmarkEnd w:id="13"/>
      <w:r w:rsidR="009B1FEF">
        <w:rPr>
          <w:rFonts w:cs="Arial"/>
          <w:color w:val="00A0AA" w:themeColor="accent6"/>
        </w:rPr>
        <w:t xml:space="preserve"> </w:t>
      </w:r>
    </w:p>
    <w:p w14:paraId="1A9A0221" w14:textId="2EEA430C" w:rsidR="00AC74CB" w:rsidRPr="004533E9" w:rsidRDefault="00B53565" w:rsidP="00B53565">
      <w:pPr>
        <w:pStyle w:val="Heading2"/>
        <w:rPr>
          <w:rFonts w:cs="Arial"/>
          <w:color w:val="00A0AA" w:themeColor="accent6"/>
          <w:sz w:val="32"/>
          <w:szCs w:val="32"/>
          <w:u w:val="single"/>
        </w:rPr>
      </w:pPr>
      <w:bookmarkStart w:id="14" w:name="_Toc160701716"/>
      <w:r w:rsidRPr="004533E9">
        <w:rPr>
          <w:rFonts w:cs="Arial"/>
          <w:color w:val="00A0AA" w:themeColor="accent6"/>
        </w:rPr>
        <w:t xml:space="preserve">2.1 </w:t>
      </w:r>
      <w:r w:rsidR="00385F0B">
        <w:rPr>
          <w:rFonts w:cs="Arial"/>
          <w:color w:val="00A0AA" w:themeColor="accent6"/>
        </w:rPr>
        <w:t>Biodiversity</w:t>
      </w:r>
      <w:bookmarkEnd w:id="14"/>
      <w:r w:rsidR="00AC74CB" w:rsidRPr="004533E9">
        <w:rPr>
          <w:rFonts w:cs="Arial"/>
          <w:color w:val="00A0AA" w:themeColor="accent6"/>
        </w:rPr>
        <w:t xml:space="preserve"> </w:t>
      </w:r>
    </w:p>
    <w:p w14:paraId="298508DA" w14:textId="02AFFDAA" w:rsidR="00C46877" w:rsidRDefault="00AC74CB" w:rsidP="007E1625">
      <w:pPr>
        <w:pStyle w:val="Heading3"/>
      </w:pPr>
      <w:r w:rsidRPr="00113DE7">
        <w:t xml:space="preserve">Baseline </w:t>
      </w:r>
    </w:p>
    <w:p w14:paraId="23EE4D53" w14:textId="77777777" w:rsidR="00657AF3" w:rsidRPr="00657AF3" w:rsidRDefault="00657AF3" w:rsidP="00657AF3">
      <w:pPr>
        <w:pStyle w:val="BodyText"/>
        <w:rPr>
          <w:b/>
          <w:bCs/>
        </w:rPr>
      </w:pPr>
      <w:r w:rsidRPr="00657AF3">
        <w:rPr>
          <w:b/>
          <w:bCs/>
        </w:rPr>
        <w:t xml:space="preserve">Designated sites </w:t>
      </w:r>
    </w:p>
    <w:p w14:paraId="08194099" w14:textId="05475A5C" w:rsidR="00657AF3" w:rsidRPr="00657AF3" w:rsidRDefault="00657AF3" w:rsidP="00657AF3">
      <w:pPr>
        <w:pStyle w:val="BodyText"/>
      </w:pPr>
      <w:r w:rsidRPr="00657AF3">
        <w:lastRenderedPageBreak/>
        <w:t xml:space="preserve">The site is located within the Severn Estuary Special Area of Conservation (SAC), Special Protection Area (SPA) and Ramsar site (collectively known as Severn Estuary European Marine Site), refer to </w:t>
      </w:r>
      <w:r w:rsidR="00481EA9">
        <w:t>A</w:t>
      </w:r>
      <w:r w:rsidR="00481EA9" w:rsidRPr="00657AF3">
        <w:t xml:space="preserve">ppendix </w:t>
      </w:r>
      <w:r w:rsidRPr="00657AF3">
        <w:t xml:space="preserve">A- Environmental Constraints and Opportunities Plans. </w:t>
      </w:r>
      <w:r w:rsidR="00087C57" w:rsidRPr="00087C57">
        <w:t xml:space="preserve">A HRA </w:t>
      </w:r>
      <w:r w:rsidR="00481EA9">
        <w:t>S</w:t>
      </w:r>
      <w:r w:rsidR="00481EA9" w:rsidRPr="00087C57">
        <w:t xml:space="preserve">tage </w:t>
      </w:r>
      <w:r w:rsidR="00087C57" w:rsidRPr="00087C57">
        <w:t>1</w:t>
      </w:r>
      <w:r w:rsidR="00481EA9">
        <w:t>: Screening</w:t>
      </w:r>
      <w:r w:rsidR="00087C57" w:rsidRPr="00087C57">
        <w:t xml:space="preserve"> and </w:t>
      </w:r>
      <w:r w:rsidR="00481EA9">
        <w:t xml:space="preserve">Stage </w:t>
      </w:r>
      <w:r w:rsidR="00087C57" w:rsidRPr="00087C57">
        <w:t>2</w:t>
      </w:r>
      <w:r w:rsidR="00481EA9">
        <w:t>: Appropriate Assessment</w:t>
      </w:r>
      <w:r w:rsidR="00087C57" w:rsidRPr="00087C57">
        <w:t xml:space="preserve"> has been undertaken to consider impacts to European sites.</w:t>
      </w:r>
    </w:p>
    <w:p w14:paraId="4BCFE015" w14:textId="2CE7B032" w:rsidR="00657AF3" w:rsidRPr="00657AF3" w:rsidRDefault="00657AF3" w:rsidP="00657AF3">
      <w:pPr>
        <w:pStyle w:val="BodyText"/>
      </w:pPr>
      <w:r w:rsidRPr="00657AF3">
        <w:t>The Severn Estuary SAC hosts the following Annex I habitats that are a primary reason for selection of this site: estuaries, mudflats and sandflats not covered by seawater at low tide, and Atlantic salt meadows (</w:t>
      </w:r>
      <w:r w:rsidRPr="00657AF3">
        <w:rPr>
          <w:i/>
          <w:iCs/>
        </w:rPr>
        <w:t>Glauco-Puccinellietalia maritimae</w:t>
      </w:r>
      <w:r w:rsidRPr="00657AF3">
        <w:t xml:space="preserve">). </w:t>
      </w:r>
      <w:bookmarkStart w:id="15" w:name="_Hlk145922345"/>
      <w:r w:rsidRPr="00657AF3">
        <w:t xml:space="preserve">Whilst the primary focus of this project is to restore and expand the saltmarsh (salt meadow) SAC feature, the project is also likely to support </w:t>
      </w:r>
      <w:r w:rsidR="003019F8">
        <w:t>the ‘</w:t>
      </w:r>
      <w:r w:rsidR="003019F8" w:rsidRPr="003019F8">
        <w:t>Mudflats and sandflats not covered by sea water at low tide</w:t>
      </w:r>
      <w:r w:rsidRPr="00657AF3">
        <w:t xml:space="preserve"> feature</w:t>
      </w:r>
      <w:r w:rsidR="003019F8">
        <w:t>’</w:t>
      </w:r>
      <w:r w:rsidRPr="00657AF3">
        <w:t xml:space="preserve"> by retaining sediment and also retaining or restoring transition zones between the two habitats.</w:t>
      </w:r>
      <w:bookmarkEnd w:id="15"/>
      <w:r w:rsidRPr="00657AF3">
        <w:t xml:space="preserve"> Annex I habitats present as a qualifying feature, but not a primary reason for selection of this site include sandbanks which are slightly covered by sea water at all times, and reefs. The site also supports Annex II species that are a primary reason for selection: sea lamprey (</w:t>
      </w:r>
      <w:r w:rsidRPr="00657AF3">
        <w:rPr>
          <w:i/>
          <w:iCs/>
        </w:rPr>
        <w:t>Petromyzon marinus</w:t>
      </w:r>
      <w:r w:rsidRPr="00657AF3">
        <w:t>), river lamprey (</w:t>
      </w:r>
      <w:r w:rsidRPr="00657AF3">
        <w:rPr>
          <w:i/>
          <w:iCs/>
        </w:rPr>
        <w:t>Lampetra fluviatilis</w:t>
      </w:r>
      <w:r w:rsidRPr="00657AF3">
        <w:t>) and twaite shad (</w:t>
      </w:r>
      <w:r w:rsidRPr="00657AF3">
        <w:rPr>
          <w:i/>
          <w:iCs/>
        </w:rPr>
        <w:t>Alosa fallax</w:t>
      </w:r>
      <w:r w:rsidRPr="00657AF3">
        <w:t xml:space="preserve">). </w:t>
      </w:r>
    </w:p>
    <w:p w14:paraId="00D46FCE" w14:textId="1D6240BC" w:rsidR="00657AF3" w:rsidRPr="00657AF3" w:rsidRDefault="00657AF3" w:rsidP="00657AF3">
      <w:pPr>
        <w:pStyle w:val="BodyText"/>
      </w:pPr>
      <w:r w:rsidRPr="00657AF3">
        <w:t>The Severn Estuary SPA supports passage ringed plover (</w:t>
      </w:r>
      <w:r w:rsidRPr="00657AF3">
        <w:rPr>
          <w:i/>
          <w:iCs/>
        </w:rPr>
        <w:t>Charadrius hiaticula</w:t>
      </w:r>
      <w:r w:rsidRPr="00657AF3">
        <w:t>) and overwintering Bewick's swan (</w:t>
      </w:r>
      <w:r w:rsidRPr="00657AF3">
        <w:rPr>
          <w:i/>
          <w:iCs/>
        </w:rPr>
        <w:t>Cygnus columbianus bewickii</w:t>
      </w:r>
      <w:r w:rsidRPr="00657AF3">
        <w:t>); curlew (</w:t>
      </w:r>
      <w:r w:rsidRPr="00657AF3">
        <w:rPr>
          <w:i/>
          <w:iCs/>
        </w:rPr>
        <w:t>Numenius arquata</w:t>
      </w:r>
      <w:r w:rsidRPr="00657AF3">
        <w:t>), dunlin (</w:t>
      </w:r>
      <w:r w:rsidRPr="00657AF3">
        <w:rPr>
          <w:i/>
          <w:iCs/>
        </w:rPr>
        <w:t>Calidris alpina</w:t>
      </w:r>
      <w:r w:rsidRPr="00657AF3">
        <w:t>), pintail (</w:t>
      </w:r>
      <w:r w:rsidRPr="00657AF3">
        <w:rPr>
          <w:i/>
          <w:iCs/>
        </w:rPr>
        <w:t>Anas acuta</w:t>
      </w:r>
      <w:r w:rsidRPr="00657AF3">
        <w:t>), redshank (</w:t>
      </w:r>
      <w:r w:rsidRPr="00657AF3">
        <w:rPr>
          <w:i/>
          <w:iCs/>
        </w:rPr>
        <w:t xml:space="preserve">Tringa </w:t>
      </w:r>
      <w:r w:rsidR="00481EA9" w:rsidRPr="00657AF3">
        <w:rPr>
          <w:i/>
          <w:iCs/>
        </w:rPr>
        <w:t>t</w:t>
      </w:r>
      <w:r w:rsidR="00481EA9">
        <w:rPr>
          <w:i/>
          <w:iCs/>
        </w:rPr>
        <w:t>o</w:t>
      </w:r>
      <w:r w:rsidR="00481EA9" w:rsidRPr="00657AF3">
        <w:rPr>
          <w:i/>
          <w:iCs/>
        </w:rPr>
        <w:t>tanus</w:t>
      </w:r>
      <w:r w:rsidRPr="00657AF3">
        <w:t>), and shelduck (</w:t>
      </w:r>
      <w:r w:rsidRPr="00657AF3">
        <w:rPr>
          <w:i/>
          <w:iCs/>
        </w:rPr>
        <w:t>Tadorna tadorna</w:t>
      </w:r>
      <w:r w:rsidRPr="00657AF3">
        <w:t xml:space="preserve">). </w:t>
      </w:r>
    </w:p>
    <w:p w14:paraId="70D1F412" w14:textId="77777777" w:rsidR="00657AF3" w:rsidRPr="00657AF3" w:rsidRDefault="00657AF3" w:rsidP="00657AF3">
      <w:pPr>
        <w:pStyle w:val="BodyText"/>
      </w:pPr>
      <w:r w:rsidRPr="00657AF3">
        <w:t>Severn Estuary SPA qualifying interest features:</w:t>
      </w:r>
    </w:p>
    <w:p w14:paraId="418D4642" w14:textId="77777777" w:rsidR="00657AF3" w:rsidRPr="00657AF3" w:rsidRDefault="00657AF3" w:rsidP="00CE038B">
      <w:pPr>
        <w:pStyle w:val="Bullets"/>
      </w:pPr>
      <w:r w:rsidRPr="00657AF3">
        <w:t>Internationally important populations of regularly occurring Annex 1 species - Bewick’s swan.</w:t>
      </w:r>
    </w:p>
    <w:p w14:paraId="63CD30C2" w14:textId="77777777" w:rsidR="00657AF3" w:rsidRPr="00657AF3" w:rsidRDefault="00657AF3" w:rsidP="00CE038B">
      <w:pPr>
        <w:pStyle w:val="Bullets"/>
      </w:pPr>
      <w:r w:rsidRPr="00657AF3">
        <w:t>Internationally important populations of regularly occurring migratory bird species - European white-fronted goose, dunlin, redshank, shelduck, gadwall.</w:t>
      </w:r>
    </w:p>
    <w:p w14:paraId="51D47A10" w14:textId="77777777" w:rsidR="00657AF3" w:rsidRPr="00657AF3" w:rsidRDefault="00657AF3" w:rsidP="00CE038B">
      <w:pPr>
        <w:pStyle w:val="Bullets"/>
      </w:pPr>
      <w:r w:rsidRPr="00657AF3">
        <w:t>Internationally important assemblage of waterfowl - Bewick’s swan, European white-fronted goose, dunlin, redshank, shelduck, gadwall, wigeon, teal, pintail, pochard, tufted duck, ringed plover, grey plover, curlew, whimbrel, spotted redshank, lapwing, mallard and shoveler.</w:t>
      </w:r>
    </w:p>
    <w:p w14:paraId="5F5B8DC1" w14:textId="77777777" w:rsidR="00657AF3" w:rsidRPr="00657AF3" w:rsidRDefault="00657AF3" w:rsidP="00657AF3">
      <w:pPr>
        <w:pStyle w:val="BodyText"/>
      </w:pPr>
      <w:r w:rsidRPr="00657AF3">
        <w:t>Severn Estuary Ramsar site qualifying features:</w:t>
      </w:r>
    </w:p>
    <w:p w14:paraId="565A0C10" w14:textId="77777777" w:rsidR="00657AF3" w:rsidRPr="00657AF3" w:rsidRDefault="00657AF3" w:rsidP="00CE038B">
      <w:pPr>
        <w:pStyle w:val="Bullets"/>
      </w:pPr>
      <w:r w:rsidRPr="00657AF3">
        <w:t>Estuaries.</w:t>
      </w:r>
    </w:p>
    <w:p w14:paraId="578DB1AE" w14:textId="77777777" w:rsidR="00657AF3" w:rsidRPr="00657AF3" w:rsidRDefault="00657AF3" w:rsidP="00CE038B">
      <w:pPr>
        <w:pStyle w:val="Bullets"/>
      </w:pPr>
      <w:r w:rsidRPr="00657AF3">
        <w:t>Migratory fish species.</w:t>
      </w:r>
    </w:p>
    <w:p w14:paraId="71E64151" w14:textId="77777777" w:rsidR="00657AF3" w:rsidRPr="00657AF3" w:rsidRDefault="00657AF3" w:rsidP="00CE038B">
      <w:pPr>
        <w:pStyle w:val="Bullets"/>
      </w:pPr>
      <w:r w:rsidRPr="00657AF3">
        <w:t>Internationally important populations of waterfowl - Bewick’s Swan, European white-fronted goose, dunlin, redshank, shelduck, gadwall.</w:t>
      </w:r>
    </w:p>
    <w:p w14:paraId="2964A9DA" w14:textId="77777777" w:rsidR="00657AF3" w:rsidRPr="00657AF3" w:rsidRDefault="00657AF3" w:rsidP="00CE038B">
      <w:pPr>
        <w:pStyle w:val="Bullets"/>
      </w:pPr>
      <w:r w:rsidRPr="00657AF3">
        <w:t>Internationally important assemblage of waterfowl (wintering - w, passage - p)-Bewick’s swan (w), European white-fronted goose (w), shelduck (w), dunlin (w, p), redshank (w, p), gadwall (w), ringed plover (w, p), whimbrel (p), teal (w), pintail (w), wigeon (w), pochard (w), tufted duck (w), grey plover (w), curlew (w), spotted redshank (w).</w:t>
      </w:r>
    </w:p>
    <w:p w14:paraId="15D4D98E" w14:textId="121AEB77" w:rsidR="00657AF3" w:rsidRPr="00657AF3" w:rsidRDefault="00362C71" w:rsidP="00181A61">
      <w:pPr>
        <w:pStyle w:val="BodyText"/>
        <w:spacing w:after="0"/>
      </w:pPr>
      <w:r>
        <w:t>It is anticipated that the temporary compound and site access will be</w:t>
      </w:r>
      <w:r w:rsidR="00657AF3" w:rsidRPr="00657AF3">
        <w:t xml:space="preserve"> located within the Gwent Levels – Rumney and Peterstone Site of Special Scientific Interest (SSSI) and the </w:t>
      </w:r>
      <w:r>
        <w:t xml:space="preserve">construction site is located within the </w:t>
      </w:r>
      <w:r w:rsidR="00657AF3" w:rsidRPr="00657AF3">
        <w:t>Severn Estuary SSSI. The Severn Estuary SSSI is of international importance for wintering and passage wading birds. It holds most of the estuary’s internationally important curlew and redshank populations, and most of its nationally important ringed plover (</w:t>
      </w:r>
      <w:r w:rsidR="00657AF3" w:rsidRPr="00657AF3">
        <w:rPr>
          <w:i/>
          <w:iCs/>
        </w:rPr>
        <w:t>Charadrius hiaticula</w:t>
      </w:r>
      <w:r w:rsidR="00657AF3" w:rsidRPr="00657AF3">
        <w:t>) and grey plover (</w:t>
      </w:r>
      <w:r w:rsidR="00657AF3" w:rsidRPr="00657AF3">
        <w:rPr>
          <w:i/>
          <w:iCs/>
        </w:rPr>
        <w:t xml:space="preserve">Pluvialis </w:t>
      </w:r>
      <w:r w:rsidR="00657AF3" w:rsidRPr="00657AF3">
        <w:rPr>
          <w:i/>
          <w:iCs/>
        </w:rPr>
        <w:lastRenderedPageBreak/>
        <w:t>squatarola</w:t>
      </w:r>
      <w:r w:rsidR="00657AF3" w:rsidRPr="00657AF3">
        <w:t>) populations. It is of internationally importance for dunlin (supporting c. 7.5% of the British wintering population).</w:t>
      </w:r>
    </w:p>
    <w:p w14:paraId="21AAC965" w14:textId="77777777" w:rsidR="00657AF3" w:rsidRDefault="00657AF3" w:rsidP="00657AF3">
      <w:pPr>
        <w:pStyle w:val="BodyText"/>
      </w:pPr>
      <w:r w:rsidRPr="00657AF3">
        <w:t xml:space="preserve">The Gwent Levels – Rumney and Peterstone SSSI is one of a series of SSSIs within the area between Chepstow and Cardiff known as the Gwent Levels. The Severn Estuary SSSI is contiguous with the southern boundary of this area. The Gwent Levels constitute the lowlands between Cardiff and Chepstow and are drained by an ordered network of drainage ditches. The Rumney and Peterstone area supports a number of important plant species including the nationally rare brackish water-crowfoot </w:t>
      </w:r>
      <w:r w:rsidRPr="00657AF3">
        <w:rPr>
          <w:i/>
          <w:iCs/>
        </w:rPr>
        <w:t>Ranunculus baudotii</w:t>
      </w:r>
      <w:r w:rsidRPr="00657AF3">
        <w:t xml:space="preserve"> and several regional rarities including the pondweeds </w:t>
      </w:r>
      <w:r w:rsidRPr="00657AF3">
        <w:rPr>
          <w:i/>
          <w:iCs/>
        </w:rPr>
        <w:t>Potamogeton obtusifolius</w:t>
      </w:r>
      <w:r w:rsidRPr="00657AF3">
        <w:t xml:space="preserve"> and </w:t>
      </w:r>
      <w:r w:rsidRPr="00657AF3">
        <w:rPr>
          <w:i/>
          <w:iCs/>
        </w:rPr>
        <w:t>Potamogeton berchtoldii</w:t>
      </w:r>
      <w:r w:rsidRPr="00657AF3">
        <w:t>.</w:t>
      </w:r>
    </w:p>
    <w:p w14:paraId="00397816" w14:textId="77777777" w:rsidR="0093533E" w:rsidRDefault="0093533E" w:rsidP="0093533E">
      <w:pPr>
        <w:pStyle w:val="BodyText"/>
      </w:pPr>
      <w:r>
        <w:t>A Habitat Regulations Assessment (HRA) stage 1 and 2 has been undertake. Natura 2000 sites considered to have features which could be affected by the project are:</w:t>
      </w:r>
    </w:p>
    <w:p w14:paraId="37C0955F" w14:textId="77777777" w:rsidR="0093533E" w:rsidRPr="00560F31" w:rsidRDefault="0093533E" w:rsidP="008E649E">
      <w:pPr>
        <w:numPr>
          <w:ilvl w:val="0"/>
          <w:numId w:val="11"/>
        </w:numPr>
        <w:rPr>
          <w:rFonts w:ascii="Arial" w:eastAsia="Times New Roman" w:hAnsi="Arial" w:cs="Arial"/>
        </w:rPr>
      </w:pPr>
      <w:r w:rsidRPr="00560F31">
        <w:rPr>
          <w:rFonts w:ascii="Arial" w:eastAsia="Times New Roman" w:hAnsi="Arial" w:cs="Arial"/>
        </w:rPr>
        <w:t>Severn Estuary / Môr Hafren Special Area of Conservation (SAC) UK0013030</w:t>
      </w:r>
    </w:p>
    <w:p w14:paraId="722F2BE3" w14:textId="77777777" w:rsidR="0093533E" w:rsidRPr="00560F31" w:rsidRDefault="0093533E" w:rsidP="008E649E">
      <w:pPr>
        <w:numPr>
          <w:ilvl w:val="0"/>
          <w:numId w:val="11"/>
        </w:numPr>
        <w:rPr>
          <w:rFonts w:ascii="Arial" w:eastAsia="Times New Roman" w:hAnsi="Arial" w:cs="Arial"/>
        </w:rPr>
      </w:pPr>
      <w:r w:rsidRPr="00560F31">
        <w:rPr>
          <w:rFonts w:ascii="Arial" w:eastAsia="Times New Roman" w:hAnsi="Arial" w:cs="Arial"/>
        </w:rPr>
        <w:t>Severn Estuary / Môr Hafren Special Protection Area (SPA) UK9015022</w:t>
      </w:r>
    </w:p>
    <w:p w14:paraId="16B38B8B" w14:textId="77777777" w:rsidR="0093533E" w:rsidRPr="00560F31" w:rsidRDefault="0093533E" w:rsidP="008E649E">
      <w:pPr>
        <w:numPr>
          <w:ilvl w:val="0"/>
          <w:numId w:val="11"/>
        </w:numPr>
        <w:rPr>
          <w:rFonts w:ascii="Arial" w:eastAsia="Times New Roman" w:hAnsi="Arial" w:cs="Arial"/>
        </w:rPr>
      </w:pPr>
      <w:r w:rsidRPr="00560F31">
        <w:rPr>
          <w:rFonts w:ascii="Arial" w:eastAsia="Times New Roman" w:hAnsi="Arial" w:cs="Arial"/>
        </w:rPr>
        <w:t>Severn Estuary / Môr Hafren Ramsar UK11081</w:t>
      </w:r>
    </w:p>
    <w:p w14:paraId="00FD1284" w14:textId="77777777" w:rsidR="0093533E" w:rsidRPr="00560F31" w:rsidRDefault="0093533E" w:rsidP="008E649E">
      <w:pPr>
        <w:numPr>
          <w:ilvl w:val="0"/>
          <w:numId w:val="11"/>
        </w:numPr>
        <w:rPr>
          <w:rFonts w:ascii="Arial" w:eastAsia="Times New Roman" w:hAnsi="Arial" w:cs="Arial"/>
        </w:rPr>
      </w:pPr>
      <w:r w:rsidRPr="00560F31">
        <w:rPr>
          <w:rFonts w:ascii="Arial" w:eastAsia="Times New Roman" w:hAnsi="Arial" w:cs="Arial"/>
        </w:rPr>
        <w:t>River Usk / Afon Wysg SAC UK0013007 – located approximately 9.7km to the north-east of the project.</w:t>
      </w:r>
    </w:p>
    <w:p w14:paraId="07BBFC37" w14:textId="77777777" w:rsidR="0093533E" w:rsidRDefault="0093533E" w:rsidP="008E649E">
      <w:pPr>
        <w:numPr>
          <w:ilvl w:val="0"/>
          <w:numId w:val="11"/>
        </w:numPr>
        <w:rPr>
          <w:rFonts w:ascii="Arial" w:eastAsia="Times New Roman" w:hAnsi="Arial" w:cs="Arial"/>
        </w:rPr>
      </w:pPr>
      <w:r w:rsidRPr="00560F31">
        <w:rPr>
          <w:rFonts w:ascii="Arial" w:eastAsia="Times New Roman" w:hAnsi="Arial" w:cs="Arial"/>
        </w:rPr>
        <w:t xml:space="preserve">River Wye / Afon Gwy SAC- UK0012642- located approximately 32km to the north-east of the project. </w:t>
      </w:r>
    </w:p>
    <w:p w14:paraId="51C78E8A" w14:textId="77777777" w:rsidR="0093533E" w:rsidRDefault="0093533E" w:rsidP="0093533E">
      <w:pPr>
        <w:rPr>
          <w:rFonts w:ascii="Arial" w:eastAsia="Times New Roman" w:hAnsi="Arial" w:cs="Arial"/>
        </w:rPr>
      </w:pPr>
    </w:p>
    <w:p w14:paraId="691F66C4" w14:textId="7ADFB58C" w:rsidR="0093533E" w:rsidRDefault="0093533E" w:rsidP="0093533E">
      <w:pPr>
        <w:rPr>
          <w:rFonts w:ascii="Arial" w:eastAsia="Times New Roman" w:hAnsi="Arial" w:cs="Arial"/>
        </w:rPr>
      </w:pPr>
      <w:r>
        <w:rPr>
          <w:rFonts w:ascii="Arial" w:eastAsia="Times New Roman" w:hAnsi="Arial" w:cs="Arial"/>
        </w:rPr>
        <w:t xml:space="preserve">The </w:t>
      </w:r>
      <w:r w:rsidR="00AF2CAA">
        <w:rPr>
          <w:rFonts w:ascii="Arial" w:eastAsia="Times New Roman" w:hAnsi="Arial" w:cs="Arial"/>
        </w:rPr>
        <w:t>HRA Stage 1: S</w:t>
      </w:r>
      <w:r>
        <w:rPr>
          <w:rFonts w:ascii="Arial" w:eastAsia="Times New Roman" w:hAnsi="Arial" w:cs="Arial"/>
        </w:rPr>
        <w:t xml:space="preserve">creening identified potential pathways </w:t>
      </w:r>
      <w:r w:rsidR="00AF2CAA">
        <w:rPr>
          <w:rFonts w:ascii="Arial" w:eastAsia="Times New Roman" w:hAnsi="Arial" w:cs="Arial"/>
        </w:rPr>
        <w:t xml:space="preserve">for effect on each site, primarily via </w:t>
      </w:r>
      <w:r w:rsidR="00656643">
        <w:rPr>
          <w:rFonts w:ascii="Arial" w:eastAsia="Times New Roman" w:hAnsi="Arial" w:cs="Arial"/>
        </w:rPr>
        <w:t xml:space="preserve">disturbance, pollution incident or trampling activities on </w:t>
      </w:r>
      <w:r w:rsidR="00AF2CAA">
        <w:rPr>
          <w:rFonts w:ascii="Arial" w:eastAsia="Times New Roman" w:hAnsi="Arial" w:cs="Arial"/>
        </w:rPr>
        <w:t xml:space="preserve">passage waders, migratory (catadromous and anadromous) fish and the intertidal mudflat and Atlantic salt meadow features. The HRA </w:t>
      </w:r>
      <w:r w:rsidR="00656643">
        <w:rPr>
          <w:rFonts w:ascii="Arial" w:eastAsia="Times New Roman" w:hAnsi="Arial" w:cs="Arial"/>
        </w:rPr>
        <w:t xml:space="preserve">Stage 2: Appropriate Assessment </w:t>
      </w:r>
      <w:r w:rsidR="00AF2CAA">
        <w:rPr>
          <w:rFonts w:ascii="Arial" w:eastAsia="Times New Roman" w:hAnsi="Arial" w:cs="Arial"/>
        </w:rPr>
        <w:t>determined</w:t>
      </w:r>
      <w:r w:rsidR="00AF2CAA" w:rsidDel="00AF2CAA">
        <w:rPr>
          <w:rFonts w:ascii="Arial" w:eastAsia="Times New Roman" w:hAnsi="Arial" w:cs="Arial"/>
        </w:rPr>
        <w:t xml:space="preserve"> </w:t>
      </w:r>
      <w:r>
        <w:rPr>
          <w:rFonts w:ascii="Arial" w:eastAsia="Times New Roman" w:hAnsi="Arial" w:cs="Arial"/>
        </w:rPr>
        <w:t xml:space="preserve">that </w:t>
      </w:r>
      <w:r w:rsidR="00AF2CAA">
        <w:rPr>
          <w:rFonts w:ascii="Arial" w:eastAsia="Times New Roman" w:hAnsi="Arial" w:cs="Arial"/>
        </w:rPr>
        <w:t xml:space="preserve">adverse effects on site integrity </w:t>
      </w:r>
      <w:r>
        <w:rPr>
          <w:rFonts w:ascii="Arial" w:eastAsia="Times New Roman" w:hAnsi="Arial" w:cs="Arial"/>
        </w:rPr>
        <w:t>cannot be rule</w:t>
      </w:r>
      <w:r w:rsidR="00AF2CAA">
        <w:rPr>
          <w:rFonts w:ascii="Arial" w:eastAsia="Times New Roman" w:hAnsi="Arial" w:cs="Arial"/>
        </w:rPr>
        <w:t>d</w:t>
      </w:r>
      <w:r>
        <w:rPr>
          <w:rFonts w:ascii="Arial" w:eastAsia="Times New Roman" w:hAnsi="Arial" w:cs="Arial"/>
        </w:rPr>
        <w:t xml:space="preserve"> out</w:t>
      </w:r>
      <w:r w:rsidR="00AF2CAA">
        <w:rPr>
          <w:rFonts w:ascii="Arial" w:eastAsia="Times New Roman" w:hAnsi="Arial" w:cs="Arial"/>
        </w:rPr>
        <w:t xml:space="preserve"> in the absence of mitigation</w:t>
      </w:r>
      <w:r w:rsidR="00656643">
        <w:rPr>
          <w:rFonts w:ascii="Arial" w:eastAsia="Times New Roman" w:hAnsi="Arial" w:cs="Arial"/>
        </w:rPr>
        <w:t xml:space="preserve">; however, </w:t>
      </w:r>
      <w:r w:rsidR="00AF2CAA">
        <w:rPr>
          <w:rFonts w:ascii="Arial" w:eastAsia="Times New Roman" w:hAnsi="Arial" w:cs="Arial"/>
        </w:rPr>
        <w:t>conclude</w:t>
      </w:r>
      <w:r w:rsidR="00656643">
        <w:rPr>
          <w:rFonts w:ascii="Arial" w:eastAsia="Times New Roman" w:hAnsi="Arial" w:cs="Arial"/>
        </w:rPr>
        <w:t>d</w:t>
      </w:r>
      <w:r w:rsidR="00AF2CAA">
        <w:rPr>
          <w:rFonts w:ascii="Arial" w:eastAsia="Times New Roman" w:hAnsi="Arial" w:cs="Arial"/>
        </w:rPr>
        <w:t xml:space="preserve"> no</w:t>
      </w:r>
      <w:r>
        <w:rPr>
          <w:rFonts w:ascii="Arial" w:eastAsia="Times New Roman" w:hAnsi="Arial" w:cs="Arial"/>
        </w:rPr>
        <w:t xml:space="preserve"> adverse effects on site integrity alone</w:t>
      </w:r>
      <w:r w:rsidR="00AF2CAA">
        <w:rPr>
          <w:rFonts w:ascii="Arial" w:eastAsia="Times New Roman" w:hAnsi="Arial" w:cs="Arial"/>
        </w:rPr>
        <w:t xml:space="preserve"> following the application of reasonable mitigation measures</w:t>
      </w:r>
      <w:r w:rsidR="00656643">
        <w:rPr>
          <w:rFonts w:ascii="Arial" w:eastAsia="Times New Roman" w:hAnsi="Arial" w:cs="Arial"/>
        </w:rPr>
        <w:t>: pollution prevention measures, low ground  pressure vehicles and weekly ECoW checks for breeding birds or high frequency counts of key species</w:t>
      </w:r>
      <w:r>
        <w:rPr>
          <w:rFonts w:ascii="Arial" w:eastAsia="Times New Roman" w:hAnsi="Arial" w:cs="Arial"/>
        </w:rPr>
        <w:t xml:space="preserve">.  </w:t>
      </w:r>
      <w:r w:rsidR="00AF2CAA">
        <w:rPr>
          <w:rFonts w:ascii="Arial" w:eastAsia="Times New Roman" w:hAnsi="Arial" w:cs="Arial"/>
        </w:rPr>
        <w:t xml:space="preserve">Further in-combination assessment also concluded no </w:t>
      </w:r>
      <w:r>
        <w:rPr>
          <w:rFonts w:ascii="Arial" w:eastAsia="Times New Roman" w:hAnsi="Arial" w:cs="Arial"/>
        </w:rPr>
        <w:t xml:space="preserve">adverse effects on site integrity </w:t>
      </w:r>
      <w:r w:rsidR="00AF2CAA">
        <w:rPr>
          <w:rFonts w:ascii="Arial" w:eastAsia="Times New Roman" w:hAnsi="Arial" w:cs="Arial"/>
        </w:rPr>
        <w:t>when considered against other plans and projects</w:t>
      </w:r>
      <w:r>
        <w:rPr>
          <w:rFonts w:ascii="Arial" w:eastAsia="Times New Roman" w:hAnsi="Arial" w:cs="Arial"/>
        </w:rPr>
        <w:t>.</w:t>
      </w:r>
    </w:p>
    <w:p w14:paraId="06E13821" w14:textId="77777777" w:rsidR="0093533E" w:rsidRPr="004C70EF" w:rsidRDefault="0093533E" w:rsidP="004C70EF">
      <w:pPr>
        <w:rPr>
          <w:rFonts w:eastAsia="Times New Roman" w:cs="Arial"/>
        </w:rPr>
      </w:pPr>
    </w:p>
    <w:p w14:paraId="6AD7781A" w14:textId="01668DD9" w:rsidR="00657AF3" w:rsidRPr="00657AF3" w:rsidRDefault="00657AF3" w:rsidP="00657AF3">
      <w:pPr>
        <w:pStyle w:val="BodyText"/>
        <w:rPr>
          <w:b/>
          <w:bCs/>
        </w:rPr>
      </w:pPr>
      <w:r w:rsidRPr="00657AF3">
        <w:rPr>
          <w:b/>
          <w:bCs/>
        </w:rPr>
        <w:t>Habitats</w:t>
      </w:r>
    </w:p>
    <w:p w14:paraId="2F2E4543" w14:textId="006AFA69" w:rsidR="00C46877" w:rsidRPr="00113DE7" w:rsidRDefault="00C46877" w:rsidP="00AC74CB">
      <w:pPr>
        <w:rPr>
          <w:rFonts w:ascii="Arial" w:hAnsi="Arial"/>
          <w:bCs/>
          <w:iCs/>
          <w:color w:val="000000"/>
        </w:rPr>
      </w:pPr>
      <w:r w:rsidRPr="00113DE7">
        <w:rPr>
          <w:rFonts w:ascii="Arial" w:hAnsi="Arial"/>
          <w:bCs/>
          <w:iCs/>
          <w:color w:val="000000"/>
        </w:rPr>
        <w:t>Previous assessments undertaken on site comprise the Severn Estuary SAC Monitoring Report - Condition Mapping of Atlantic Salt Meadows (NRW report</w:t>
      </w:r>
      <w:bookmarkStart w:id="16" w:name="_Ref148471148"/>
      <w:r w:rsidRPr="00113DE7">
        <w:rPr>
          <w:rFonts w:ascii="Arial" w:hAnsi="Arial"/>
          <w:bCs/>
          <w:iCs/>
          <w:color w:val="000000"/>
        </w:rPr>
        <w:t>), issued during 2019 with survey effort undertaken during 2017</w:t>
      </w:r>
      <w:r w:rsidRPr="00113DE7">
        <w:rPr>
          <w:rFonts w:ascii="Arial" w:hAnsi="Arial"/>
          <w:bCs/>
          <w:iCs/>
          <w:color w:val="000000"/>
          <w:vertAlign w:val="superscript"/>
        </w:rPr>
        <w:footnoteReference w:id="2"/>
      </w:r>
      <w:bookmarkEnd w:id="16"/>
      <w:r w:rsidRPr="00113DE7">
        <w:rPr>
          <w:rFonts w:ascii="Arial" w:hAnsi="Arial"/>
          <w:bCs/>
          <w:iCs/>
          <w:color w:val="000000"/>
        </w:rPr>
        <w:t>. Arup was then commissioned to undertake a Phase 1 habitat survey, to input into the Preliminary Ecological Appraisal (PEA) for Rhymney Polders (October 2023)</w:t>
      </w:r>
      <w:r w:rsidRPr="00113DE7">
        <w:rPr>
          <w:rFonts w:ascii="Arial" w:hAnsi="Arial"/>
          <w:bCs/>
          <w:iCs/>
          <w:color w:val="000000"/>
          <w:vertAlign w:val="superscript"/>
        </w:rPr>
        <w:footnoteReference w:id="3"/>
      </w:r>
      <w:r w:rsidR="00657AF3">
        <w:rPr>
          <w:rFonts w:ascii="Arial" w:hAnsi="Arial"/>
          <w:bCs/>
          <w:iCs/>
          <w:color w:val="000000"/>
        </w:rPr>
        <w:t xml:space="preserve"> (Appendix B1)</w:t>
      </w:r>
      <w:r w:rsidRPr="00113DE7">
        <w:rPr>
          <w:rFonts w:ascii="Arial" w:hAnsi="Arial"/>
          <w:bCs/>
          <w:iCs/>
          <w:color w:val="000000"/>
        </w:rPr>
        <w:t>. The findings are summarised below.</w:t>
      </w:r>
    </w:p>
    <w:p w14:paraId="07EADBAB" w14:textId="03464690" w:rsidR="00C46877" w:rsidRPr="00113DE7" w:rsidRDefault="00C46877" w:rsidP="00C46877">
      <w:pPr>
        <w:pStyle w:val="Heading4NoNumber"/>
        <w:tabs>
          <w:tab w:val="clear" w:pos="360"/>
        </w:tabs>
        <w:rPr>
          <w:rFonts w:cstheme="minorHAnsi"/>
          <w:sz w:val="24"/>
          <w:szCs w:val="24"/>
        </w:rPr>
      </w:pPr>
      <w:bookmarkStart w:id="17" w:name="_Hlk150939562"/>
      <w:r w:rsidRPr="00113DE7">
        <w:rPr>
          <w:rFonts w:cstheme="minorHAnsi"/>
          <w:sz w:val="24"/>
          <w:szCs w:val="24"/>
        </w:rPr>
        <w:lastRenderedPageBreak/>
        <w:t xml:space="preserve">Severn Estuary SAC Monitoring Report. Condition Mapping of Atlantic Salt Meadows </w:t>
      </w:r>
      <w:bookmarkEnd w:id="17"/>
    </w:p>
    <w:p w14:paraId="0C004A7B" w14:textId="61E03E99" w:rsidR="00A33603" w:rsidRDefault="00C46877" w:rsidP="003019F8">
      <w:pPr>
        <w:spacing w:before="240"/>
        <w:rPr>
          <w:rFonts w:asciiTheme="minorHAnsi" w:hAnsiTheme="minorHAnsi" w:cstheme="minorHAnsi"/>
        </w:rPr>
      </w:pPr>
      <w:r w:rsidRPr="00113DE7">
        <w:rPr>
          <w:rFonts w:asciiTheme="minorHAnsi" w:hAnsiTheme="minorHAnsi" w:cstheme="minorHAnsi"/>
        </w:rPr>
        <w:t>Rhymney Great Wharf was surveyed for detailed habitat types by NRW on 25</w:t>
      </w:r>
      <w:r w:rsidRPr="00113DE7">
        <w:rPr>
          <w:rFonts w:asciiTheme="minorHAnsi" w:hAnsiTheme="minorHAnsi" w:cstheme="minorHAnsi"/>
          <w:vertAlign w:val="superscript"/>
        </w:rPr>
        <w:t>th</w:t>
      </w:r>
      <w:r w:rsidRPr="00113DE7">
        <w:rPr>
          <w:rFonts w:asciiTheme="minorHAnsi" w:hAnsiTheme="minorHAnsi" w:cstheme="minorHAnsi"/>
        </w:rPr>
        <w:t xml:space="preserve"> May 2017</w:t>
      </w:r>
      <w:r w:rsidRPr="00113DE7">
        <w:rPr>
          <w:rFonts w:asciiTheme="minorHAnsi" w:hAnsiTheme="minorHAnsi" w:cstheme="minorHAnsi"/>
          <w:vertAlign w:val="superscript"/>
        </w:rPr>
        <w:fldChar w:fldCharType="begin"/>
      </w:r>
      <w:r w:rsidRPr="00113DE7">
        <w:rPr>
          <w:rFonts w:asciiTheme="minorHAnsi" w:hAnsiTheme="minorHAnsi" w:cstheme="minorHAnsi"/>
          <w:vertAlign w:val="superscript"/>
        </w:rPr>
        <w:instrText xml:space="preserve"> NOTEREF _Ref148471148 \h  \* MERGEFORMAT </w:instrText>
      </w:r>
      <w:r w:rsidRPr="00113DE7">
        <w:rPr>
          <w:rFonts w:asciiTheme="minorHAnsi" w:hAnsiTheme="minorHAnsi" w:cstheme="minorHAnsi"/>
          <w:vertAlign w:val="superscript"/>
        </w:rPr>
      </w:r>
      <w:r w:rsidRPr="00113DE7">
        <w:rPr>
          <w:rFonts w:asciiTheme="minorHAnsi" w:hAnsiTheme="minorHAnsi" w:cstheme="minorHAnsi"/>
          <w:vertAlign w:val="superscript"/>
        </w:rPr>
        <w:fldChar w:fldCharType="separate"/>
      </w:r>
      <w:r w:rsidR="006358B7">
        <w:rPr>
          <w:rFonts w:asciiTheme="minorHAnsi" w:hAnsiTheme="minorHAnsi" w:cstheme="minorHAnsi"/>
          <w:vertAlign w:val="superscript"/>
        </w:rPr>
        <w:t>1</w:t>
      </w:r>
      <w:r w:rsidRPr="00113DE7">
        <w:rPr>
          <w:rFonts w:asciiTheme="minorHAnsi" w:hAnsiTheme="minorHAnsi" w:cstheme="minorHAnsi"/>
          <w:vertAlign w:val="superscript"/>
        </w:rPr>
        <w:fldChar w:fldCharType="end"/>
      </w:r>
      <w:r w:rsidRPr="00113DE7">
        <w:rPr>
          <w:rFonts w:asciiTheme="minorHAnsi" w:hAnsiTheme="minorHAnsi" w:cstheme="minorHAnsi"/>
        </w:rPr>
        <w:t xml:space="preserve">. The saltmarsh of the Rhymney Great Wharf sector has a simple marsh structure that largely consists of an upper marsh zone and a lower marsh zone, separated by a small mud cliff up to 1.2 m high, or by rock armour. </w:t>
      </w:r>
    </w:p>
    <w:p w14:paraId="0B6A28E8" w14:textId="77777777" w:rsidR="00113DE7" w:rsidRPr="00113DE7" w:rsidRDefault="00113DE7" w:rsidP="00C46877">
      <w:pPr>
        <w:rPr>
          <w:rFonts w:asciiTheme="minorHAnsi" w:hAnsiTheme="minorHAnsi" w:cstheme="minorHAnsi"/>
        </w:rPr>
      </w:pPr>
    </w:p>
    <w:p w14:paraId="4874984E" w14:textId="6C349A7A" w:rsidR="00A33603" w:rsidRPr="00CE038B" w:rsidRDefault="00A33603" w:rsidP="00C46877">
      <w:pPr>
        <w:rPr>
          <w:rFonts w:asciiTheme="minorHAnsi" w:hAnsiTheme="minorHAnsi" w:cstheme="minorHAnsi"/>
          <w:i/>
          <w:iCs/>
        </w:rPr>
      </w:pPr>
      <w:r w:rsidRPr="00CE038B">
        <w:rPr>
          <w:rFonts w:asciiTheme="minorHAnsi" w:hAnsiTheme="minorHAnsi" w:cstheme="minorHAnsi"/>
          <w:i/>
          <w:iCs/>
        </w:rPr>
        <w:t>Upper marsh</w:t>
      </w:r>
    </w:p>
    <w:p w14:paraId="221500D3" w14:textId="77777777" w:rsidR="00A33603" w:rsidRDefault="00C46877" w:rsidP="00A33603">
      <w:pPr>
        <w:rPr>
          <w:rFonts w:asciiTheme="minorHAnsi" w:hAnsiTheme="minorHAnsi" w:cstheme="minorHAnsi"/>
        </w:rPr>
      </w:pPr>
      <w:r w:rsidRPr="00113DE7">
        <w:rPr>
          <w:rFonts w:asciiTheme="minorHAnsi" w:hAnsiTheme="minorHAnsi" w:cstheme="minorHAnsi"/>
        </w:rPr>
        <w:t xml:space="preserve">Most of the upper marsh is referable to SM16 </w:t>
      </w:r>
      <w:r w:rsidRPr="00113DE7">
        <w:rPr>
          <w:rFonts w:asciiTheme="minorHAnsi" w:hAnsiTheme="minorHAnsi" w:cstheme="minorHAnsi"/>
          <w:i/>
          <w:iCs/>
        </w:rPr>
        <w:t>Festuca rubra</w:t>
      </w:r>
      <w:r w:rsidRPr="00113DE7">
        <w:rPr>
          <w:rFonts w:asciiTheme="minorHAnsi" w:hAnsiTheme="minorHAnsi" w:cstheme="minorHAnsi"/>
        </w:rPr>
        <w:t xml:space="preserve"> saltmarsh NVC type, with SM16c (</w:t>
      </w:r>
      <w:r w:rsidRPr="00113DE7">
        <w:rPr>
          <w:rFonts w:asciiTheme="minorHAnsi" w:hAnsiTheme="minorHAnsi" w:cstheme="minorHAnsi"/>
          <w:i/>
          <w:iCs/>
        </w:rPr>
        <w:t>Festuca rubra – Glaux maritima</w:t>
      </w:r>
      <w:r w:rsidRPr="00113DE7">
        <w:rPr>
          <w:rFonts w:asciiTheme="minorHAnsi" w:hAnsiTheme="minorHAnsi" w:cstheme="minorHAnsi"/>
        </w:rPr>
        <w:t xml:space="preserve"> sub-community) the most frequent sub-community encountered. The seaward edge of the upper marsh is slightly raised in comparison to the landward marsh behind and here, stands of SM24 (</w:t>
      </w:r>
      <w:r w:rsidRPr="00113DE7">
        <w:rPr>
          <w:rFonts w:asciiTheme="minorHAnsi" w:hAnsiTheme="minorHAnsi" w:cstheme="minorHAnsi"/>
          <w:i/>
          <w:iCs/>
        </w:rPr>
        <w:t>Elymus pycnanthus</w:t>
      </w:r>
      <w:r w:rsidRPr="00113DE7">
        <w:rPr>
          <w:rFonts w:asciiTheme="minorHAnsi" w:hAnsiTheme="minorHAnsi" w:cstheme="minorHAnsi"/>
        </w:rPr>
        <w:t xml:space="preserve"> saltmarsh) dominated by </w:t>
      </w:r>
      <w:r w:rsidRPr="00113DE7">
        <w:rPr>
          <w:rFonts w:asciiTheme="minorHAnsi" w:hAnsiTheme="minorHAnsi" w:cstheme="minorHAnsi"/>
          <w:i/>
          <w:iCs/>
        </w:rPr>
        <w:t>Elytrigia atherica</w:t>
      </w:r>
      <w:r w:rsidRPr="00113DE7">
        <w:rPr>
          <w:rFonts w:asciiTheme="minorHAnsi" w:hAnsiTheme="minorHAnsi" w:cstheme="minorHAnsi"/>
        </w:rPr>
        <w:t xml:space="preserve"> have developed. </w:t>
      </w:r>
      <w:r w:rsidR="00A33603" w:rsidRPr="00113DE7">
        <w:rPr>
          <w:rFonts w:asciiTheme="minorHAnsi" w:hAnsiTheme="minorHAnsi" w:cstheme="minorHAnsi"/>
        </w:rPr>
        <w:t>A</w:t>
      </w:r>
      <w:r w:rsidRPr="00113DE7">
        <w:rPr>
          <w:rFonts w:asciiTheme="minorHAnsi" w:hAnsiTheme="minorHAnsi" w:cstheme="minorHAnsi"/>
        </w:rPr>
        <w:t xml:space="preserve">long the seawall, the saltmarsh is more transitional between </w:t>
      </w:r>
      <w:r w:rsidRPr="00113DE7">
        <w:rPr>
          <w:rFonts w:asciiTheme="minorHAnsi" w:hAnsiTheme="minorHAnsi" w:cstheme="minorHAnsi"/>
          <w:i/>
          <w:iCs/>
        </w:rPr>
        <w:t>Festuca rubra</w:t>
      </w:r>
      <w:r w:rsidRPr="00113DE7">
        <w:rPr>
          <w:rFonts w:asciiTheme="minorHAnsi" w:hAnsiTheme="minorHAnsi" w:cstheme="minorHAnsi"/>
        </w:rPr>
        <w:t xml:space="preserve"> dominated vegetation and </w:t>
      </w:r>
      <w:r w:rsidRPr="00113DE7">
        <w:rPr>
          <w:rFonts w:asciiTheme="minorHAnsi" w:hAnsiTheme="minorHAnsi" w:cstheme="minorHAnsi"/>
          <w:i/>
          <w:iCs/>
        </w:rPr>
        <w:t>Puccinellia maritima</w:t>
      </w:r>
      <w:r w:rsidRPr="00113DE7">
        <w:rPr>
          <w:rFonts w:asciiTheme="minorHAnsi" w:hAnsiTheme="minorHAnsi" w:cstheme="minorHAnsi"/>
        </w:rPr>
        <w:t xml:space="preserve"> dominated vegetation and is referable to SM16a (</w:t>
      </w:r>
      <w:r w:rsidRPr="00113DE7">
        <w:rPr>
          <w:rFonts w:asciiTheme="minorHAnsi" w:hAnsiTheme="minorHAnsi" w:cstheme="minorHAnsi"/>
          <w:i/>
          <w:iCs/>
        </w:rPr>
        <w:t>Puccinellia maritima</w:t>
      </w:r>
      <w:r w:rsidRPr="00113DE7">
        <w:rPr>
          <w:rFonts w:asciiTheme="minorHAnsi" w:hAnsiTheme="minorHAnsi" w:cstheme="minorHAnsi"/>
        </w:rPr>
        <w:t xml:space="preserve"> sub-community)</w:t>
      </w:r>
      <w:r w:rsidR="00A33603" w:rsidRPr="00113DE7">
        <w:rPr>
          <w:rFonts w:asciiTheme="minorHAnsi" w:hAnsiTheme="minorHAnsi" w:cstheme="minorHAnsi"/>
        </w:rPr>
        <w:t>, with some stands of</w:t>
      </w:r>
      <w:r w:rsidRPr="00113DE7">
        <w:rPr>
          <w:rFonts w:asciiTheme="minorHAnsi" w:hAnsiTheme="minorHAnsi" w:cstheme="minorHAnsi"/>
        </w:rPr>
        <w:t xml:space="preserve"> SM16c</w:t>
      </w:r>
      <w:r w:rsidR="00A33603" w:rsidRPr="00113DE7">
        <w:rPr>
          <w:rFonts w:asciiTheme="minorHAnsi" w:hAnsiTheme="minorHAnsi" w:cstheme="minorHAnsi"/>
        </w:rPr>
        <w:t xml:space="preserve">. It </w:t>
      </w:r>
      <w:r w:rsidRPr="00113DE7">
        <w:rPr>
          <w:rFonts w:asciiTheme="minorHAnsi" w:hAnsiTheme="minorHAnsi" w:cstheme="minorHAnsi"/>
        </w:rPr>
        <w:t>also shows signs of previous poaching, so occurrence may be the result of historic grazing, topography, or a combination of these two factors.</w:t>
      </w:r>
      <w:r w:rsidR="00A33603" w:rsidRPr="00113DE7">
        <w:rPr>
          <w:rFonts w:asciiTheme="minorHAnsi" w:hAnsiTheme="minorHAnsi" w:cstheme="minorHAnsi"/>
        </w:rPr>
        <w:t xml:space="preserve"> </w:t>
      </w:r>
    </w:p>
    <w:p w14:paraId="67DC6CE9" w14:textId="77777777" w:rsidR="000A0ECC" w:rsidRPr="00113DE7" w:rsidRDefault="000A0ECC" w:rsidP="00A33603">
      <w:pPr>
        <w:rPr>
          <w:rFonts w:asciiTheme="minorHAnsi" w:hAnsiTheme="minorHAnsi" w:cstheme="minorHAnsi"/>
        </w:rPr>
      </w:pPr>
    </w:p>
    <w:p w14:paraId="597DEC81" w14:textId="7A22BF62" w:rsidR="00A33603" w:rsidRPr="00113DE7" w:rsidRDefault="00A33603" w:rsidP="00A33603">
      <w:pPr>
        <w:rPr>
          <w:rFonts w:asciiTheme="minorHAnsi" w:hAnsiTheme="minorHAnsi" w:cstheme="minorHAnsi"/>
        </w:rPr>
      </w:pPr>
      <w:r w:rsidRPr="00113DE7">
        <w:rPr>
          <w:rFonts w:asciiTheme="minorHAnsi" w:hAnsiTheme="minorHAnsi" w:cstheme="minorHAnsi"/>
        </w:rPr>
        <w:t xml:space="preserve">Areas of disturbed ground (typically tracks or paths) occur at both the western and eastern extremes and have created a niche for </w:t>
      </w:r>
      <w:r w:rsidRPr="00113DE7">
        <w:rPr>
          <w:rFonts w:asciiTheme="minorHAnsi" w:hAnsiTheme="minorHAnsi" w:cstheme="minorHAnsi"/>
          <w:i/>
          <w:iCs/>
        </w:rPr>
        <w:t>Puccinellia rupestris</w:t>
      </w:r>
      <w:r w:rsidRPr="00113DE7">
        <w:rPr>
          <w:rFonts w:asciiTheme="minorHAnsi" w:hAnsiTheme="minorHAnsi" w:cstheme="minorHAnsi"/>
        </w:rPr>
        <w:t>. Small saltpans with affinities to SM23 (</w:t>
      </w:r>
      <w:r w:rsidRPr="00113DE7">
        <w:rPr>
          <w:rFonts w:asciiTheme="minorHAnsi" w:hAnsiTheme="minorHAnsi" w:cstheme="minorHAnsi"/>
          <w:i/>
          <w:iCs/>
        </w:rPr>
        <w:t>Spergularia marina – Puccinellia distans</w:t>
      </w:r>
      <w:r w:rsidRPr="00113DE7">
        <w:rPr>
          <w:rFonts w:asciiTheme="minorHAnsi" w:hAnsiTheme="minorHAnsi" w:cstheme="minorHAnsi"/>
        </w:rPr>
        <w:t xml:space="preserve"> saltmarsh) were also recorded. </w:t>
      </w:r>
    </w:p>
    <w:p w14:paraId="31421C0C" w14:textId="79B6162E" w:rsidR="00A33603" w:rsidRPr="00113DE7" w:rsidRDefault="00A33603" w:rsidP="00A33603">
      <w:pPr>
        <w:rPr>
          <w:rFonts w:asciiTheme="minorHAnsi" w:hAnsiTheme="minorHAnsi" w:cstheme="minorHAnsi"/>
          <w:b/>
          <w:i/>
          <w:color w:val="0000FF"/>
          <w:highlight w:val="yellow"/>
        </w:rPr>
      </w:pPr>
      <w:r w:rsidRPr="00113DE7">
        <w:rPr>
          <w:rFonts w:asciiTheme="minorHAnsi" w:hAnsiTheme="minorHAnsi" w:cstheme="minorHAnsi"/>
        </w:rPr>
        <w:t>Stands of open water and bare ground occur along the narrow western arm behind the rock armour and may indicate further erosion of saltmarsh is occurring. There is some evidence of freshwater influx with very occasional stands of S4 (</w:t>
      </w:r>
      <w:r w:rsidRPr="00113DE7">
        <w:rPr>
          <w:rFonts w:asciiTheme="minorHAnsi" w:hAnsiTheme="minorHAnsi" w:cstheme="minorHAnsi"/>
          <w:i/>
          <w:iCs/>
        </w:rPr>
        <w:t>Phragmites australis</w:t>
      </w:r>
      <w:r w:rsidRPr="00113DE7">
        <w:rPr>
          <w:rFonts w:asciiTheme="minorHAnsi" w:hAnsiTheme="minorHAnsi" w:cstheme="minorHAnsi"/>
        </w:rPr>
        <w:t xml:space="preserve"> swamp and reedbed) and the presence of standing brackish water evidenced by the occurrence of small stands of S21 (</w:t>
      </w:r>
      <w:r w:rsidRPr="00113DE7">
        <w:rPr>
          <w:rFonts w:asciiTheme="minorHAnsi" w:hAnsiTheme="minorHAnsi" w:cstheme="minorHAnsi"/>
          <w:i/>
          <w:iCs/>
        </w:rPr>
        <w:t>Scirpus maritimus</w:t>
      </w:r>
      <w:r w:rsidRPr="00113DE7">
        <w:rPr>
          <w:rFonts w:asciiTheme="minorHAnsi" w:hAnsiTheme="minorHAnsi" w:cstheme="minorHAnsi"/>
        </w:rPr>
        <w:t xml:space="preserve"> swamp). </w:t>
      </w:r>
    </w:p>
    <w:p w14:paraId="2AD83DD7" w14:textId="6972120F" w:rsidR="00C46877" w:rsidRPr="00CE038B" w:rsidRDefault="00C46877" w:rsidP="00C46877">
      <w:pPr>
        <w:rPr>
          <w:rFonts w:asciiTheme="minorHAnsi" w:hAnsiTheme="minorHAnsi" w:cstheme="minorHAnsi"/>
        </w:rPr>
      </w:pPr>
    </w:p>
    <w:p w14:paraId="38F72628" w14:textId="58F4BECA" w:rsidR="00A33603" w:rsidRPr="00CE038B" w:rsidRDefault="00A33603" w:rsidP="00C46877">
      <w:pPr>
        <w:rPr>
          <w:rFonts w:asciiTheme="minorHAnsi" w:hAnsiTheme="minorHAnsi" w:cstheme="minorHAnsi"/>
          <w:i/>
          <w:iCs/>
        </w:rPr>
      </w:pPr>
      <w:r w:rsidRPr="00CE038B">
        <w:rPr>
          <w:rFonts w:asciiTheme="minorHAnsi" w:hAnsiTheme="minorHAnsi" w:cstheme="minorHAnsi"/>
          <w:i/>
          <w:iCs/>
        </w:rPr>
        <w:t>Lower marsh</w:t>
      </w:r>
    </w:p>
    <w:p w14:paraId="24E346B9" w14:textId="78C5D164" w:rsidR="00A33603" w:rsidRPr="00113DE7" w:rsidRDefault="00C46877" w:rsidP="00113DE7">
      <w:pPr>
        <w:pStyle w:val="Heading4NoNumber"/>
        <w:numPr>
          <w:ilvl w:val="0"/>
          <w:numId w:val="0"/>
        </w:numPr>
        <w:rPr>
          <w:rFonts w:cstheme="minorHAnsi"/>
          <w:sz w:val="24"/>
          <w:szCs w:val="24"/>
        </w:rPr>
      </w:pPr>
      <w:r w:rsidRPr="00113DE7">
        <w:rPr>
          <w:rFonts w:cstheme="minorHAnsi"/>
        </w:rPr>
        <w:t xml:space="preserve">The lower marsh is dominated by SM6 (Spartina anglica saltmarsh) NVC type. The vegetation is generally species-poor and dominated by common cord-grass (Spartina anglica), which occurs along with frequent bare mud and a scatter of associates </w:t>
      </w:r>
      <w:r w:rsidR="00A33603" w:rsidRPr="00113DE7">
        <w:rPr>
          <w:rFonts w:cstheme="minorHAnsi"/>
        </w:rPr>
        <w:t>(</w:t>
      </w:r>
      <w:r w:rsidRPr="00113DE7">
        <w:rPr>
          <w:rFonts w:cstheme="minorHAnsi"/>
        </w:rPr>
        <w:t>such as Aster tripolium and Cochlearia anglica</w:t>
      </w:r>
      <w:r w:rsidR="00A33603" w:rsidRPr="00113DE7">
        <w:rPr>
          <w:rFonts w:cstheme="minorHAnsi"/>
        </w:rPr>
        <w:t>)</w:t>
      </w:r>
      <w:r w:rsidRPr="00113DE7">
        <w:rPr>
          <w:rFonts w:cstheme="minorHAnsi"/>
        </w:rPr>
        <w:t xml:space="preserve">. At the western extreme the SM6 is fragmented; moving east stands become much more consolidated and large patches of bare mud are less frequent. Within the easternmost polder the SM6 marsh is more or less </w:t>
      </w:r>
      <w:proofErr w:type="spellStart"/>
      <w:proofErr w:type="gramStart"/>
      <w:r w:rsidRPr="00113DE7">
        <w:rPr>
          <w:rFonts w:cstheme="minorHAnsi"/>
        </w:rPr>
        <w:t>continuous.</w:t>
      </w:r>
      <w:r w:rsidR="00A33603" w:rsidRPr="00113DE7">
        <w:rPr>
          <w:rFonts w:cstheme="minorHAnsi"/>
          <w:sz w:val="24"/>
          <w:szCs w:val="24"/>
        </w:rPr>
        <w:t>Rhymney</w:t>
      </w:r>
      <w:proofErr w:type="spellEnd"/>
      <w:proofErr w:type="gramEnd"/>
      <w:r w:rsidR="00A33603" w:rsidRPr="00113DE7">
        <w:rPr>
          <w:rFonts w:cstheme="minorHAnsi"/>
          <w:sz w:val="24"/>
          <w:szCs w:val="24"/>
        </w:rPr>
        <w:t xml:space="preserve"> </w:t>
      </w:r>
      <w:r w:rsidR="000A0ECC" w:rsidRPr="00113DE7">
        <w:rPr>
          <w:rFonts w:cstheme="minorHAnsi"/>
          <w:sz w:val="24"/>
          <w:szCs w:val="24"/>
        </w:rPr>
        <w:t>Polders</w:t>
      </w:r>
      <w:r w:rsidR="00A33603" w:rsidRPr="00113DE7">
        <w:rPr>
          <w:rFonts w:cstheme="minorHAnsi"/>
          <w:sz w:val="24"/>
          <w:szCs w:val="24"/>
        </w:rPr>
        <w:t xml:space="preserve"> Preliminary Ecological Appraisal (PEA) – 290063-ARP-00-RP-RP-NX-0006</w:t>
      </w:r>
    </w:p>
    <w:p w14:paraId="6D5625A9" w14:textId="77777777" w:rsidR="00B046EC" w:rsidRDefault="00A33603" w:rsidP="000613D4">
      <w:pPr>
        <w:spacing w:before="240"/>
        <w:rPr>
          <w:rFonts w:asciiTheme="minorHAnsi" w:hAnsiTheme="minorHAnsi" w:cstheme="minorHAnsi"/>
        </w:rPr>
      </w:pPr>
      <w:r w:rsidRPr="00113DE7">
        <w:rPr>
          <w:rFonts w:asciiTheme="minorHAnsi" w:hAnsiTheme="minorHAnsi" w:cstheme="minorHAnsi"/>
        </w:rPr>
        <w:t xml:space="preserve">An </w:t>
      </w:r>
      <w:r w:rsidR="000A0ECC">
        <w:rPr>
          <w:rFonts w:asciiTheme="minorHAnsi" w:eastAsia="Times New Roman" w:hAnsiTheme="minorHAnsi" w:cstheme="minorHAnsi"/>
          <w:color w:val="000000"/>
        </w:rPr>
        <w:t>E</w:t>
      </w:r>
      <w:r w:rsidR="000A0ECC" w:rsidRPr="00113DE7">
        <w:rPr>
          <w:rFonts w:asciiTheme="minorHAnsi" w:eastAsia="Times New Roman" w:hAnsiTheme="minorHAnsi" w:cstheme="minorHAnsi"/>
          <w:color w:val="000000"/>
        </w:rPr>
        <w:t xml:space="preserve">xtended </w:t>
      </w:r>
      <w:r w:rsidRPr="00113DE7">
        <w:rPr>
          <w:rFonts w:asciiTheme="minorHAnsi" w:eastAsia="Times New Roman" w:hAnsiTheme="minorHAnsi" w:cstheme="minorHAnsi"/>
          <w:color w:val="000000"/>
        </w:rPr>
        <w:t xml:space="preserve">Phase 1 </w:t>
      </w:r>
      <w:r w:rsidR="000A0ECC">
        <w:rPr>
          <w:rFonts w:asciiTheme="minorHAnsi" w:eastAsia="Times New Roman" w:hAnsiTheme="minorHAnsi" w:cstheme="minorHAnsi"/>
          <w:color w:val="000000"/>
        </w:rPr>
        <w:t>H</w:t>
      </w:r>
      <w:r w:rsidR="000A0ECC" w:rsidRPr="00113DE7">
        <w:rPr>
          <w:rFonts w:asciiTheme="minorHAnsi" w:eastAsia="Times New Roman" w:hAnsiTheme="minorHAnsi" w:cstheme="minorHAnsi"/>
          <w:color w:val="000000"/>
        </w:rPr>
        <w:t xml:space="preserve">abitat </w:t>
      </w:r>
      <w:r w:rsidR="000A0ECC">
        <w:rPr>
          <w:rFonts w:asciiTheme="minorHAnsi" w:eastAsia="Times New Roman" w:hAnsiTheme="minorHAnsi" w:cstheme="minorHAnsi"/>
          <w:color w:val="000000"/>
        </w:rPr>
        <w:t>S</w:t>
      </w:r>
      <w:r w:rsidR="000A0ECC" w:rsidRPr="00113DE7">
        <w:rPr>
          <w:rFonts w:asciiTheme="minorHAnsi" w:eastAsia="Times New Roman" w:hAnsiTheme="minorHAnsi" w:cstheme="minorHAnsi"/>
          <w:color w:val="000000"/>
        </w:rPr>
        <w:t xml:space="preserve">urvey </w:t>
      </w:r>
      <w:r w:rsidRPr="00113DE7">
        <w:rPr>
          <w:rFonts w:asciiTheme="minorHAnsi" w:eastAsia="Times New Roman" w:hAnsiTheme="minorHAnsi" w:cstheme="minorHAnsi"/>
          <w:color w:val="000000"/>
        </w:rPr>
        <w:t xml:space="preserve">was carried out by Arup during </w:t>
      </w:r>
      <w:r w:rsidR="00AF1508">
        <w:rPr>
          <w:rFonts w:asciiTheme="minorHAnsi" w:eastAsia="Times New Roman" w:hAnsiTheme="minorHAnsi" w:cstheme="minorHAnsi"/>
          <w:color w:val="000000"/>
        </w:rPr>
        <w:t>Octo</w:t>
      </w:r>
      <w:r w:rsidRPr="00113DE7">
        <w:rPr>
          <w:rFonts w:asciiTheme="minorHAnsi" w:eastAsia="Times New Roman" w:hAnsiTheme="minorHAnsi" w:cstheme="minorHAnsi"/>
          <w:color w:val="000000"/>
        </w:rPr>
        <w:t xml:space="preserve">ber 2023 to inform the PEA. </w:t>
      </w:r>
      <w:r w:rsidRPr="00113DE7">
        <w:rPr>
          <w:rFonts w:asciiTheme="minorHAnsi" w:hAnsiTheme="minorHAnsi" w:cstheme="minorHAnsi"/>
        </w:rPr>
        <w:t>The habitats on site remained largely unchanged to those identified within the repor</w:t>
      </w:r>
      <w:r w:rsidR="00E13D96">
        <w:rPr>
          <w:rFonts w:asciiTheme="minorHAnsi" w:hAnsiTheme="minorHAnsi" w:cstheme="minorHAnsi"/>
        </w:rPr>
        <w:t>t</w:t>
      </w:r>
      <w:r w:rsidR="000A0ECC">
        <w:rPr>
          <w:rFonts w:asciiTheme="minorHAnsi" w:hAnsiTheme="minorHAnsi" w:cstheme="minorHAnsi"/>
        </w:rPr>
        <w:t>;</w:t>
      </w:r>
      <w:r w:rsidRPr="00113DE7">
        <w:rPr>
          <w:rFonts w:asciiTheme="minorHAnsi" w:hAnsiTheme="minorHAnsi" w:cstheme="minorHAnsi"/>
        </w:rPr>
        <w:t xml:space="preserve"> however, the extent of the sea couch (</w:t>
      </w:r>
      <w:r w:rsidRPr="00113DE7">
        <w:rPr>
          <w:rFonts w:asciiTheme="minorHAnsi" w:hAnsiTheme="minorHAnsi" w:cstheme="minorHAnsi"/>
          <w:i/>
          <w:iCs/>
        </w:rPr>
        <w:t>Elytrigia atherica</w:t>
      </w:r>
      <w:r w:rsidRPr="00113DE7">
        <w:rPr>
          <w:rFonts w:asciiTheme="minorHAnsi" w:hAnsiTheme="minorHAnsi" w:cstheme="minorHAnsi"/>
        </w:rPr>
        <w:t>) community had expanded on the upper marsh.</w:t>
      </w:r>
      <w:r w:rsidR="00D415F2" w:rsidRPr="00113DE7">
        <w:rPr>
          <w:rFonts w:asciiTheme="minorHAnsi" w:hAnsiTheme="minorHAnsi" w:cstheme="minorHAnsi"/>
        </w:rPr>
        <w:t xml:space="preserve"> Habitats recorded on site comprised</w:t>
      </w:r>
      <w:r w:rsidR="00D415F2" w:rsidRPr="00113DE7">
        <w:rPr>
          <w:rStyle w:val="FootnoteReference"/>
          <w:rFonts w:asciiTheme="minorHAnsi" w:hAnsiTheme="minorHAnsi" w:cstheme="minorHAnsi"/>
        </w:rPr>
        <w:footnoteReference w:id="4"/>
      </w:r>
      <w:r w:rsidR="00D415F2" w:rsidRPr="00113DE7">
        <w:rPr>
          <w:rFonts w:asciiTheme="minorHAnsi" w:hAnsiTheme="minorHAnsi" w:cstheme="minorHAnsi"/>
        </w:rPr>
        <w:t xml:space="preserve">: dense scrub, poor semi-improved grassland, tall ruderal, swamp, marginal vegetation, running water, standing water and brackish standing water, intertidal mud/sand with and without brown algal beds (Habitat of Principal Importance, Annex I habitat </w:t>
      </w:r>
      <w:r w:rsidR="00D415F2" w:rsidRPr="00113DE7">
        <w:rPr>
          <w:rFonts w:asciiTheme="minorHAnsi" w:hAnsiTheme="minorHAnsi" w:cstheme="minorHAnsi"/>
          <w:i/>
          <w:iCs/>
        </w:rPr>
        <w:t>1140 Mudflats and sandflats not covered by seawater at low tide</w:t>
      </w:r>
      <w:r w:rsidR="00D415F2" w:rsidRPr="00113DE7">
        <w:rPr>
          <w:rFonts w:asciiTheme="minorHAnsi" w:hAnsiTheme="minorHAnsi" w:cstheme="minorHAnsi"/>
        </w:rPr>
        <w:t xml:space="preserve">), saltmarsh (Habitat of Principal Importance, Annex I habitat corresponding to the </w:t>
      </w:r>
      <w:r w:rsidR="00D415F2" w:rsidRPr="00113DE7">
        <w:rPr>
          <w:rFonts w:asciiTheme="minorHAnsi" w:hAnsiTheme="minorHAnsi" w:cstheme="minorHAnsi"/>
          <w:i/>
          <w:iCs/>
        </w:rPr>
        <w:t xml:space="preserve">1330 Atlantic salt meadows (Glauco-Puccinellietalia </w:t>
      </w:r>
      <w:r w:rsidR="00D415F2" w:rsidRPr="00113DE7">
        <w:rPr>
          <w:rFonts w:asciiTheme="minorHAnsi" w:hAnsiTheme="minorHAnsi" w:cstheme="minorHAnsi"/>
          <w:i/>
          <w:iCs/>
        </w:rPr>
        <w:lastRenderedPageBreak/>
        <w:t>maritimae)</w:t>
      </w:r>
      <w:r w:rsidR="00D415F2" w:rsidRPr="00113DE7">
        <w:rPr>
          <w:rFonts w:asciiTheme="minorHAnsi" w:hAnsiTheme="minorHAnsi" w:cstheme="minorHAnsi"/>
        </w:rPr>
        <w:t>), rocks/boulders above mean high water, coastal grassland, structures and bare ground.</w:t>
      </w:r>
      <w:r w:rsidR="00113DE7">
        <w:rPr>
          <w:rFonts w:asciiTheme="minorHAnsi" w:hAnsiTheme="minorHAnsi" w:cstheme="minorHAnsi"/>
        </w:rPr>
        <w:t xml:space="preserve"> </w:t>
      </w:r>
    </w:p>
    <w:p w14:paraId="715FAB83" w14:textId="1A8DFDAA" w:rsidR="00B046EC" w:rsidRPr="00420168" w:rsidRDefault="00B046EC" w:rsidP="000613D4">
      <w:pPr>
        <w:spacing w:before="240"/>
        <w:rPr>
          <w:rFonts w:asciiTheme="minorHAnsi" w:eastAsiaTheme="minorEastAsia" w:hAnsiTheme="minorHAnsi" w:cstheme="minorHAnsi"/>
          <w:i/>
          <w:iCs/>
          <w:color w:val="005546" w:themeColor="accent1"/>
          <w:lang w:eastAsia="zh-CN"/>
        </w:rPr>
      </w:pPr>
      <w:r w:rsidRPr="00420168">
        <w:rPr>
          <w:rFonts w:asciiTheme="minorHAnsi" w:eastAsiaTheme="minorEastAsia" w:hAnsiTheme="minorHAnsi" w:cstheme="minorHAnsi"/>
          <w:i/>
          <w:iCs/>
          <w:color w:val="005546" w:themeColor="accent1"/>
          <w:lang w:eastAsia="zh-CN"/>
        </w:rPr>
        <w:t>Mudflats and sandflats not covered by seawater at low tide</w:t>
      </w:r>
    </w:p>
    <w:p w14:paraId="4B896122" w14:textId="548086CA" w:rsidR="00B046EC" w:rsidRDefault="00420168" w:rsidP="000613D4">
      <w:pPr>
        <w:spacing w:before="240"/>
        <w:rPr>
          <w:rFonts w:asciiTheme="minorHAnsi" w:hAnsiTheme="minorHAnsi" w:cstheme="minorHAnsi"/>
        </w:rPr>
      </w:pPr>
      <w:r>
        <w:rPr>
          <w:rFonts w:asciiTheme="minorHAnsi" w:hAnsiTheme="minorHAnsi" w:cstheme="minorHAnsi"/>
        </w:rPr>
        <w:t xml:space="preserve">A description of this feature has been comprehensively undertaken within the PEA (section 3.5). </w:t>
      </w:r>
    </w:p>
    <w:p w14:paraId="17289B57" w14:textId="6372A2A5" w:rsidR="00370F97" w:rsidRDefault="00113DE7" w:rsidP="000613D4">
      <w:pPr>
        <w:spacing w:before="240"/>
        <w:rPr>
          <w:rFonts w:asciiTheme="minorHAnsi" w:hAnsiTheme="minorHAnsi" w:cstheme="minorHAnsi"/>
        </w:rPr>
      </w:pPr>
      <w:r>
        <w:rPr>
          <w:rFonts w:asciiTheme="minorHAnsi" w:hAnsiTheme="minorHAnsi" w:cstheme="minorHAnsi"/>
        </w:rPr>
        <w:t xml:space="preserve">A summary of the </w:t>
      </w:r>
      <w:r w:rsidRPr="00113DE7">
        <w:rPr>
          <w:rFonts w:asciiTheme="minorHAnsi" w:hAnsiTheme="minorHAnsi" w:cstheme="minorHAnsi"/>
        </w:rPr>
        <w:t>suitability of the site to support protected and notable species</w:t>
      </w:r>
      <w:r>
        <w:rPr>
          <w:rFonts w:asciiTheme="minorHAnsi" w:hAnsiTheme="minorHAnsi" w:cstheme="minorHAnsi"/>
        </w:rPr>
        <w:t xml:space="preserve"> is outlined in the table below:</w:t>
      </w:r>
    </w:p>
    <w:p w14:paraId="1355587A" w14:textId="77777777" w:rsidR="00370F97" w:rsidRPr="00113DE7" w:rsidRDefault="00370F97" w:rsidP="00A33603">
      <w:pPr>
        <w:rPr>
          <w:rFonts w:asciiTheme="minorHAnsi" w:hAnsiTheme="minorHAnsi" w:cstheme="minorHAnsi"/>
        </w:rPr>
      </w:pPr>
    </w:p>
    <w:p w14:paraId="50E0F28D" w14:textId="38E3673A" w:rsidR="00113DE7" w:rsidRPr="00113DE7" w:rsidRDefault="00113DE7" w:rsidP="00113DE7">
      <w:pPr>
        <w:pStyle w:val="Caption"/>
        <w:keepNext/>
        <w:rPr>
          <w:rFonts w:asciiTheme="majorHAnsi" w:hAnsiTheme="majorHAnsi" w:cstheme="majorHAnsi"/>
          <w:b/>
          <w:bCs/>
          <w:i w:val="0"/>
          <w:iCs w:val="0"/>
        </w:rPr>
      </w:pPr>
      <w:r w:rsidRPr="00113DE7">
        <w:rPr>
          <w:rFonts w:asciiTheme="majorHAnsi" w:hAnsiTheme="majorHAnsi" w:cstheme="majorHAnsi"/>
          <w:b/>
          <w:bCs/>
          <w:i w:val="0"/>
          <w:iCs w:val="0"/>
        </w:rPr>
        <w:t xml:space="preserve">Table </w:t>
      </w:r>
      <w:r w:rsidRPr="00113DE7">
        <w:rPr>
          <w:rFonts w:asciiTheme="majorHAnsi" w:hAnsiTheme="majorHAnsi" w:cstheme="majorHAnsi"/>
          <w:b/>
          <w:bCs/>
          <w:i w:val="0"/>
          <w:iCs w:val="0"/>
        </w:rPr>
        <w:fldChar w:fldCharType="begin"/>
      </w:r>
      <w:r w:rsidRPr="00113DE7">
        <w:rPr>
          <w:rFonts w:asciiTheme="majorHAnsi" w:hAnsiTheme="majorHAnsi" w:cstheme="majorHAnsi"/>
          <w:b/>
          <w:bCs/>
          <w:i w:val="0"/>
          <w:iCs w:val="0"/>
        </w:rPr>
        <w:instrText xml:space="preserve"> SEQ Table \* ARABIC </w:instrText>
      </w:r>
      <w:r w:rsidRPr="00113DE7">
        <w:rPr>
          <w:rFonts w:asciiTheme="majorHAnsi" w:hAnsiTheme="majorHAnsi" w:cstheme="majorHAnsi"/>
          <w:b/>
          <w:bCs/>
          <w:i w:val="0"/>
          <w:iCs w:val="0"/>
        </w:rPr>
        <w:fldChar w:fldCharType="separate"/>
      </w:r>
      <w:r w:rsidR="006358B7">
        <w:rPr>
          <w:rFonts w:asciiTheme="majorHAnsi" w:hAnsiTheme="majorHAnsi" w:cstheme="majorHAnsi"/>
          <w:b/>
          <w:bCs/>
          <w:i w:val="0"/>
          <w:iCs w:val="0"/>
          <w:noProof/>
        </w:rPr>
        <w:t>1</w:t>
      </w:r>
      <w:r w:rsidRPr="00113DE7">
        <w:rPr>
          <w:rFonts w:asciiTheme="majorHAnsi" w:hAnsiTheme="majorHAnsi" w:cstheme="majorHAnsi"/>
          <w:b/>
          <w:bCs/>
          <w:i w:val="0"/>
          <w:iCs w:val="0"/>
        </w:rPr>
        <w:fldChar w:fldCharType="end"/>
      </w:r>
      <w:r w:rsidRPr="00113DE7">
        <w:rPr>
          <w:rFonts w:asciiTheme="majorHAnsi" w:hAnsiTheme="majorHAnsi" w:cstheme="majorHAnsi"/>
          <w:b/>
          <w:bCs/>
          <w:i w:val="0"/>
          <w:iCs w:val="0"/>
        </w:rPr>
        <w:t xml:space="preserve"> Summary of suitability of the </w:t>
      </w:r>
      <w:r w:rsidR="0073295F">
        <w:rPr>
          <w:rFonts w:asciiTheme="majorHAnsi" w:hAnsiTheme="majorHAnsi" w:cstheme="majorHAnsi"/>
          <w:b/>
          <w:bCs/>
          <w:i w:val="0"/>
          <w:iCs w:val="0"/>
        </w:rPr>
        <w:t>installation area</w:t>
      </w:r>
      <w:r w:rsidR="0073295F" w:rsidRPr="00113DE7">
        <w:rPr>
          <w:rFonts w:asciiTheme="majorHAnsi" w:hAnsiTheme="majorHAnsi" w:cstheme="majorHAnsi"/>
          <w:b/>
          <w:bCs/>
          <w:i w:val="0"/>
          <w:iCs w:val="0"/>
        </w:rPr>
        <w:t xml:space="preserve"> </w:t>
      </w:r>
      <w:r w:rsidRPr="00113DE7">
        <w:rPr>
          <w:rFonts w:asciiTheme="majorHAnsi" w:hAnsiTheme="majorHAnsi" w:cstheme="majorHAnsi"/>
          <w:b/>
          <w:bCs/>
          <w:i w:val="0"/>
          <w:iCs w:val="0"/>
        </w:rPr>
        <w:t>to support protected and notable species</w:t>
      </w:r>
      <w:r w:rsidR="00A60B2C">
        <w:rPr>
          <w:rFonts w:asciiTheme="majorHAnsi" w:hAnsiTheme="majorHAnsi" w:cstheme="majorHAnsi"/>
          <w:b/>
          <w:bCs/>
          <w:i w:val="0"/>
          <w:iCs w:val="0"/>
        </w:rPr>
        <w:t xml:space="preserve"> (refer to the PEA for more detailed information)</w:t>
      </w:r>
    </w:p>
    <w:tbl>
      <w:tblPr>
        <w:tblStyle w:val="Table"/>
        <w:tblW w:w="9638" w:type="dxa"/>
        <w:tblLayout w:type="fixed"/>
        <w:tblLook w:val="06A0" w:firstRow="1" w:lastRow="0" w:firstColumn="1" w:lastColumn="0" w:noHBand="1" w:noVBand="1"/>
        <w:tblDescription w:val="{&quot;Ott&quot;:{&quot;FirstRow&quot;:{&quot;BackgroundColor&quot;:{&quot;Key&quot;:&quot;BackgroundColor&quot;},&quot;Font&quot;:{&quot;Name&quot;:&quot;Arial&quot;,&quot;Size&quot;:8.5,&quot;Bold&quot;:true,&quot;Color&quot;:{&quot;Key&quot;:&quot;TableHeading&quot;},&quot;BulletColor&quot;:{&quot;Key&quot;:&quot;TableHeading&quot;}}},&quot;FitRowHeightPp&quot;:true,&quot;ZeroMarginsWord&quot;:true,&quot;BackgroundColor&quot;:{&quot;Key&quot;:&quot;BackgroundColor&quot;},&quot;Font&quot;:{&quot;Name&quot;:&quot;Times New Roman (Headings)&quot;,&quot;Size&quot;:9.0,&quot;Bold&quot;:false,&quot;Italic&quot;:false,&quot;Underline&quot;:false,&quot;Color&quot;:{&quot;Key&quot;:&quot;TableBody&quot;},&quot;BulletColor&quot;:{&quot;Key&quot;:&quot;TableBody&quot;}},&quot;Alignment&quot;:{&quot;Horizontal&quot;:&quot;Left&quot;,&quot;Vertical&quot;:&quot;Top&quot;},&quot;Margin&quot;:{&quot;Left&quot;:5.6692915,&quot;Top&quot;:5.6692915,&quot;Right&quot;:5.6692915,&quot;Bottom&quot;:5.6692915},&quot;Borders&quot;:{&quot;Vertical&quot;:{&quot;Color&quot;:{&quot;Key&quot;:&quot;BorderColor&quot;},&quot;BorderWeight&quot;:&quot;Pt0_5&quot;,&quot;Type&quot;:&quot;Solid&quot;,&quot;Visible&quot;:true},&quot;Horizontal&quot;:{&quot;Color&quot;:{&quot;Key&quot;:&quot;BorderColor&quot;},&quot;BorderWeight&quot;:&quot;Pt0_5&quot;,&quot;Type&quot;:&quot;Solid&quot;,&quot;Visible&quot;:true}}},&quot;Ccs&quot;:{&quot;TableBody&quot;:&quot;Black&quot;,&quot;TableHeading&quot;:&quot;230, 30, 40&quot;,&quot;ColoredTableHeading&quot;:&quot;230, 30, 40&quot;,&quot;BandedGrey&quot;:&quot;233, 233, 233&quot;,&quot;BorderColor&quot;:&quot;44, 44, 45&quot;,&quot;BackgroundColor&quot;:&quot;Transparent&quot;,&quot;HeaderRowText&quot;:&quot;White&quot;},&quot;Cop&quot;:{&quot;FirstRow&quot;:true,&quot;LastRow&quot;:false,&quot;FirstColumn&quot;:true,&quot;LastColumn&quot;:false,&quot;BandedRows&quot;:false,&quot;BandedColumns&quot;:false},&quot;Tw&quot;:481.899963,&quot;Twp&quot;:1.0,&quot;Aaf&quot;:false}"/>
      </w:tblPr>
      <w:tblGrid>
        <w:gridCol w:w="1725"/>
        <w:gridCol w:w="7913"/>
      </w:tblGrid>
      <w:tr w:rsidR="00113DE7" w:rsidRPr="00113DE7" w14:paraId="7D692DB7" w14:textId="77777777" w:rsidTr="006A43A6">
        <w:trPr>
          <w:cnfStyle w:val="100000000000" w:firstRow="1" w:lastRow="0" w:firstColumn="0" w:lastColumn="0" w:oddVBand="0" w:evenVBand="0" w:oddHBand="0" w:evenHBand="0" w:firstRowFirstColumn="0" w:firstRowLastColumn="0" w:lastRowFirstColumn="0" w:lastRowLastColumn="0"/>
        </w:trPr>
        <w:tc>
          <w:tcPr>
            <w:tcW w:w="1725" w:type="dxa"/>
          </w:tcPr>
          <w:p w14:paraId="65CC401E" w14:textId="7F0DF02F" w:rsidR="00370F97" w:rsidRPr="006A43A6" w:rsidRDefault="00113DE7" w:rsidP="006A43A6">
            <w:pPr>
              <w:spacing w:before="113" w:after="113"/>
              <w:ind w:left="113" w:right="113"/>
              <w:rPr>
                <w:rFonts w:asciiTheme="minorHAnsi" w:hAnsiTheme="minorHAnsi" w:cstheme="minorHAnsi"/>
                <w:bCs/>
                <w:color w:val="E61E28"/>
                <w:sz w:val="18"/>
                <w:szCs w:val="18"/>
              </w:rPr>
            </w:pPr>
            <w:r w:rsidRPr="006A43A6">
              <w:rPr>
                <w:rFonts w:asciiTheme="minorHAnsi" w:hAnsiTheme="minorHAnsi" w:cstheme="minorHAnsi"/>
                <w:bCs/>
                <w:color w:val="FFFFFF" w:themeColor="background1"/>
                <w:sz w:val="18"/>
                <w:szCs w:val="18"/>
              </w:rPr>
              <w:t>Species/Taxon</w:t>
            </w:r>
          </w:p>
        </w:tc>
        <w:tc>
          <w:tcPr>
            <w:tcW w:w="7913" w:type="dxa"/>
          </w:tcPr>
          <w:p w14:paraId="67C4A134" w14:textId="64B4008C" w:rsidR="00370F97" w:rsidRPr="006A43A6" w:rsidRDefault="00113DE7" w:rsidP="00370F97">
            <w:pPr>
              <w:spacing w:before="113" w:after="113"/>
              <w:ind w:left="113" w:right="113"/>
              <w:rPr>
                <w:rFonts w:asciiTheme="minorHAnsi" w:hAnsiTheme="minorHAnsi" w:cstheme="minorHAnsi"/>
                <w:b w:val="0"/>
                <w:color w:val="E61E28"/>
                <w:sz w:val="18"/>
                <w:szCs w:val="18"/>
              </w:rPr>
            </w:pPr>
            <w:r w:rsidRPr="006A43A6">
              <w:rPr>
                <w:rFonts w:asciiTheme="minorHAnsi" w:hAnsiTheme="minorHAnsi" w:cstheme="minorHAnsi"/>
                <w:bCs/>
                <w:color w:val="FFFFFF" w:themeColor="background1"/>
                <w:sz w:val="18"/>
                <w:szCs w:val="18"/>
              </w:rPr>
              <w:t>Summary of findings</w:t>
            </w:r>
          </w:p>
        </w:tc>
      </w:tr>
      <w:tr w:rsidR="00370F97" w:rsidRPr="00113DE7" w14:paraId="0C6DDC71" w14:textId="77777777" w:rsidTr="006A43A6">
        <w:tc>
          <w:tcPr>
            <w:tcW w:w="1725" w:type="dxa"/>
          </w:tcPr>
          <w:p w14:paraId="470BBFEA" w14:textId="02DD75C0" w:rsidR="00370F97" w:rsidRPr="006A43A6" w:rsidRDefault="00370F97" w:rsidP="00370F97">
            <w:pPr>
              <w:spacing w:before="113" w:after="113"/>
              <w:ind w:left="113" w:right="113"/>
              <w:rPr>
                <w:rFonts w:asciiTheme="minorHAnsi" w:hAnsiTheme="minorHAnsi" w:cstheme="minorHAnsi"/>
                <w:b/>
                <w:bCs/>
                <w:color w:val="000000"/>
                <w:sz w:val="16"/>
                <w:szCs w:val="16"/>
              </w:rPr>
            </w:pPr>
            <w:r w:rsidRPr="006A43A6">
              <w:rPr>
                <w:rFonts w:asciiTheme="minorHAnsi" w:hAnsiTheme="minorHAnsi" w:cstheme="minorHAnsi"/>
                <w:b/>
                <w:bCs/>
                <w:sz w:val="16"/>
                <w:szCs w:val="16"/>
              </w:rPr>
              <w:t>Birds</w:t>
            </w:r>
          </w:p>
        </w:tc>
        <w:tc>
          <w:tcPr>
            <w:tcW w:w="7913" w:type="dxa"/>
          </w:tcPr>
          <w:p w14:paraId="28CE465B" w14:textId="12971630" w:rsidR="00370F97" w:rsidRPr="006A43A6" w:rsidRDefault="00370F97" w:rsidP="00370F97">
            <w:pPr>
              <w:spacing w:before="113" w:after="113"/>
              <w:ind w:left="113" w:right="113"/>
              <w:rPr>
                <w:rFonts w:asciiTheme="minorHAnsi" w:hAnsiTheme="minorHAnsi" w:cstheme="minorHAnsi"/>
                <w:color w:val="000000"/>
                <w:sz w:val="16"/>
                <w:szCs w:val="16"/>
              </w:rPr>
            </w:pPr>
            <w:r w:rsidRPr="006A43A6">
              <w:rPr>
                <w:rFonts w:asciiTheme="minorHAnsi" w:hAnsiTheme="minorHAnsi" w:cstheme="minorHAnsi"/>
                <w:sz w:val="16"/>
                <w:szCs w:val="16"/>
              </w:rPr>
              <w:t xml:space="preserve">The site is suitable for a wide range of bird species; providing good foraging </w:t>
            </w:r>
            <w:r w:rsidR="00640D5E">
              <w:rPr>
                <w:rFonts w:asciiTheme="minorHAnsi" w:hAnsiTheme="minorHAnsi" w:cstheme="minorHAnsi"/>
                <w:sz w:val="16"/>
                <w:szCs w:val="16"/>
              </w:rPr>
              <w:t xml:space="preserve">and overwintering </w:t>
            </w:r>
            <w:r w:rsidRPr="006A43A6">
              <w:rPr>
                <w:rFonts w:asciiTheme="minorHAnsi" w:hAnsiTheme="minorHAnsi" w:cstheme="minorHAnsi"/>
                <w:sz w:val="16"/>
                <w:szCs w:val="16"/>
              </w:rPr>
              <w:t>habitat for birds. Birds may breed in the upper marsh area, however, there is no suitable habitat for breeding lesser black-backed gull on or adjacent to the site</w:t>
            </w:r>
            <w:r w:rsidRPr="006A43A6">
              <w:rPr>
                <w:rFonts w:asciiTheme="minorHAnsi" w:hAnsiTheme="minorHAnsi" w:cstheme="minorHAnsi"/>
                <w:sz w:val="16"/>
                <w:szCs w:val="16"/>
                <w:vertAlign w:val="superscript"/>
              </w:rPr>
              <w:footnoteReference w:id="5"/>
            </w:r>
            <w:r w:rsidRPr="006A43A6">
              <w:rPr>
                <w:rFonts w:asciiTheme="minorHAnsi" w:hAnsiTheme="minorHAnsi" w:cstheme="minorHAnsi"/>
                <w:sz w:val="16"/>
                <w:szCs w:val="16"/>
              </w:rPr>
              <w:t>.</w:t>
            </w:r>
          </w:p>
        </w:tc>
      </w:tr>
      <w:tr w:rsidR="00370F97" w:rsidRPr="00113DE7" w14:paraId="5AE00AF5" w14:textId="77777777" w:rsidTr="006A43A6">
        <w:tc>
          <w:tcPr>
            <w:tcW w:w="1725" w:type="dxa"/>
          </w:tcPr>
          <w:p w14:paraId="6DAE842F" w14:textId="73C111C7" w:rsidR="00370F97" w:rsidRPr="006A43A6" w:rsidRDefault="00370F97" w:rsidP="00370F97">
            <w:pPr>
              <w:spacing w:before="113" w:after="113"/>
              <w:ind w:left="113" w:right="113"/>
              <w:rPr>
                <w:rFonts w:asciiTheme="minorHAnsi" w:hAnsiTheme="minorHAnsi" w:cstheme="minorHAnsi"/>
                <w:b/>
                <w:bCs/>
                <w:color w:val="000000"/>
                <w:sz w:val="16"/>
                <w:szCs w:val="16"/>
              </w:rPr>
            </w:pPr>
            <w:r w:rsidRPr="006A43A6">
              <w:rPr>
                <w:rFonts w:asciiTheme="minorHAnsi" w:hAnsiTheme="minorHAnsi" w:cstheme="minorHAnsi"/>
                <w:b/>
                <w:bCs/>
                <w:sz w:val="16"/>
                <w:szCs w:val="16"/>
              </w:rPr>
              <w:t>Bats</w:t>
            </w:r>
          </w:p>
        </w:tc>
        <w:tc>
          <w:tcPr>
            <w:tcW w:w="7913" w:type="dxa"/>
          </w:tcPr>
          <w:p w14:paraId="5B11F48F" w14:textId="16454E37" w:rsidR="00370F97" w:rsidRPr="006A43A6" w:rsidRDefault="00370F97" w:rsidP="00370F97">
            <w:pPr>
              <w:spacing w:before="113" w:after="113"/>
              <w:ind w:left="113" w:right="113"/>
              <w:rPr>
                <w:rFonts w:asciiTheme="minorHAnsi" w:hAnsiTheme="minorHAnsi" w:cstheme="minorHAnsi"/>
                <w:color w:val="000000"/>
                <w:sz w:val="16"/>
                <w:szCs w:val="16"/>
              </w:rPr>
            </w:pPr>
            <w:r w:rsidRPr="006A43A6">
              <w:rPr>
                <w:rFonts w:asciiTheme="minorHAnsi" w:hAnsiTheme="minorHAnsi" w:cstheme="minorHAnsi"/>
                <w:sz w:val="16"/>
                <w:szCs w:val="16"/>
              </w:rPr>
              <w:t>The site is considered highly suitable for foraging and commuting bats</w:t>
            </w:r>
            <w:r w:rsidRPr="006A43A6">
              <w:rPr>
                <w:rFonts w:asciiTheme="minorHAnsi" w:hAnsiTheme="minorHAnsi" w:cstheme="minorHAnsi"/>
                <w:sz w:val="16"/>
                <w:szCs w:val="16"/>
                <w:vertAlign w:val="superscript"/>
              </w:rPr>
              <w:footnoteReference w:id="6"/>
            </w:r>
            <w:r w:rsidRPr="006A43A6">
              <w:rPr>
                <w:rFonts w:asciiTheme="minorHAnsi" w:hAnsiTheme="minorHAnsi" w:cstheme="minorHAnsi"/>
                <w:sz w:val="16"/>
                <w:szCs w:val="16"/>
              </w:rPr>
              <w:t>, however, there are no suitable trees or structures on site with roosting potential</w:t>
            </w:r>
            <w:r w:rsidRPr="006A43A6">
              <w:rPr>
                <w:rFonts w:asciiTheme="minorHAnsi" w:hAnsiTheme="minorHAnsi" w:cstheme="minorHAnsi"/>
                <w:color w:val="000000"/>
                <w:sz w:val="16"/>
                <w:szCs w:val="16"/>
              </w:rPr>
              <w:t>.</w:t>
            </w:r>
          </w:p>
        </w:tc>
      </w:tr>
      <w:tr w:rsidR="00370F97" w:rsidRPr="00113DE7" w14:paraId="3842FAE6" w14:textId="77777777" w:rsidTr="006A43A6">
        <w:tc>
          <w:tcPr>
            <w:tcW w:w="1725" w:type="dxa"/>
          </w:tcPr>
          <w:p w14:paraId="60114041" w14:textId="47F237F1" w:rsidR="00370F97" w:rsidRPr="006A43A6" w:rsidRDefault="00370F97" w:rsidP="00370F97">
            <w:pPr>
              <w:spacing w:before="113" w:after="113"/>
              <w:ind w:left="113" w:right="113"/>
              <w:rPr>
                <w:rFonts w:asciiTheme="minorHAnsi" w:hAnsiTheme="minorHAnsi" w:cstheme="minorHAnsi"/>
                <w:b/>
                <w:bCs/>
                <w:color w:val="000000"/>
                <w:sz w:val="16"/>
                <w:szCs w:val="16"/>
              </w:rPr>
            </w:pPr>
            <w:r w:rsidRPr="006A43A6">
              <w:rPr>
                <w:rFonts w:asciiTheme="minorHAnsi" w:hAnsiTheme="minorHAnsi" w:cstheme="minorHAnsi"/>
                <w:b/>
                <w:bCs/>
                <w:sz w:val="16"/>
                <w:szCs w:val="16"/>
              </w:rPr>
              <w:t>Riparian mammals</w:t>
            </w:r>
          </w:p>
        </w:tc>
        <w:tc>
          <w:tcPr>
            <w:tcW w:w="7913" w:type="dxa"/>
          </w:tcPr>
          <w:p w14:paraId="10DAE2FF" w14:textId="4BDBBF6D" w:rsidR="00370F97" w:rsidRPr="006A43A6" w:rsidRDefault="00370F97" w:rsidP="00370F97">
            <w:pPr>
              <w:spacing w:before="113" w:after="113"/>
              <w:ind w:left="113" w:right="113"/>
              <w:rPr>
                <w:rFonts w:asciiTheme="minorHAnsi" w:hAnsiTheme="minorHAnsi" w:cstheme="minorHAnsi"/>
                <w:color w:val="000000"/>
                <w:sz w:val="16"/>
                <w:szCs w:val="16"/>
              </w:rPr>
            </w:pPr>
            <w:r w:rsidRPr="006A43A6">
              <w:rPr>
                <w:rFonts w:asciiTheme="minorHAnsi" w:hAnsiTheme="minorHAnsi" w:cstheme="minorHAnsi"/>
                <w:sz w:val="16"/>
                <w:szCs w:val="16"/>
              </w:rPr>
              <w:t>There is suitable habitat for foraging and commuting otter on site and the rock armour may provide suitable habitat for otter resting sites. There is no suitable habitat for water vole on site, however, the reen network hold</w:t>
            </w:r>
            <w:r w:rsidR="00113DE7" w:rsidRPr="006A43A6">
              <w:rPr>
                <w:rFonts w:asciiTheme="minorHAnsi" w:hAnsiTheme="minorHAnsi" w:cstheme="minorHAnsi"/>
                <w:sz w:val="16"/>
                <w:szCs w:val="16"/>
              </w:rPr>
              <w:t>s</w:t>
            </w:r>
            <w:r w:rsidRPr="006A43A6">
              <w:rPr>
                <w:rFonts w:asciiTheme="minorHAnsi" w:hAnsiTheme="minorHAnsi" w:cstheme="minorHAnsi"/>
                <w:sz w:val="16"/>
                <w:szCs w:val="16"/>
              </w:rPr>
              <w:t xml:space="preserve"> suitable habitat for foraging and breeding water vole.</w:t>
            </w:r>
          </w:p>
        </w:tc>
      </w:tr>
      <w:tr w:rsidR="00370F97" w:rsidRPr="00113DE7" w14:paraId="74EF6F60" w14:textId="77777777" w:rsidTr="006A43A6">
        <w:tc>
          <w:tcPr>
            <w:tcW w:w="1725" w:type="dxa"/>
          </w:tcPr>
          <w:p w14:paraId="7CA00E1C" w14:textId="3197692F" w:rsidR="00370F97" w:rsidRPr="006A43A6" w:rsidRDefault="00370F97" w:rsidP="00370F97">
            <w:pPr>
              <w:spacing w:before="113" w:after="113"/>
              <w:ind w:left="113" w:right="113"/>
              <w:rPr>
                <w:rFonts w:asciiTheme="minorHAnsi" w:hAnsiTheme="minorHAnsi" w:cstheme="minorHAnsi"/>
                <w:b/>
                <w:bCs/>
                <w:color w:val="000000"/>
                <w:sz w:val="16"/>
                <w:szCs w:val="16"/>
              </w:rPr>
            </w:pPr>
            <w:r w:rsidRPr="006A43A6">
              <w:rPr>
                <w:rFonts w:asciiTheme="minorHAnsi" w:hAnsiTheme="minorHAnsi" w:cstheme="minorHAnsi"/>
                <w:b/>
                <w:bCs/>
                <w:sz w:val="16"/>
                <w:szCs w:val="16"/>
              </w:rPr>
              <w:t xml:space="preserve">Badgers, dormice and other </w:t>
            </w:r>
            <w:r w:rsidR="00113DE7" w:rsidRPr="006A43A6">
              <w:rPr>
                <w:rFonts w:asciiTheme="minorHAnsi" w:hAnsiTheme="minorHAnsi" w:cstheme="minorHAnsi"/>
                <w:b/>
                <w:bCs/>
                <w:sz w:val="16"/>
                <w:szCs w:val="16"/>
              </w:rPr>
              <w:t>m</w:t>
            </w:r>
            <w:r w:rsidRPr="006A43A6">
              <w:rPr>
                <w:rFonts w:asciiTheme="minorHAnsi" w:hAnsiTheme="minorHAnsi" w:cstheme="minorHAnsi"/>
                <w:b/>
                <w:bCs/>
                <w:sz w:val="16"/>
                <w:szCs w:val="16"/>
              </w:rPr>
              <w:t>ammals</w:t>
            </w:r>
          </w:p>
        </w:tc>
        <w:tc>
          <w:tcPr>
            <w:tcW w:w="7913" w:type="dxa"/>
          </w:tcPr>
          <w:p w14:paraId="234A5018" w14:textId="337FD2AD" w:rsidR="00370F97" w:rsidRPr="006A43A6" w:rsidRDefault="00370F97" w:rsidP="00113DE7">
            <w:pPr>
              <w:spacing w:before="113" w:after="113"/>
              <w:ind w:left="113" w:right="113"/>
              <w:rPr>
                <w:rFonts w:asciiTheme="minorHAnsi" w:hAnsiTheme="minorHAnsi" w:cstheme="minorHAnsi"/>
                <w:color w:val="000000"/>
                <w:sz w:val="16"/>
                <w:szCs w:val="16"/>
              </w:rPr>
            </w:pPr>
            <w:r w:rsidRPr="006A43A6">
              <w:rPr>
                <w:rFonts w:asciiTheme="minorHAnsi" w:hAnsiTheme="minorHAnsi" w:cstheme="minorHAnsi"/>
                <w:sz w:val="16"/>
                <w:szCs w:val="16"/>
              </w:rPr>
              <w:t xml:space="preserve">There is suitable habitat for foraging badger on site, with limited habitat suitable for sett creation; suitable habitat for dormice </w:t>
            </w:r>
            <w:r w:rsidR="00D415F2" w:rsidRPr="006A43A6">
              <w:rPr>
                <w:rFonts w:asciiTheme="minorHAnsi" w:hAnsiTheme="minorHAnsi" w:cstheme="minorHAnsi"/>
                <w:sz w:val="16"/>
                <w:szCs w:val="16"/>
              </w:rPr>
              <w:t xml:space="preserve">and other small mammals is present </w:t>
            </w:r>
            <w:r w:rsidRPr="006A43A6">
              <w:rPr>
                <w:rFonts w:asciiTheme="minorHAnsi" w:hAnsiTheme="minorHAnsi" w:cstheme="minorHAnsi"/>
                <w:sz w:val="16"/>
                <w:szCs w:val="16"/>
              </w:rPr>
              <w:t>in the scrub hedgerows adjacent to the site</w:t>
            </w:r>
            <w:r w:rsidR="00D415F2" w:rsidRPr="006A43A6">
              <w:rPr>
                <w:rFonts w:asciiTheme="minorHAnsi" w:hAnsiTheme="minorHAnsi" w:cstheme="minorHAnsi"/>
                <w:sz w:val="16"/>
                <w:szCs w:val="16"/>
              </w:rPr>
              <w:t>.</w:t>
            </w:r>
            <w:r w:rsidR="00113DE7" w:rsidRPr="006A43A6">
              <w:rPr>
                <w:rFonts w:asciiTheme="minorHAnsi" w:hAnsiTheme="minorHAnsi" w:cstheme="minorHAnsi"/>
                <w:sz w:val="16"/>
                <w:szCs w:val="16"/>
              </w:rPr>
              <w:t xml:space="preserve"> </w:t>
            </w:r>
            <w:r w:rsidRPr="006A43A6">
              <w:rPr>
                <w:rFonts w:asciiTheme="minorHAnsi" w:hAnsiTheme="minorHAnsi" w:cstheme="minorHAnsi"/>
                <w:sz w:val="16"/>
                <w:szCs w:val="16"/>
              </w:rPr>
              <w:t>Porpoise and other marine mammals are present within the Severn Estuary.</w:t>
            </w:r>
          </w:p>
        </w:tc>
      </w:tr>
      <w:tr w:rsidR="00370F97" w:rsidRPr="00113DE7" w14:paraId="406D0C3A" w14:textId="77777777" w:rsidTr="006A43A6">
        <w:tc>
          <w:tcPr>
            <w:tcW w:w="1725" w:type="dxa"/>
          </w:tcPr>
          <w:p w14:paraId="20909ABB" w14:textId="4F930326" w:rsidR="00370F97" w:rsidRPr="006A43A6" w:rsidRDefault="00370F97" w:rsidP="00370F97">
            <w:pPr>
              <w:spacing w:before="113" w:after="113"/>
              <w:ind w:left="113" w:right="113"/>
              <w:rPr>
                <w:rFonts w:asciiTheme="minorHAnsi" w:hAnsiTheme="minorHAnsi" w:cstheme="minorHAnsi"/>
                <w:b/>
                <w:bCs/>
                <w:color w:val="000000"/>
                <w:sz w:val="16"/>
                <w:szCs w:val="16"/>
              </w:rPr>
            </w:pPr>
            <w:r w:rsidRPr="006A43A6">
              <w:rPr>
                <w:rFonts w:asciiTheme="minorHAnsi" w:hAnsiTheme="minorHAnsi" w:cstheme="minorHAnsi"/>
                <w:b/>
                <w:bCs/>
                <w:sz w:val="16"/>
                <w:szCs w:val="16"/>
              </w:rPr>
              <w:t>Reptiles and amphibians</w:t>
            </w:r>
          </w:p>
        </w:tc>
        <w:tc>
          <w:tcPr>
            <w:tcW w:w="7913" w:type="dxa"/>
          </w:tcPr>
          <w:p w14:paraId="668CBE4A" w14:textId="49DE2EDC" w:rsidR="00370F97" w:rsidRPr="006A43A6" w:rsidRDefault="00D415F2" w:rsidP="00370F97">
            <w:pPr>
              <w:spacing w:before="113" w:after="113"/>
              <w:ind w:left="113" w:right="113"/>
              <w:rPr>
                <w:rFonts w:asciiTheme="minorHAnsi" w:hAnsiTheme="minorHAnsi" w:cstheme="minorHAnsi"/>
                <w:color w:val="000000"/>
                <w:sz w:val="16"/>
                <w:szCs w:val="16"/>
              </w:rPr>
            </w:pPr>
            <w:r w:rsidRPr="006A43A6">
              <w:rPr>
                <w:rFonts w:asciiTheme="minorHAnsi" w:hAnsiTheme="minorHAnsi" w:cstheme="minorHAnsi"/>
                <w:sz w:val="16"/>
                <w:szCs w:val="16"/>
              </w:rPr>
              <w:t>The intertidal habitats</w:t>
            </w:r>
            <w:r w:rsidRPr="006A43A6">
              <w:rPr>
                <w:rFonts w:asciiTheme="minorHAnsi" w:hAnsiTheme="minorHAnsi" w:cstheme="minorHAnsi"/>
                <w:color w:val="000000"/>
                <w:sz w:val="16"/>
                <w:szCs w:val="16"/>
              </w:rPr>
              <w:t xml:space="preserve"> </w:t>
            </w:r>
            <w:r w:rsidRPr="006A43A6">
              <w:rPr>
                <w:rFonts w:asciiTheme="minorHAnsi" w:hAnsiTheme="minorHAnsi" w:cstheme="minorHAnsi"/>
                <w:sz w:val="16"/>
                <w:szCs w:val="16"/>
              </w:rPr>
              <w:t>on site are considered unsuitable for amphibians,</w:t>
            </w:r>
            <w:r w:rsidR="00761095" w:rsidRPr="006A43A6">
              <w:rPr>
                <w:rFonts w:asciiTheme="minorHAnsi" w:hAnsiTheme="minorHAnsi" w:cstheme="minorHAnsi"/>
                <w:sz w:val="16"/>
                <w:szCs w:val="16"/>
              </w:rPr>
              <w:t xml:space="preserve"> however, there is suitable habitat on site to support basking reptiles, with hibernacula potentially present in scrub along access routes.</w:t>
            </w:r>
          </w:p>
        </w:tc>
      </w:tr>
      <w:tr w:rsidR="00370F97" w:rsidRPr="00113DE7" w14:paraId="72177F68" w14:textId="77777777" w:rsidTr="006A43A6">
        <w:tc>
          <w:tcPr>
            <w:tcW w:w="1725" w:type="dxa"/>
          </w:tcPr>
          <w:p w14:paraId="327AE3C3" w14:textId="3051B0D3" w:rsidR="00370F97" w:rsidRPr="006A43A6" w:rsidRDefault="00370F97" w:rsidP="00370F97">
            <w:pPr>
              <w:spacing w:before="113" w:after="113"/>
              <w:ind w:left="113" w:right="113"/>
              <w:rPr>
                <w:rFonts w:asciiTheme="minorHAnsi" w:hAnsiTheme="minorHAnsi" w:cstheme="minorHAnsi"/>
                <w:b/>
                <w:bCs/>
                <w:color w:val="000000"/>
                <w:sz w:val="16"/>
                <w:szCs w:val="16"/>
              </w:rPr>
            </w:pPr>
            <w:r w:rsidRPr="006A43A6">
              <w:rPr>
                <w:rFonts w:asciiTheme="minorHAnsi" w:hAnsiTheme="minorHAnsi" w:cstheme="minorHAnsi"/>
                <w:b/>
                <w:bCs/>
                <w:sz w:val="16"/>
                <w:szCs w:val="16"/>
              </w:rPr>
              <w:t>Fish</w:t>
            </w:r>
          </w:p>
        </w:tc>
        <w:tc>
          <w:tcPr>
            <w:tcW w:w="7913" w:type="dxa"/>
          </w:tcPr>
          <w:p w14:paraId="2F808FC0" w14:textId="312AE3A7" w:rsidR="00370F97" w:rsidRPr="006A43A6" w:rsidRDefault="00761095" w:rsidP="006A43A6">
            <w:pPr>
              <w:spacing w:before="113" w:after="113"/>
              <w:ind w:left="113" w:right="113"/>
              <w:rPr>
                <w:rFonts w:asciiTheme="minorHAnsi" w:hAnsiTheme="minorHAnsi" w:cstheme="minorHAnsi"/>
                <w:color w:val="000000"/>
                <w:sz w:val="16"/>
                <w:szCs w:val="16"/>
              </w:rPr>
            </w:pPr>
            <w:r w:rsidRPr="006A43A6">
              <w:rPr>
                <w:rFonts w:asciiTheme="minorHAnsi" w:hAnsiTheme="minorHAnsi" w:cstheme="minorHAnsi"/>
                <w:sz w:val="16"/>
                <w:szCs w:val="16"/>
              </w:rPr>
              <w:t>The site is suitable to support a range of marine and intertidal species</w:t>
            </w:r>
            <w:r w:rsidR="00113DE7" w:rsidRPr="006A43A6">
              <w:rPr>
                <w:rFonts w:asciiTheme="minorHAnsi" w:hAnsiTheme="minorHAnsi" w:cstheme="minorHAnsi"/>
                <w:sz w:val="16"/>
                <w:szCs w:val="16"/>
              </w:rPr>
              <w:t>, including migratory fish associated with the Severn Estuary designations</w:t>
            </w:r>
            <w:r w:rsidRPr="006A43A6">
              <w:rPr>
                <w:rFonts w:asciiTheme="minorHAnsi" w:hAnsiTheme="minorHAnsi" w:cstheme="minorHAnsi"/>
                <w:sz w:val="16"/>
                <w:szCs w:val="16"/>
              </w:rPr>
              <w:t>. The reen networks may provide optimal habitat for eel and lamprey species.</w:t>
            </w:r>
            <w:r w:rsidRPr="006A43A6">
              <w:rPr>
                <w:rFonts w:asciiTheme="minorHAnsi" w:hAnsiTheme="minorHAnsi" w:cstheme="minorHAnsi"/>
                <w:color w:val="000000"/>
                <w:sz w:val="16"/>
                <w:szCs w:val="16"/>
              </w:rPr>
              <w:t xml:space="preserve"> </w:t>
            </w:r>
          </w:p>
        </w:tc>
      </w:tr>
      <w:tr w:rsidR="00370F97" w:rsidRPr="00113DE7" w14:paraId="15539C63" w14:textId="77777777" w:rsidTr="006A43A6">
        <w:tc>
          <w:tcPr>
            <w:tcW w:w="1725" w:type="dxa"/>
          </w:tcPr>
          <w:p w14:paraId="0A7F9DA3" w14:textId="493ADD98" w:rsidR="00370F97" w:rsidRPr="006A43A6" w:rsidRDefault="00370F97" w:rsidP="00640D5E">
            <w:pPr>
              <w:spacing w:before="113" w:after="113"/>
              <w:ind w:left="113" w:right="113"/>
              <w:rPr>
                <w:rFonts w:asciiTheme="minorHAnsi" w:hAnsiTheme="minorHAnsi" w:cstheme="minorHAnsi"/>
                <w:b/>
                <w:bCs/>
                <w:color w:val="000000"/>
                <w:sz w:val="16"/>
                <w:szCs w:val="16"/>
              </w:rPr>
            </w:pPr>
            <w:r w:rsidRPr="006A43A6">
              <w:rPr>
                <w:rFonts w:asciiTheme="minorHAnsi" w:hAnsiTheme="minorHAnsi" w:cstheme="minorHAnsi"/>
                <w:b/>
                <w:bCs/>
                <w:sz w:val="16"/>
                <w:szCs w:val="16"/>
              </w:rPr>
              <w:t>Vascular plants</w:t>
            </w:r>
            <w:r w:rsidR="00113DE7" w:rsidRPr="006A43A6">
              <w:rPr>
                <w:rFonts w:asciiTheme="minorHAnsi" w:hAnsiTheme="minorHAnsi" w:cstheme="minorHAnsi"/>
                <w:b/>
                <w:bCs/>
                <w:sz w:val="16"/>
                <w:szCs w:val="16"/>
              </w:rPr>
              <w:t>, fun</w:t>
            </w:r>
            <w:r w:rsidRPr="006A43A6">
              <w:rPr>
                <w:rFonts w:asciiTheme="minorHAnsi" w:hAnsiTheme="minorHAnsi" w:cstheme="minorHAnsi"/>
                <w:b/>
                <w:bCs/>
                <w:sz w:val="16"/>
                <w:szCs w:val="16"/>
              </w:rPr>
              <w:t>gi</w:t>
            </w:r>
            <w:r w:rsidR="00113DE7" w:rsidRPr="006A43A6">
              <w:rPr>
                <w:rFonts w:asciiTheme="minorHAnsi" w:hAnsiTheme="minorHAnsi" w:cstheme="minorHAnsi"/>
                <w:b/>
                <w:bCs/>
                <w:sz w:val="16"/>
                <w:szCs w:val="16"/>
              </w:rPr>
              <w:t>,</w:t>
            </w:r>
            <w:r w:rsidRPr="006A43A6">
              <w:rPr>
                <w:rFonts w:asciiTheme="minorHAnsi" w:hAnsiTheme="minorHAnsi" w:cstheme="minorHAnsi"/>
                <w:b/>
                <w:bCs/>
                <w:sz w:val="16"/>
                <w:szCs w:val="16"/>
              </w:rPr>
              <w:t xml:space="preserve"> bryophytes and invertebrates</w:t>
            </w:r>
          </w:p>
        </w:tc>
        <w:tc>
          <w:tcPr>
            <w:tcW w:w="7913" w:type="dxa"/>
          </w:tcPr>
          <w:p w14:paraId="5CCF3C92" w14:textId="572F942A" w:rsidR="00370F97" w:rsidRPr="006A43A6" w:rsidRDefault="00370F97" w:rsidP="00370F97">
            <w:pPr>
              <w:spacing w:before="113" w:after="113"/>
              <w:ind w:left="113" w:right="113"/>
              <w:rPr>
                <w:rFonts w:asciiTheme="minorHAnsi" w:hAnsiTheme="minorHAnsi" w:cstheme="minorHAnsi"/>
                <w:color w:val="000000"/>
                <w:sz w:val="16"/>
                <w:szCs w:val="16"/>
              </w:rPr>
            </w:pPr>
            <w:r w:rsidRPr="006A43A6">
              <w:rPr>
                <w:rFonts w:asciiTheme="minorHAnsi" w:hAnsiTheme="minorHAnsi" w:cstheme="minorHAnsi"/>
                <w:sz w:val="16"/>
                <w:szCs w:val="16"/>
              </w:rPr>
              <w:t>The grassland and saltmarsh habitats may provide suitable habitat for notable vascular plant, bryophytes, fungi and invertebrate species. Notable species includ</w:t>
            </w:r>
            <w:r w:rsidR="00615153">
              <w:rPr>
                <w:rFonts w:asciiTheme="minorHAnsi" w:hAnsiTheme="minorHAnsi" w:cstheme="minorHAnsi"/>
                <w:sz w:val="16"/>
                <w:szCs w:val="16"/>
              </w:rPr>
              <w:t>e</w:t>
            </w:r>
            <w:r w:rsidR="006E61DE">
              <w:rPr>
                <w:rFonts w:asciiTheme="minorHAnsi" w:hAnsiTheme="minorHAnsi" w:cstheme="minorHAnsi"/>
                <w:sz w:val="16"/>
                <w:szCs w:val="16"/>
              </w:rPr>
              <w:t xml:space="preserve"> </w:t>
            </w:r>
            <w:r w:rsidRPr="006A43A6">
              <w:rPr>
                <w:rFonts w:asciiTheme="minorHAnsi" w:hAnsiTheme="minorHAnsi" w:cstheme="minorHAnsi"/>
                <w:sz w:val="16"/>
                <w:szCs w:val="16"/>
              </w:rPr>
              <w:t xml:space="preserve">sea barley </w:t>
            </w:r>
            <w:r w:rsidR="007768CF" w:rsidRPr="004C70EF">
              <w:rPr>
                <w:rFonts w:asciiTheme="minorHAnsi" w:hAnsiTheme="minorHAnsi" w:cstheme="minorHAnsi"/>
                <w:i/>
                <w:iCs/>
                <w:sz w:val="16"/>
                <w:szCs w:val="16"/>
              </w:rPr>
              <w:t>Hordeum marinum</w:t>
            </w:r>
            <w:r w:rsidR="007768CF">
              <w:rPr>
                <w:rFonts w:asciiTheme="minorHAnsi" w:hAnsiTheme="minorHAnsi" w:cstheme="minorHAnsi"/>
                <w:sz w:val="16"/>
                <w:szCs w:val="16"/>
              </w:rPr>
              <w:t xml:space="preserve"> recorded during the Phase 1 field survey</w:t>
            </w:r>
            <w:r w:rsidR="00F420B3">
              <w:rPr>
                <w:rFonts w:asciiTheme="minorHAnsi" w:hAnsiTheme="minorHAnsi" w:cstheme="minorHAnsi"/>
                <w:sz w:val="16"/>
                <w:szCs w:val="16"/>
              </w:rPr>
              <w:t>,</w:t>
            </w:r>
            <w:r w:rsidRPr="006A43A6">
              <w:rPr>
                <w:rFonts w:asciiTheme="minorHAnsi" w:hAnsiTheme="minorHAnsi" w:cstheme="minorHAnsi"/>
                <w:sz w:val="16"/>
                <w:szCs w:val="16"/>
              </w:rPr>
              <w:t xml:space="preserve"> </w:t>
            </w:r>
            <w:r w:rsidR="007768CF">
              <w:rPr>
                <w:rFonts w:asciiTheme="minorHAnsi" w:hAnsiTheme="minorHAnsi" w:cstheme="minorHAnsi"/>
                <w:sz w:val="16"/>
                <w:szCs w:val="16"/>
              </w:rPr>
              <w:t>stiff saltmarsh-grass</w:t>
            </w:r>
            <w:r w:rsidR="007768CF" w:rsidRPr="006A43A6">
              <w:rPr>
                <w:rFonts w:asciiTheme="minorHAnsi" w:hAnsiTheme="minorHAnsi" w:cstheme="minorHAnsi"/>
                <w:sz w:val="16"/>
                <w:szCs w:val="16"/>
              </w:rPr>
              <w:t xml:space="preserve"> </w:t>
            </w:r>
            <w:r w:rsidR="007768CF" w:rsidRPr="006E61DE">
              <w:rPr>
                <w:rFonts w:asciiTheme="minorHAnsi" w:hAnsiTheme="minorHAnsi" w:cstheme="minorHAnsi"/>
                <w:i/>
                <w:iCs/>
                <w:sz w:val="16"/>
                <w:szCs w:val="16"/>
              </w:rPr>
              <w:t>Puccinelia rupestris</w:t>
            </w:r>
            <w:r w:rsidR="007768CF">
              <w:rPr>
                <w:rFonts w:asciiTheme="minorHAnsi" w:hAnsiTheme="minorHAnsi" w:cstheme="minorHAnsi"/>
                <w:sz w:val="16"/>
                <w:szCs w:val="16"/>
              </w:rPr>
              <w:t xml:space="preserve"> which was last</w:t>
            </w:r>
            <w:r w:rsidRPr="006A43A6">
              <w:rPr>
                <w:rFonts w:asciiTheme="minorHAnsi" w:hAnsiTheme="minorHAnsi" w:cstheme="minorHAnsi"/>
                <w:sz w:val="16"/>
                <w:szCs w:val="16"/>
              </w:rPr>
              <w:t xml:space="preserve"> recorded on </w:t>
            </w:r>
            <w:r w:rsidR="007768CF">
              <w:rPr>
                <w:rFonts w:asciiTheme="minorHAnsi" w:hAnsiTheme="minorHAnsi" w:cstheme="minorHAnsi"/>
                <w:sz w:val="16"/>
                <w:szCs w:val="16"/>
              </w:rPr>
              <w:t>the western extreme of Rhymney Great Wharf in 2011</w:t>
            </w:r>
            <w:r w:rsidR="00F420B3">
              <w:rPr>
                <w:rFonts w:asciiTheme="minorHAnsi" w:hAnsiTheme="minorHAnsi" w:cstheme="minorHAnsi"/>
                <w:sz w:val="16"/>
                <w:szCs w:val="16"/>
              </w:rPr>
              <w:t xml:space="preserve"> and b</w:t>
            </w:r>
            <w:r w:rsidR="00F420B3" w:rsidRPr="00F420B3">
              <w:rPr>
                <w:rFonts w:asciiTheme="minorHAnsi" w:hAnsiTheme="minorHAnsi" w:cstheme="minorHAnsi"/>
                <w:sz w:val="16"/>
                <w:szCs w:val="16"/>
              </w:rPr>
              <w:t xml:space="preserve">ulbous </w:t>
            </w:r>
            <w:r w:rsidR="00F420B3">
              <w:rPr>
                <w:rFonts w:asciiTheme="minorHAnsi" w:hAnsiTheme="minorHAnsi" w:cstheme="minorHAnsi"/>
                <w:sz w:val="16"/>
                <w:szCs w:val="16"/>
              </w:rPr>
              <w:t>f</w:t>
            </w:r>
            <w:r w:rsidR="00F420B3" w:rsidRPr="00F420B3">
              <w:rPr>
                <w:rFonts w:asciiTheme="minorHAnsi" w:hAnsiTheme="minorHAnsi" w:cstheme="minorHAnsi"/>
                <w:sz w:val="16"/>
                <w:szCs w:val="16"/>
              </w:rPr>
              <w:t>oxtail</w:t>
            </w:r>
            <w:r w:rsidR="00F420B3" w:rsidRPr="00F420B3" w:rsidDel="007768CF">
              <w:rPr>
                <w:rFonts w:asciiTheme="minorHAnsi" w:hAnsiTheme="minorHAnsi" w:cstheme="minorHAnsi"/>
                <w:sz w:val="16"/>
                <w:szCs w:val="16"/>
              </w:rPr>
              <w:t xml:space="preserve"> </w:t>
            </w:r>
            <w:r w:rsidR="00F420B3" w:rsidRPr="00F420B3">
              <w:rPr>
                <w:rFonts w:asciiTheme="minorHAnsi" w:hAnsiTheme="minorHAnsi" w:cstheme="minorHAnsi"/>
                <w:i/>
                <w:sz w:val="16"/>
                <w:szCs w:val="16"/>
              </w:rPr>
              <w:t>Alopecurus bulbosus</w:t>
            </w:r>
            <w:r w:rsidR="00F420B3" w:rsidRPr="00F420B3">
              <w:rPr>
                <w:rFonts w:asciiTheme="minorHAnsi" w:hAnsiTheme="minorHAnsi" w:cstheme="minorHAnsi"/>
                <w:sz w:val="16"/>
                <w:szCs w:val="16"/>
              </w:rPr>
              <w:t xml:space="preserve"> </w:t>
            </w:r>
            <w:r w:rsidR="006762B3">
              <w:rPr>
                <w:rFonts w:asciiTheme="minorHAnsi" w:hAnsiTheme="minorHAnsi" w:cstheme="minorHAnsi"/>
                <w:sz w:val="16"/>
                <w:szCs w:val="16"/>
              </w:rPr>
              <w:t>in 1998</w:t>
            </w:r>
            <w:r w:rsidR="00A60B2C">
              <w:rPr>
                <w:rStyle w:val="FootnoteReference"/>
                <w:rFonts w:asciiTheme="minorHAnsi" w:hAnsiTheme="minorHAnsi" w:cstheme="minorHAnsi"/>
                <w:sz w:val="16"/>
                <w:szCs w:val="16"/>
              </w:rPr>
              <w:footnoteReference w:id="7"/>
            </w:r>
            <w:r w:rsidR="006762B3">
              <w:rPr>
                <w:rFonts w:asciiTheme="minorHAnsi" w:hAnsiTheme="minorHAnsi" w:cstheme="minorHAnsi"/>
                <w:sz w:val="16"/>
                <w:szCs w:val="16"/>
              </w:rPr>
              <w:t>.</w:t>
            </w:r>
          </w:p>
        </w:tc>
      </w:tr>
      <w:tr w:rsidR="00370F97" w:rsidRPr="00113DE7" w14:paraId="4BF4E1FB" w14:textId="77777777" w:rsidTr="006A43A6">
        <w:tc>
          <w:tcPr>
            <w:tcW w:w="1725" w:type="dxa"/>
          </w:tcPr>
          <w:p w14:paraId="6DA5B04C" w14:textId="4D0B449F" w:rsidR="00370F97" w:rsidRPr="006A43A6" w:rsidRDefault="00370F97" w:rsidP="00370F97">
            <w:pPr>
              <w:rPr>
                <w:rFonts w:asciiTheme="minorHAnsi" w:hAnsiTheme="minorHAnsi" w:cstheme="minorHAnsi"/>
                <w:b/>
                <w:bCs/>
                <w:sz w:val="16"/>
                <w:szCs w:val="16"/>
              </w:rPr>
            </w:pPr>
            <w:r w:rsidRPr="006A43A6">
              <w:rPr>
                <w:rFonts w:asciiTheme="minorHAnsi" w:hAnsiTheme="minorHAnsi" w:cstheme="minorHAnsi"/>
                <w:b/>
                <w:bCs/>
                <w:sz w:val="16"/>
                <w:szCs w:val="16"/>
              </w:rPr>
              <w:t>Non-native species</w:t>
            </w:r>
          </w:p>
        </w:tc>
        <w:tc>
          <w:tcPr>
            <w:tcW w:w="7913" w:type="dxa"/>
          </w:tcPr>
          <w:p w14:paraId="0869552A" w14:textId="72D669CF" w:rsidR="00370F97" w:rsidRPr="006A43A6" w:rsidRDefault="00370F97" w:rsidP="00370F97">
            <w:pPr>
              <w:spacing w:before="113" w:after="113"/>
              <w:ind w:left="113" w:right="113"/>
              <w:rPr>
                <w:rFonts w:asciiTheme="minorHAnsi" w:hAnsiTheme="minorHAnsi" w:cstheme="minorHAnsi"/>
                <w:sz w:val="16"/>
                <w:szCs w:val="16"/>
              </w:rPr>
            </w:pPr>
            <w:r w:rsidRPr="006A43A6">
              <w:rPr>
                <w:rFonts w:asciiTheme="minorHAnsi" w:hAnsiTheme="minorHAnsi" w:cstheme="minorHAnsi"/>
                <w:sz w:val="16"/>
                <w:szCs w:val="16"/>
              </w:rPr>
              <w:t>No invasive non-native species (INNS) were recorded during the field survey, however, INNS records were returned within the search area and should be considered along the access routes.</w:t>
            </w:r>
          </w:p>
        </w:tc>
      </w:tr>
    </w:tbl>
    <w:p w14:paraId="0BF52FAA" w14:textId="353FD7BF" w:rsidR="00CA4D88" w:rsidRDefault="00CA4D88" w:rsidP="004C70EF">
      <w:pPr>
        <w:pStyle w:val="BodyText"/>
      </w:pPr>
    </w:p>
    <w:p w14:paraId="249EBC11" w14:textId="3BC7DF97" w:rsidR="00AC74CB" w:rsidRDefault="00AC74CB" w:rsidP="007E1625">
      <w:pPr>
        <w:pStyle w:val="Heading3"/>
      </w:pPr>
      <w:r w:rsidRPr="006A43A6">
        <w:lastRenderedPageBreak/>
        <w:t xml:space="preserve">Potential </w:t>
      </w:r>
      <w:r w:rsidR="00D72F55" w:rsidRPr="006A43A6">
        <w:t>r</w:t>
      </w:r>
      <w:r w:rsidR="00A13985" w:rsidRPr="006A43A6">
        <w:t>isks</w:t>
      </w:r>
      <w:r w:rsidRPr="006A43A6">
        <w:t xml:space="preserve"> and </w:t>
      </w:r>
      <w:r w:rsidR="00D72F55" w:rsidRPr="006A43A6">
        <w:t>m</w:t>
      </w:r>
      <w:r w:rsidRPr="006A43A6">
        <w:t>itigation</w:t>
      </w:r>
    </w:p>
    <w:p w14:paraId="50226621" w14:textId="1EA87575" w:rsidR="000613D4" w:rsidRDefault="000613D4" w:rsidP="000613D4">
      <w:pPr>
        <w:pStyle w:val="Heading4"/>
      </w:pPr>
      <w:r>
        <w:t>Potential Risks</w:t>
      </w:r>
    </w:p>
    <w:p w14:paraId="60E3BE12" w14:textId="5753EFD7" w:rsidR="0050484F" w:rsidRDefault="0050484F" w:rsidP="00240363">
      <w:pPr>
        <w:pStyle w:val="BodyText"/>
      </w:pPr>
      <w:r w:rsidRPr="0050484F">
        <w:t xml:space="preserve">The primary objective of the project is to expand saltmarsh habitats within the Severn Estuary; this activity is directly linked to the beneficial management of the SAC. Potential pathways for effect on the associated SAC, SPA and Ramsar site </w:t>
      </w:r>
      <w:r w:rsidR="00B17756">
        <w:t>are</w:t>
      </w:r>
      <w:r w:rsidRPr="0050484F">
        <w:t xml:space="preserve"> considered through the Habitat Regulations Assessment (HRA) process, in addition to other SAC features.</w:t>
      </w:r>
    </w:p>
    <w:p w14:paraId="4984E373" w14:textId="4A24EA1D" w:rsidR="0050484F" w:rsidRDefault="0050484F" w:rsidP="00240363">
      <w:pPr>
        <w:pStyle w:val="BodyText"/>
      </w:pPr>
      <w:bookmarkStart w:id="18" w:name="_Hlk151461476"/>
      <w:r>
        <w:t xml:space="preserve">There is potential for construction activities to have temporary impacts on habitats and species. This includes habitat </w:t>
      </w:r>
      <w:r w:rsidR="00B17756">
        <w:t xml:space="preserve">disturbance </w:t>
      </w:r>
      <w:r>
        <w:t>from temporary compounds and vehicle tracking.</w:t>
      </w:r>
    </w:p>
    <w:bookmarkEnd w:id="18"/>
    <w:p w14:paraId="0F76C3AA" w14:textId="77777777" w:rsidR="00672CBA" w:rsidRDefault="00A10068" w:rsidP="00240363">
      <w:pPr>
        <w:pStyle w:val="BodyText"/>
      </w:pPr>
      <w:r>
        <w:t xml:space="preserve">There is the potential for the project to cause the </w:t>
      </w:r>
      <w:r w:rsidR="00502B30">
        <w:t>medium</w:t>
      </w:r>
      <w:r w:rsidR="00B34D10">
        <w:t xml:space="preserve">-term </w:t>
      </w:r>
      <w:r>
        <w:t xml:space="preserve">change of mudflat and sandflat habitat to saltmarsh habitat. However, this risk should be balanced against the </w:t>
      </w:r>
      <w:r w:rsidR="00082ADC">
        <w:t xml:space="preserve">current erosion of the site leading to </w:t>
      </w:r>
      <w:r w:rsidR="00B34D10">
        <w:t>risk of long-term</w:t>
      </w:r>
      <w:r w:rsidR="00082ADC">
        <w:t xml:space="preserve"> loss of both habitats without </w:t>
      </w:r>
      <w:r w:rsidR="00B34D10">
        <w:t xml:space="preserve">new </w:t>
      </w:r>
      <w:r w:rsidR="00082ADC">
        <w:t>intervention</w:t>
      </w:r>
      <w:r w:rsidR="00502B30">
        <w:t>s</w:t>
      </w:r>
      <w:r w:rsidR="00B34D10">
        <w:t xml:space="preserve">. </w:t>
      </w:r>
      <w:r w:rsidR="00082ADC">
        <w:t>The “</w:t>
      </w:r>
      <w:r w:rsidR="00082ADC" w:rsidRPr="00082ADC">
        <w:t>Rhymney Polders: Coastal Process Study to Support Design Development</w:t>
      </w:r>
      <w:r w:rsidR="00082ADC">
        <w:t xml:space="preserve">” document states that the current erosional trend is caused by a range of pressures within the estuary, but particularly by sea level rise and the presence of hard coastal defences. </w:t>
      </w:r>
      <w:r w:rsidR="00B45468">
        <w:t>NRW Evidence Report 528 (</w:t>
      </w:r>
      <w:r w:rsidR="00502B30">
        <w:t xml:space="preserve"> </w:t>
      </w:r>
      <w:hyperlink r:id="rId21" w:history="1">
        <w:r w:rsidR="00502B30">
          <w:rPr>
            <w:rStyle w:val="Hyperlink"/>
          </w:rPr>
          <w:t>Natural Resources Wales / Marine and coastal evidence reports</w:t>
        </w:r>
      </w:hyperlink>
      <w:r w:rsidR="00502B30">
        <w:t xml:space="preserve"> </w:t>
      </w:r>
      <w:r w:rsidR="00B45468">
        <w:t xml:space="preserve">) states that historical land reclamation in the wider estuary </w:t>
      </w:r>
      <w:r w:rsidR="00502B30">
        <w:t xml:space="preserve">has exacerbated erosional pressure estuary-wide due to coastal squeeze. </w:t>
      </w:r>
      <w:r w:rsidR="00672CBA">
        <w:t>Long term lowering of the mudflat has been identified, NRW Evidence Report 528 quotes Atkins (2004):</w:t>
      </w:r>
    </w:p>
    <w:p w14:paraId="2A2F0098" w14:textId="0812DEF9" w:rsidR="00672CBA" w:rsidRDefault="00672CBA" w:rsidP="00240363">
      <w:pPr>
        <w:pStyle w:val="BodyText"/>
      </w:pPr>
      <w:r>
        <w:t>“</w:t>
      </w:r>
      <w:r>
        <w:rPr>
          <w:i/>
        </w:rPr>
        <w:t>The Rumney Valley Sewer provides long term evidence of the erosion of the mudflat [as it] traverses the mudflat.  When the outfall was constructed in 1926, it was initially below the level of the mudflat surface but in subsequent years the piles of the structure have become increasingly exposed.  By the 1970s, the piles were exposed by about 2 m and by the late 1980s up to 3 m (Kirby, 1994)”</w:t>
      </w:r>
    </w:p>
    <w:p w14:paraId="71106426" w14:textId="4C018B69" w:rsidR="00A10068" w:rsidRDefault="00672CBA" w:rsidP="00240363">
      <w:pPr>
        <w:pStyle w:val="BodyText"/>
      </w:pPr>
      <w:r>
        <w:t>Erosion of the seaward edge of unprotected saltmarsh is also noted (</w:t>
      </w:r>
      <w:r w:rsidRPr="00082ADC">
        <w:t>Rhymney Polders: Coastal Process Study to Support Design Development</w:t>
      </w:r>
      <w:r>
        <w:t xml:space="preserve">). </w:t>
      </w:r>
      <w:r w:rsidR="00082ADC">
        <w:t xml:space="preserve">Accelerating sea level rise and increased storminess means that the current rates of erosion are expected to intensify. </w:t>
      </w:r>
      <w:r w:rsidR="00B34D10">
        <w:t xml:space="preserve">Much of the current mud and sand flat feature at the site was originally </w:t>
      </w:r>
      <w:r w:rsidR="00502B30">
        <w:t xml:space="preserve">saltmarsh, while the polders are expected to lead to some development of saltmarsh at the expense of mudflat, it is also expected that in the long term any new saltmarsh will revert to mudflat due to sea level rise. </w:t>
      </w:r>
      <w:r w:rsidR="000F6E9C">
        <w:t xml:space="preserve">By promoting sedimentation, the polders will protect and enhance the existing sand and mudflat feature as well as facilitating development of saltmarsh. </w:t>
      </w:r>
      <w:r w:rsidR="00502B30">
        <w:t>Uncertainty in t</w:t>
      </w:r>
      <w:r w:rsidR="000F6E9C">
        <w:t>he extent that the polders will achieve this</w:t>
      </w:r>
      <w:r w:rsidR="00502B30">
        <w:t xml:space="preserve"> is addressed in the Mitigation section below through an adaptive management plan.</w:t>
      </w:r>
    </w:p>
    <w:p w14:paraId="325FC43E" w14:textId="628BFB80" w:rsidR="00502B30" w:rsidRDefault="00502B30" w:rsidP="00240363">
      <w:pPr>
        <w:pStyle w:val="BodyText"/>
      </w:pPr>
      <w:r>
        <w:t>Potential medium – long term changes of the sand and mud-flat feature to salt marsh caused by construction of the polders should also be compared to the permanent loss of feature if</w:t>
      </w:r>
      <w:r w:rsidR="00EE2F55">
        <w:t xml:space="preserve"> improvement or extension of the existing hard defences is required (e.g use of additional rock armour). The polders themselves aim to dissipate wave energy</w:t>
      </w:r>
      <w:r w:rsidR="007F7FFE">
        <w:t xml:space="preserve"> (see Section 6.2.3 of “</w:t>
      </w:r>
      <w:r w:rsidR="007F7FFE" w:rsidRPr="00082ADC">
        <w:t>Rhymney Polders: Coastal Process Study to Support Design Development</w:t>
      </w:r>
      <w:r w:rsidR="007F7FFE">
        <w:t>”)</w:t>
      </w:r>
      <w:r w:rsidR="00EE2F55">
        <w:t xml:space="preserve"> and if saltmarsh does develop this will further attenuate waves and currents. Both factors will remove or delay the need for hard defence construction. Conversely, if the polders are not constructed, it is likely that work will be required on the existing hard defences. </w:t>
      </w:r>
    </w:p>
    <w:p w14:paraId="533AC21C" w14:textId="3E1E83F2" w:rsidR="00240363" w:rsidRPr="00240363" w:rsidRDefault="00240363" w:rsidP="00240363">
      <w:pPr>
        <w:pStyle w:val="BodyText"/>
      </w:pPr>
      <w:r>
        <w:lastRenderedPageBreak/>
        <w:t xml:space="preserve">Planning Policy Wales </w:t>
      </w:r>
      <w:r w:rsidRPr="00240363">
        <w:t>Chapter 6</w:t>
      </w:r>
      <w:r w:rsidR="000613D4">
        <w:rPr>
          <w:rStyle w:val="FootnoteReference"/>
        </w:rPr>
        <w:footnoteReference w:id="8"/>
      </w:r>
      <w:r w:rsidRPr="00240363">
        <w:t xml:space="preserve"> of the Planning Policy Wales has been updated with immediate effect as of 18th October 2023. The changes apply to all planning applications regardless of size and scale</w:t>
      </w:r>
      <w:r>
        <w:t xml:space="preserve"> and relevant updates include: a</w:t>
      </w:r>
      <w:r w:rsidRPr="00240363">
        <w:t>ll schemes applying for planning permission must achieve a Net Benefit for Biodiversity</w:t>
      </w:r>
      <w:r>
        <w:t xml:space="preserve"> and a</w:t>
      </w:r>
      <w:r w:rsidRPr="00240363">
        <w:t xml:space="preserve"> Green Infrastructure Statement will be required with all planning applications</w:t>
      </w:r>
      <w:r>
        <w:t>.</w:t>
      </w:r>
      <w:r w:rsidR="00087C57">
        <w:t xml:space="preserve"> </w:t>
      </w:r>
      <w:bookmarkStart w:id="19" w:name="_Hlk151551605"/>
      <w:r w:rsidR="00087C57">
        <w:t>A Green Infrastructure Statement will be produced if a planning application is required.</w:t>
      </w:r>
    </w:p>
    <w:bookmarkEnd w:id="19"/>
    <w:p w14:paraId="73576217" w14:textId="77777777" w:rsidR="000613D4" w:rsidRPr="007929BA" w:rsidRDefault="000613D4" w:rsidP="000613D4">
      <w:pPr>
        <w:pStyle w:val="Heading4"/>
      </w:pPr>
      <w:r>
        <w:t>Mitigation</w:t>
      </w:r>
    </w:p>
    <w:p w14:paraId="05D85621" w14:textId="44A8654C" w:rsidR="00761095" w:rsidRPr="004C70EF" w:rsidRDefault="007A5193" w:rsidP="00761095">
      <w:pPr>
        <w:rPr>
          <w:rFonts w:asciiTheme="minorHAnsi" w:hAnsiTheme="minorHAnsi" w:cstheme="minorHAnsi"/>
        </w:rPr>
      </w:pPr>
      <w:r w:rsidRPr="004C70EF">
        <w:rPr>
          <w:rFonts w:asciiTheme="minorHAnsi" w:hAnsiTheme="minorHAnsi" w:cstheme="minorHAnsi"/>
        </w:rPr>
        <w:t>The proposed</w:t>
      </w:r>
      <w:r w:rsidR="00AF1508">
        <w:rPr>
          <w:rFonts w:asciiTheme="minorHAnsi" w:hAnsiTheme="minorHAnsi" w:cstheme="minorHAnsi"/>
        </w:rPr>
        <w:t xml:space="preserve"> pre-works surveys</w:t>
      </w:r>
      <w:r w:rsidRPr="004C70EF">
        <w:rPr>
          <w:rFonts w:asciiTheme="minorHAnsi" w:hAnsiTheme="minorHAnsi" w:cstheme="minorHAnsi"/>
        </w:rPr>
        <w:t xml:space="preserve"> will include the following:</w:t>
      </w:r>
    </w:p>
    <w:p w14:paraId="6C97EB66" w14:textId="77777777" w:rsidR="00761095" w:rsidRPr="000613D4" w:rsidRDefault="00761095" w:rsidP="00761095">
      <w:pPr>
        <w:rPr>
          <w:rFonts w:asciiTheme="minorHAnsi" w:eastAsia="Times New Roman" w:hAnsiTheme="minorHAnsi" w:cstheme="minorHAnsi"/>
          <w:strike/>
          <w:color w:val="000000"/>
          <w:highlight w:val="yellow"/>
        </w:rPr>
      </w:pPr>
    </w:p>
    <w:p w14:paraId="23514942" w14:textId="01F196CF" w:rsidR="007A5193" w:rsidRPr="007A5193" w:rsidRDefault="007A5193" w:rsidP="004C70EF">
      <w:pPr>
        <w:pStyle w:val="Bullets"/>
      </w:pPr>
      <w:r w:rsidRPr="007A5193">
        <w:t xml:space="preserve">Pre-installation </w:t>
      </w:r>
      <w:r w:rsidR="00362C71">
        <w:t xml:space="preserve">and </w:t>
      </w:r>
      <w:r w:rsidRPr="007A5193">
        <w:t>checks for breeding birds</w:t>
      </w:r>
      <w:r w:rsidR="00362C71">
        <w:t xml:space="preserve"> and passage waders</w:t>
      </w:r>
      <w:r w:rsidRPr="007A5193">
        <w:t xml:space="preserve"> (ringed plover and lesser black-backed gull) where required.</w:t>
      </w:r>
    </w:p>
    <w:p w14:paraId="00C15EA1" w14:textId="5DDA8116" w:rsidR="00127437" w:rsidRDefault="007A5193" w:rsidP="004C70EF">
      <w:pPr>
        <w:pStyle w:val="Bullets"/>
      </w:pPr>
      <w:r w:rsidRPr="007A5193">
        <w:t>Invasive non-native species (INNS) pre-works checks for INNS if deemed required along access routes.</w:t>
      </w:r>
    </w:p>
    <w:p w14:paraId="18149553" w14:textId="77777777" w:rsidR="00127437" w:rsidRDefault="00127437" w:rsidP="00127437">
      <w:pPr>
        <w:pStyle w:val="Bullets"/>
        <w:numPr>
          <w:ilvl w:val="0"/>
          <w:numId w:val="0"/>
        </w:numPr>
        <w:ind w:left="720" w:hanging="360"/>
      </w:pPr>
    </w:p>
    <w:p w14:paraId="3871F786" w14:textId="44D98ADC" w:rsidR="0093533E" w:rsidRDefault="00127437">
      <w:pPr>
        <w:pStyle w:val="Bullets"/>
        <w:numPr>
          <w:ilvl w:val="0"/>
          <w:numId w:val="0"/>
        </w:numPr>
      </w:pPr>
      <w:r>
        <w:t xml:space="preserve">Species specific mitigation </w:t>
      </w:r>
      <w:r w:rsidR="00243305">
        <w:t>measures</w:t>
      </w:r>
      <w:r>
        <w:t xml:space="preserve"> </w:t>
      </w:r>
      <w:r w:rsidR="005B124D">
        <w:t>are</w:t>
      </w:r>
      <w:r>
        <w:t xml:space="preserve"> include</w:t>
      </w:r>
      <w:r w:rsidR="00AF1508">
        <w:t>d</w:t>
      </w:r>
      <w:r>
        <w:t xml:space="preserve"> in the EAP, including pollution prevention guidelines. </w:t>
      </w:r>
      <w:r w:rsidR="007368A3">
        <w:t xml:space="preserve">The EAP included site-specific methods to ensure that all site activities are controlled and are in accordance with standard operating procedures; e.g. relevant Guidelines for Pollution Prevention (GPP’s) and CIRIA best practice. </w:t>
      </w:r>
      <w:r w:rsidR="000E3EFE">
        <w:t>Specific</w:t>
      </w:r>
      <w:r w:rsidR="007368A3">
        <w:t xml:space="preserve"> guidance includes GPP5: Works and Maintenance in or Near Water, CIRIA C741 ‘Environmental Good Practice on Site’,- Fourth Edition (2015). </w:t>
      </w:r>
    </w:p>
    <w:p w14:paraId="76293622" w14:textId="77777777" w:rsidR="0093533E" w:rsidRDefault="0093533E">
      <w:pPr>
        <w:pStyle w:val="Bullets"/>
        <w:numPr>
          <w:ilvl w:val="0"/>
          <w:numId w:val="0"/>
        </w:numPr>
      </w:pPr>
    </w:p>
    <w:p w14:paraId="4F8F1458" w14:textId="389ED7AB" w:rsidR="00F16096" w:rsidRDefault="005B124D">
      <w:pPr>
        <w:pStyle w:val="Bullets"/>
        <w:numPr>
          <w:ilvl w:val="0"/>
          <w:numId w:val="0"/>
        </w:numPr>
        <w:rPr>
          <w:color w:val="auto"/>
        </w:rPr>
      </w:pPr>
      <w:r>
        <w:rPr>
          <w:color w:val="auto"/>
        </w:rPr>
        <w:t>Mitigation measures outlined in the H</w:t>
      </w:r>
      <w:r w:rsidR="0093533E">
        <w:rPr>
          <w:color w:val="auto"/>
        </w:rPr>
        <w:t>abitat Regulations Assessment</w:t>
      </w:r>
      <w:r>
        <w:rPr>
          <w:color w:val="auto"/>
        </w:rPr>
        <w:t xml:space="preserve"> include:</w:t>
      </w:r>
    </w:p>
    <w:p w14:paraId="52BD9486" w14:textId="77777777" w:rsidR="007368A3" w:rsidRDefault="007368A3">
      <w:pPr>
        <w:pStyle w:val="Bullets"/>
        <w:numPr>
          <w:ilvl w:val="0"/>
          <w:numId w:val="0"/>
        </w:numPr>
        <w:rPr>
          <w:color w:val="auto"/>
        </w:rPr>
      </w:pPr>
    </w:p>
    <w:p w14:paraId="1466CF5A" w14:textId="13F8F5B2" w:rsidR="005B124D" w:rsidRPr="007368A3" w:rsidRDefault="007368A3" w:rsidP="008E649E">
      <w:pPr>
        <w:pStyle w:val="Bullets"/>
        <w:numPr>
          <w:ilvl w:val="0"/>
          <w:numId w:val="10"/>
        </w:numPr>
        <w:ind w:left="426"/>
        <w:rPr>
          <w:color w:val="auto"/>
        </w:rPr>
      </w:pPr>
      <w:r>
        <w:rPr>
          <w:color w:val="auto"/>
        </w:rPr>
        <w:t>A</w:t>
      </w:r>
      <w:r w:rsidRPr="007368A3">
        <w:rPr>
          <w:color w:val="auto"/>
        </w:rPr>
        <w:t>ll machines will be low ground pressure to reduce potential trampling effects on intertidal habitats. Bog mats and / or aluminium trackway will also be implemented where necessary to further reduce pressures on underlying habitat.</w:t>
      </w:r>
    </w:p>
    <w:p w14:paraId="681B5C2A" w14:textId="532E5597" w:rsidR="007368A3" w:rsidRDefault="007368A3" w:rsidP="008E649E">
      <w:pPr>
        <w:pStyle w:val="Bullets"/>
        <w:numPr>
          <w:ilvl w:val="0"/>
          <w:numId w:val="9"/>
        </w:numPr>
        <w:ind w:left="426"/>
        <w:rPr>
          <w:color w:val="auto"/>
        </w:rPr>
      </w:pPr>
      <w:r w:rsidRPr="007368A3">
        <w:rPr>
          <w:color w:val="auto"/>
        </w:rPr>
        <w:t>Pre-installation INNS checks are recommended.</w:t>
      </w:r>
    </w:p>
    <w:p w14:paraId="4B303561" w14:textId="67F08689" w:rsidR="007368A3" w:rsidRDefault="007368A3" w:rsidP="008E649E">
      <w:pPr>
        <w:pStyle w:val="Bullets"/>
        <w:numPr>
          <w:ilvl w:val="0"/>
          <w:numId w:val="9"/>
        </w:numPr>
        <w:ind w:left="426"/>
        <w:rPr>
          <w:color w:val="auto"/>
        </w:rPr>
      </w:pPr>
      <w:r w:rsidRPr="007368A3">
        <w:rPr>
          <w:color w:val="auto"/>
        </w:rPr>
        <w:t>Polder installation is programmed during the summer months (June to August inclusive) to avoid the overwintering bird season (October to March inclusive).</w:t>
      </w:r>
    </w:p>
    <w:p w14:paraId="3458B55E" w14:textId="60E7DB53" w:rsidR="0093533E" w:rsidRDefault="0093533E" w:rsidP="008E649E">
      <w:pPr>
        <w:pStyle w:val="Bullets"/>
        <w:numPr>
          <w:ilvl w:val="0"/>
          <w:numId w:val="9"/>
        </w:numPr>
        <w:ind w:left="426"/>
        <w:rPr>
          <w:color w:val="auto"/>
        </w:rPr>
      </w:pPr>
      <w:r w:rsidRPr="0093533E">
        <w:rPr>
          <w:color w:val="auto"/>
        </w:rPr>
        <w:t>Weekly ornithological checks prior to and throughout installation by a Suitably Qualified Ecologist (SQE) for passage waders and breeding birds (lesser black-backed gull) are recommended.</w:t>
      </w:r>
    </w:p>
    <w:p w14:paraId="30445472" w14:textId="61634E0D" w:rsidR="0093533E" w:rsidRDefault="0093533E" w:rsidP="008E649E">
      <w:pPr>
        <w:pStyle w:val="Bullets"/>
        <w:numPr>
          <w:ilvl w:val="0"/>
          <w:numId w:val="9"/>
        </w:numPr>
        <w:ind w:left="426"/>
        <w:rPr>
          <w:color w:val="auto"/>
        </w:rPr>
      </w:pPr>
      <w:r w:rsidRPr="0093533E">
        <w:rPr>
          <w:color w:val="auto"/>
        </w:rPr>
        <w:t>Should any breeding lesser black-backed gulls (or other birds) be recorded displaying breeding behaviour, suitable and appropriate buffer zones shall be employed to ensure no disturbance. If necessary, certain components of the installation will be scheduled to commence post-fledging. The proposed restoration area is exposed to recreational users and their dogs; as such, the potential for frequent disturbance suggests breeding within the installation area is unlikely and no significant effect is predicted.</w:t>
      </w:r>
    </w:p>
    <w:p w14:paraId="69BA615B" w14:textId="6D8B401F" w:rsidR="0093533E" w:rsidRDefault="0093533E" w:rsidP="008E649E">
      <w:pPr>
        <w:pStyle w:val="Bullets"/>
        <w:numPr>
          <w:ilvl w:val="0"/>
          <w:numId w:val="9"/>
        </w:numPr>
        <w:ind w:left="426"/>
        <w:rPr>
          <w:color w:val="auto"/>
        </w:rPr>
      </w:pPr>
      <w:r w:rsidRPr="0093533E">
        <w:rPr>
          <w:color w:val="auto"/>
        </w:rPr>
        <w:t>Should any passage waders in excess of 1% of the Severn Estuary SPA / Ramsar population be present within the 100m disturbance radius (or 2% within 300m) of the installation works (including access), as recorded by the SQE during ornithological checks, works within the disturbance radius shall not progress until the area is clear. Installation may continue outside the buffer zone pending approval of the SQE.</w:t>
      </w:r>
    </w:p>
    <w:p w14:paraId="0C55BA05" w14:textId="77777777" w:rsidR="00087C57" w:rsidRDefault="00087C57" w:rsidP="00F16096">
      <w:pPr>
        <w:rPr>
          <w:rFonts w:asciiTheme="minorHAnsi" w:hAnsiTheme="minorHAnsi" w:cstheme="minorHAnsi"/>
        </w:rPr>
      </w:pPr>
    </w:p>
    <w:p w14:paraId="2B6FF18D" w14:textId="77777777" w:rsidR="00EE2F55" w:rsidRDefault="00243305" w:rsidP="00243305">
      <w:pPr>
        <w:rPr>
          <w:rFonts w:asciiTheme="minorHAnsi" w:hAnsiTheme="minorHAnsi" w:cstheme="minorHAnsi"/>
        </w:rPr>
      </w:pPr>
      <w:r w:rsidRPr="00243305">
        <w:rPr>
          <w:rFonts w:asciiTheme="minorHAnsi" w:hAnsiTheme="minorHAnsi" w:cstheme="minorHAnsi"/>
        </w:rPr>
        <w:lastRenderedPageBreak/>
        <w:t xml:space="preserve">The Project aims to restore and enhance the </w:t>
      </w:r>
      <w:r w:rsidR="000E3EFE">
        <w:rPr>
          <w:rFonts w:asciiTheme="minorHAnsi" w:hAnsiTheme="minorHAnsi" w:cstheme="minorHAnsi"/>
        </w:rPr>
        <w:t xml:space="preserve">intertidal mud and </w:t>
      </w:r>
      <w:r w:rsidRPr="00243305">
        <w:rPr>
          <w:rFonts w:asciiTheme="minorHAnsi" w:hAnsiTheme="minorHAnsi" w:cstheme="minorHAnsi"/>
        </w:rPr>
        <w:t xml:space="preserve">saltmarsh habitats on site. The design proposed has taken into consideration the local environmental conditions to promote the natural restoration of </w:t>
      </w:r>
      <w:r w:rsidR="000E3EFE">
        <w:rPr>
          <w:rFonts w:asciiTheme="minorHAnsi" w:hAnsiTheme="minorHAnsi" w:cstheme="minorHAnsi"/>
        </w:rPr>
        <w:t xml:space="preserve">intertidal mud and </w:t>
      </w:r>
      <w:r w:rsidRPr="00243305">
        <w:rPr>
          <w:rFonts w:asciiTheme="minorHAnsi" w:hAnsiTheme="minorHAnsi" w:cstheme="minorHAnsi"/>
        </w:rPr>
        <w:t xml:space="preserve">saltmarsh habitat. </w:t>
      </w:r>
    </w:p>
    <w:p w14:paraId="5F51B001" w14:textId="77777777" w:rsidR="00EE2F55" w:rsidRDefault="00EE2F55" w:rsidP="00243305">
      <w:pPr>
        <w:rPr>
          <w:rFonts w:asciiTheme="minorHAnsi" w:hAnsiTheme="minorHAnsi" w:cstheme="minorHAnsi"/>
        </w:rPr>
      </w:pPr>
    </w:p>
    <w:p w14:paraId="5D2456E3" w14:textId="00CFC61C" w:rsidR="00243305" w:rsidRDefault="00EE2F55" w:rsidP="00243305">
      <w:pPr>
        <w:rPr>
          <w:rFonts w:asciiTheme="minorHAnsi" w:hAnsiTheme="minorHAnsi" w:cstheme="minorHAnsi"/>
        </w:rPr>
      </w:pPr>
      <w:r>
        <w:rPr>
          <w:rFonts w:asciiTheme="minorHAnsi" w:hAnsiTheme="minorHAnsi" w:cstheme="minorHAnsi"/>
        </w:rPr>
        <w:t>To mitigate for uncertainty in the likely rates of accretion and changes to habitat type caused by construction of the polders, an adaptive management plan will be implemented</w:t>
      </w:r>
      <w:r w:rsidR="00420168">
        <w:rPr>
          <w:rFonts w:asciiTheme="minorHAnsi" w:hAnsiTheme="minorHAnsi" w:cstheme="minorHAnsi"/>
        </w:rPr>
        <w:t xml:space="preserve">, please see section 4.5.1 of the PEA. </w:t>
      </w:r>
      <w:r w:rsidR="000F6E9C">
        <w:rPr>
          <w:rFonts w:asciiTheme="minorHAnsi" w:hAnsiTheme="minorHAnsi" w:cstheme="minorHAnsi"/>
        </w:rPr>
        <w:t xml:space="preserve">This will consist of monitoring of morphological evolution, changes to habitat and integrity of the structures. </w:t>
      </w:r>
      <w:r w:rsidR="00243305" w:rsidRPr="00243305">
        <w:rPr>
          <w:rFonts w:asciiTheme="minorHAnsi" w:hAnsiTheme="minorHAnsi" w:cstheme="minorHAnsi"/>
        </w:rPr>
        <w:t xml:space="preserve">  </w:t>
      </w:r>
    </w:p>
    <w:p w14:paraId="3946862A" w14:textId="77777777" w:rsidR="000E3EFE" w:rsidRDefault="000E3EFE" w:rsidP="000E3EFE">
      <w:pPr>
        <w:pStyle w:val="Heading2"/>
        <w:rPr>
          <w:rFonts w:cs="Arial"/>
          <w:color w:val="00A0AA" w:themeColor="accent6"/>
        </w:rPr>
      </w:pPr>
      <w:bookmarkStart w:id="20" w:name="_Toc160701717"/>
      <w:r w:rsidRPr="00446423">
        <w:rPr>
          <w:rFonts w:cs="Arial"/>
          <w:color w:val="00A0AA" w:themeColor="accent6"/>
        </w:rPr>
        <w:t>2.</w:t>
      </w:r>
      <w:r>
        <w:rPr>
          <w:rFonts w:cs="Arial"/>
          <w:color w:val="00A0AA" w:themeColor="accent6"/>
        </w:rPr>
        <w:t>2</w:t>
      </w:r>
      <w:r w:rsidRPr="00446423">
        <w:rPr>
          <w:rFonts w:cs="Arial"/>
          <w:color w:val="00A0AA" w:themeColor="accent6"/>
        </w:rPr>
        <w:t xml:space="preserve"> </w:t>
      </w:r>
      <w:r>
        <w:rPr>
          <w:rFonts w:cs="Arial"/>
          <w:color w:val="00A0AA" w:themeColor="accent6"/>
        </w:rPr>
        <w:t>Water Environment</w:t>
      </w:r>
      <w:bookmarkEnd w:id="20"/>
      <w:r w:rsidRPr="00446423">
        <w:rPr>
          <w:rFonts w:cs="Arial"/>
          <w:color w:val="00A0AA" w:themeColor="accent6"/>
        </w:rPr>
        <w:t xml:space="preserve"> </w:t>
      </w:r>
    </w:p>
    <w:p w14:paraId="6195CA1B" w14:textId="77777777" w:rsidR="000E3EFE" w:rsidRDefault="000E3EFE" w:rsidP="007E1625">
      <w:pPr>
        <w:pStyle w:val="Heading3"/>
      </w:pPr>
      <w:r w:rsidRPr="00385F0B">
        <w:t xml:space="preserve">Baseline </w:t>
      </w:r>
    </w:p>
    <w:p w14:paraId="4045068E" w14:textId="493EFEED" w:rsidR="00385F0B" w:rsidRDefault="00385F0B" w:rsidP="000E3EFE">
      <w:pPr>
        <w:pStyle w:val="BodyText"/>
      </w:pPr>
      <w:r>
        <w:t>According to the Natural Resource Wales (NRW) Development Advice Map, the site is located within Flood Zone C2 - without significant flood defence infrastructure. Correspondingly, the NRW Flood Map for Planning records the site as within Flood Zones 3. There is an existing flood defence embankment that runs along the coast between the foreshore and the land.</w:t>
      </w:r>
    </w:p>
    <w:p w14:paraId="2E0E5966" w14:textId="623CE47D" w:rsidR="00385F0B" w:rsidRDefault="00385F0B" w:rsidP="00385F0B">
      <w:pPr>
        <w:pStyle w:val="BodyText"/>
      </w:pPr>
      <w:r w:rsidRPr="00385F0B">
        <w:t xml:space="preserve">Relevant WFD water bodies to the Project are the Severn Lower Transitional Water Body (GB530905415401), and the Rhosog Fach Reen – source to Severn Estuary (River) (GB109056026770). </w:t>
      </w:r>
      <w:r w:rsidR="00657AF3" w:rsidRPr="00657AF3">
        <w:t xml:space="preserve">The project falls within the Severn Lower Transitional Water Body. </w:t>
      </w:r>
      <w:r>
        <w:t>Refer to the</w:t>
      </w:r>
      <w:r w:rsidRPr="00385F0B">
        <w:t xml:space="preserve"> Preliminary Water Environment Regulations (WER) </w:t>
      </w:r>
      <w:r>
        <w:t>compliance assessment (</w:t>
      </w:r>
      <w:r w:rsidR="000A0ECC">
        <w:t xml:space="preserve">Appendix </w:t>
      </w:r>
      <w:r w:rsidR="00657AF3">
        <w:t>B2</w:t>
      </w:r>
      <w:r w:rsidR="00AC4943" w:rsidRPr="00AC4943">
        <w:t>)</w:t>
      </w:r>
      <w:r w:rsidRPr="00AC4943">
        <w:t xml:space="preserve"> for more information.</w:t>
      </w:r>
      <w:r>
        <w:t xml:space="preserve"> </w:t>
      </w:r>
    </w:p>
    <w:p w14:paraId="1B3D3787" w14:textId="417982B4" w:rsidR="00385F0B" w:rsidRDefault="00385F0B" w:rsidP="00385F0B">
      <w:pPr>
        <w:pStyle w:val="BodyText"/>
      </w:pPr>
      <w:r w:rsidRPr="00385F0B">
        <w:t xml:space="preserve">Owing to the potential to be directly or indirectly impacted by the scheme components, only the Severn Lower Transitional Water Body was screened in for further assessment. The Severn Lower is designated as heavily modified due to the presence of flood </w:t>
      </w:r>
      <w:r w:rsidR="003E7002">
        <w:t>risk management assets</w:t>
      </w:r>
      <w:r w:rsidRPr="00385F0B">
        <w:t>. As of WFD Cycle 3 (2021), the water body had an overall status of Moderate, an ecological status of Moderate, and a chemical status of Moderate</w:t>
      </w:r>
      <w:r w:rsidR="00BA7E4F">
        <w:t>.</w:t>
      </w:r>
    </w:p>
    <w:p w14:paraId="04F7F1A9" w14:textId="4B9A0C80" w:rsidR="00BA7E4F" w:rsidRDefault="00BA7E4F" w:rsidP="00385F0B">
      <w:pPr>
        <w:pStyle w:val="BodyText"/>
      </w:pPr>
      <w:r w:rsidRPr="00BA7E4F">
        <w:t>A Coastal Process Study has been produced by APBmer to support design development.</w:t>
      </w:r>
      <w:r>
        <w:t xml:space="preserve"> </w:t>
      </w:r>
      <w:r w:rsidRPr="00BA7E4F">
        <w:t>(</w:t>
      </w:r>
      <w:r w:rsidR="00CA4D88">
        <w:t>Appendix M- Marine Licence application</w:t>
      </w:r>
      <w:r w:rsidRPr="00BA7E4F">
        <w:t xml:space="preserve">). </w:t>
      </w:r>
      <w:r>
        <w:t xml:space="preserve">This study produced a comprehensive understanding </w:t>
      </w:r>
      <w:r w:rsidRPr="00BA7E4F">
        <w:t>of the coastal processes operating along the Rhymney Great Wharf frontage</w:t>
      </w:r>
      <w:r>
        <w:t>.</w:t>
      </w:r>
    </w:p>
    <w:p w14:paraId="56C45834" w14:textId="77777777" w:rsidR="00385F0B" w:rsidRPr="004533E9" w:rsidRDefault="00385F0B" w:rsidP="007E1625">
      <w:pPr>
        <w:pStyle w:val="Heading3"/>
      </w:pPr>
      <w:r w:rsidRPr="00385F0B">
        <w:t>Potential risks and mitigation</w:t>
      </w:r>
    </w:p>
    <w:p w14:paraId="44247C93" w14:textId="70F52B31" w:rsidR="00385F0B" w:rsidRPr="00385F0B" w:rsidRDefault="00385F0B" w:rsidP="00657AF3">
      <w:pPr>
        <w:pStyle w:val="Heading4"/>
      </w:pPr>
      <w:r w:rsidRPr="00385F0B">
        <w:t>Potential Risks</w:t>
      </w:r>
    </w:p>
    <w:p w14:paraId="68343CF8" w14:textId="50BB7FD9" w:rsidR="00385F0B" w:rsidRPr="00657AF3" w:rsidRDefault="00385F0B" w:rsidP="00385F0B">
      <w:pPr>
        <w:pStyle w:val="BodyText"/>
        <w:rPr>
          <w:b/>
          <w:bCs/>
        </w:rPr>
      </w:pPr>
      <w:r w:rsidRPr="00657AF3">
        <w:rPr>
          <w:b/>
          <w:bCs/>
        </w:rPr>
        <w:t>Habitats</w:t>
      </w:r>
    </w:p>
    <w:p w14:paraId="3713E417" w14:textId="11701AD5" w:rsidR="00385F0B" w:rsidRDefault="00385F0B" w:rsidP="00385F0B">
      <w:pPr>
        <w:pStyle w:val="BodyText"/>
      </w:pPr>
      <w:r w:rsidRPr="00385F0B">
        <w:t>In the absence of best practice, lower sensitivity habitats may be at risk of direct effects or pollution incidents, e.g., sedimentation (from vehicle tracking) or accidental spillages (leaks from machinery/plant).</w:t>
      </w:r>
    </w:p>
    <w:p w14:paraId="7910A8C7" w14:textId="6988C500" w:rsidR="00385F0B" w:rsidRDefault="00385F0B" w:rsidP="00385F0B">
      <w:pPr>
        <w:pStyle w:val="BodyText"/>
      </w:pPr>
      <w:r w:rsidRPr="00385F0B">
        <w:t>Construction works will affect localised areas of intertidal mudflats</w:t>
      </w:r>
      <w:r w:rsidR="00FC597F">
        <w:t xml:space="preserve"> and saltmarsh</w:t>
      </w:r>
      <w:r w:rsidRPr="00385F0B">
        <w:t xml:space="preserve"> but will not directly affect rocky reef nor the area of cobbles, gravel and shingle within the water body. The installation of the polders will be a temporary activity implementing specialist </w:t>
      </w:r>
      <w:r w:rsidRPr="00385F0B">
        <w:lastRenderedPageBreak/>
        <w:t>plant to access the intertidal zone. Installation will occur within intertidal mudflat that is resilient to disturbance, typically re-naturalising within a short time frame.</w:t>
      </w:r>
    </w:p>
    <w:p w14:paraId="61C931C4" w14:textId="1CCFB396" w:rsidR="00657AF3" w:rsidRDefault="00657AF3" w:rsidP="00385F0B">
      <w:pPr>
        <w:pStyle w:val="BodyText"/>
      </w:pPr>
      <w:r w:rsidRPr="00657AF3">
        <w:t xml:space="preserve">Production of waste is likely to be minimal and best practice procedures (PPGs and CIRIA relevant to waste and pollution control) will be integrated to avoid potential pollution incidents in addition to biosecurity measures.  Pollution prevention and biosecurity measures </w:t>
      </w:r>
      <w:r w:rsidR="00087C57">
        <w:t>are</w:t>
      </w:r>
      <w:r w:rsidRPr="00657AF3">
        <w:t xml:space="preserve"> outlined in the Environmental Action Plan. As such, it is reasonable to conclude that no adverse impacts are predicted on lower or higher sensitivity habitats.</w:t>
      </w:r>
    </w:p>
    <w:p w14:paraId="112212B6" w14:textId="77777777" w:rsidR="00385F0B" w:rsidRPr="00657AF3" w:rsidRDefault="00385F0B" w:rsidP="00385F0B">
      <w:pPr>
        <w:pStyle w:val="BodyText"/>
        <w:rPr>
          <w:b/>
          <w:bCs/>
        </w:rPr>
      </w:pPr>
      <w:r w:rsidRPr="00657AF3">
        <w:rPr>
          <w:b/>
          <w:bCs/>
        </w:rPr>
        <w:t>Water Quality</w:t>
      </w:r>
    </w:p>
    <w:p w14:paraId="09BD7910" w14:textId="33E521C7" w:rsidR="00385F0B" w:rsidRDefault="00385F0B" w:rsidP="00385F0B">
      <w:pPr>
        <w:pStyle w:val="BodyText"/>
      </w:pPr>
      <w:r>
        <w:t>Construction activities will displace sediment below MHWS. This provides a potential pathway for effect through sub-surface sediment being exposed to surface waters. With no visual or olfactory evidence of contamination at the site, it is likely the site is made up of natural material. The risk of incidental disturbance resulting in contamination is therefore considered to be negligible, with no measurable change to status at the water body scale for the Severn Lower in terms of current WFD status and in the achievement of ‘Good’ status of WFD elements.</w:t>
      </w:r>
    </w:p>
    <w:p w14:paraId="1DAC692B" w14:textId="45B88224" w:rsidR="00385F0B" w:rsidRPr="00385F0B" w:rsidRDefault="00385F0B" w:rsidP="00D84FE4">
      <w:pPr>
        <w:pStyle w:val="Heading4"/>
      </w:pPr>
      <w:r w:rsidRPr="00385F0B">
        <w:t xml:space="preserve">Mitigation </w:t>
      </w:r>
      <w:r w:rsidR="008F59C1">
        <w:t>M</w:t>
      </w:r>
      <w:r w:rsidRPr="00385F0B">
        <w:t>easures</w:t>
      </w:r>
    </w:p>
    <w:p w14:paraId="65F2F40A" w14:textId="52657C83" w:rsidR="00385F0B" w:rsidRDefault="00547DF1" w:rsidP="00385F0B">
      <w:pPr>
        <w:pStyle w:val="BodyText"/>
      </w:pPr>
      <w:r>
        <w:t>M</w:t>
      </w:r>
      <w:r w:rsidR="00385F0B">
        <w:t>itigation measures will be incorporated into the construction of the scheme, including the following:</w:t>
      </w:r>
    </w:p>
    <w:p w14:paraId="348904AA" w14:textId="784D137E" w:rsidR="00385F0B" w:rsidRDefault="00385F0B" w:rsidP="008E649E">
      <w:pPr>
        <w:pStyle w:val="BodyText"/>
        <w:numPr>
          <w:ilvl w:val="0"/>
          <w:numId w:val="6"/>
        </w:numPr>
        <w:ind w:left="714" w:hanging="357"/>
        <w:contextualSpacing/>
      </w:pPr>
      <w:r>
        <w:t xml:space="preserve">Site-specific methods will ensure that all site activities are controlled and are in accordance with standard operating procedures, e.g., </w:t>
      </w:r>
      <w:r w:rsidR="00657AF3">
        <w:t xml:space="preserve">GPP, </w:t>
      </w:r>
      <w:r>
        <w:t xml:space="preserve">PPG and CIRIA best practice.  </w:t>
      </w:r>
    </w:p>
    <w:p w14:paraId="0784D038" w14:textId="797E1F09" w:rsidR="00385F0B" w:rsidRDefault="00385F0B" w:rsidP="008E649E">
      <w:pPr>
        <w:pStyle w:val="BodyText"/>
        <w:numPr>
          <w:ilvl w:val="0"/>
          <w:numId w:val="6"/>
        </w:numPr>
        <w:ind w:left="714" w:hanging="357"/>
        <w:contextualSpacing/>
      </w:pPr>
      <w:r>
        <w:t>Limiting the physical works footprint and the dimensions of the access corridor as far as reasonably practicable.</w:t>
      </w:r>
    </w:p>
    <w:p w14:paraId="0D349B63" w14:textId="30FEF084" w:rsidR="00385F0B" w:rsidRDefault="00385F0B" w:rsidP="008E649E">
      <w:pPr>
        <w:pStyle w:val="BodyText"/>
        <w:numPr>
          <w:ilvl w:val="0"/>
          <w:numId w:val="6"/>
        </w:numPr>
        <w:ind w:left="714" w:hanging="357"/>
        <w:contextualSpacing/>
      </w:pPr>
      <w:r>
        <w:t xml:space="preserve">All plant will be sourced from a trusted reputable company and will come with spill kits which site personnel will be trained to use.  </w:t>
      </w:r>
    </w:p>
    <w:p w14:paraId="3639CA6E" w14:textId="0E0F615E" w:rsidR="00385F0B" w:rsidRDefault="00385F0B" w:rsidP="008E649E">
      <w:pPr>
        <w:pStyle w:val="BodyText"/>
        <w:numPr>
          <w:ilvl w:val="0"/>
          <w:numId w:val="6"/>
        </w:numPr>
        <w:ind w:left="714" w:hanging="357"/>
        <w:contextualSpacing/>
      </w:pPr>
      <w:r>
        <w:t xml:space="preserve">Vehicles will be loaded with all plant and materials necessary to undertake the works to minimise plant movements below MHWS.  </w:t>
      </w:r>
    </w:p>
    <w:p w14:paraId="6217B0E8" w14:textId="3417DAC2" w:rsidR="00385F0B" w:rsidRDefault="00385F0B" w:rsidP="008E649E">
      <w:pPr>
        <w:pStyle w:val="BodyText"/>
        <w:numPr>
          <w:ilvl w:val="0"/>
          <w:numId w:val="6"/>
        </w:numPr>
        <w:ind w:left="714" w:hanging="357"/>
        <w:contextualSpacing/>
      </w:pPr>
      <w:r>
        <w:t xml:space="preserve">Minimal quantities of fuels, materials, etc. will be taken on to the foreshore with biodegradable fuel oils implemented where practicable.  </w:t>
      </w:r>
    </w:p>
    <w:p w14:paraId="41EA910B" w14:textId="5C3E4D21" w:rsidR="00385F0B" w:rsidRDefault="00385F0B" w:rsidP="008E649E">
      <w:pPr>
        <w:pStyle w:val="BodyText"/>
        <w:numPr>
          <w:ilvl w:val="0"/>
          <w:numId w:val="6"/>
        </w:numPr>
        <w:ind w:left="714" w:hanging="357"/>
        <w:contextualSpacing/>
      </w:pPr>
      <w:r>
        <w:t xml:space="preserve">All storage containers will remain within the site compound and be appropriately bunded to prevent any spillages or leaks.  No storage of materials or refuelling operations will be permitted outside the site compound.  </w:t>
      </w:r>
    </w:p>
    <w:p w14:paraId="64B8B210" w14:textId="77777777" w:rsidR="00F54625" w:rsidRDefault="00F54625">
      <w:pPr>
        <w:rPr>
          <w:rFonts w:ascii="Arial" w:hAnsi="Arial" w:cs="Arial"/>
          <w:b/>
          <w:bCs/>
          <w:color w:val="00A0AA" w:themeColor="accent6"/>
          <w:sz w:val="36"/>
          <w:szCs w:val="26"/>
        </w:rPr>
      </w:pPr>
      <w:bookmarkStart w:id="21" w:name="_Toc160701718"/>
      <w:r>
        <w:rPr>
          <w:rFonts w:cs="Arial"/>
          <w:color w:val="00A0AA" w:themeColor="accent6"/>
        </w:rPr>
        <w:br w:type="page"/>
      </w:r>
    </w:p>
    <w:p w14:paraId="24CC6F39" w14:textId="58DD887F" w:rsidR="00195A2C" w:rsidRPr="004533E9" w:rsidRDefault="00195A2C" w:rsidP="00195A2C">
      <w:pPr>
        <w:pStyle w:val="Heading2"/>
        <w:rPr>
          <w:rFonts w:cs="Arial"/>
          <w:color w:val="00A0AA" w:themeColor="accent6"/>
          <w:sz w:val="32"/>
          <w:szCs w:val="32"/>
          <w:u w:val="single"/>
        </w:rPr>
      </w:pPr>
      <w:r w:rsidRPr="004533E9">
        <w:rPr>
          <w:rFonts w:cs="Arial"/>
          <w:color w:val="00A0AA" w:themeColor="accent6"/>
        </w:rPr>
        <w:lastRenderedPageBreak/>
        <w:t>2.</w:t>
      </w:r>
      <w:r w:rsidR="00385F0B">
        <w:rPr>
          <w:rFonts w:cs="Arial"/>
          <w:color w:val="00A0AA" w:themeColor="accent6"/>
        </w:rPr>
        <w:t>3</w:t>
      </w:r>
      <w:r w:rsidRPr="004533E9">
        <w:rPr>
          <w:rFonts w:cs="Arial"/>
          <w:color w:val="00A0AA" w:themeColor="accent6"/>
        </w:rPr>
        <w:t xml:space="preserve"> </w:t>
      </w:r>
      <w:r w:rsidR="00385F0B">
        <w:rPr>
          <w:rFonts w:cs="Arial"/>
          <w:color w:val="00A0AA" w:themeColor="accent6"/>
        </w:rPr>
        <w:t>Heritage</w:t>
      </w:r>
      <w:r w:rsidR="00BA7E4F">
        <w:rPr>
          <w:rFonts w:cs="Arial"/>
          <w:color w:val="00A0AA" w:themeColor="accent6"/>
        </w:rPr>
        <w:t xml:space="preserve"> and Landscape</w:t>
      </w:r>
      <w:bookmarkEnd w:id="21"/>
    </w:p>
    <w:p w14:paraId="66DCF09D" w14:textId="77777777" w:rsidR="00385F0B" w:rsidRDefault="00385F0B" w:rsidP="007E1625">
      <w:pPr>
        <w:pStyle w:val="Heading3"/>
      </w:pPr>
      <w:r w:rsidRPr="00385F0B">
        <w:t xml:space="preserve">Baseline </w:t>
      </w:r>
    </w:p>
    <w:p w14:paraId="2717FC56" w14:textId="18000613" w:rsidR="003C3114" w:rsidRDefault="00947197" w:rsidP="00385F0B">
      <w:pPr>
        <w:pStyle w:val="BodyText"/>
      </w:pPr>
      <w:r w:rsidRPr="00947197">
        <w:t xml:space="preserve">The site is located within the Gwent Levels Registered Historic Landscape (Cadw: HLW (Gt) 2) and is immediately to the south of the ‘Relict seawall on Rumney Great Wharf’ </w:t>
      </w:r>
      <w:r w:rsidR="008F59C1">
        <w:t>S</w:t>
      </w:r>
      <w:r w:rsidRPr="00947197">
        <w:t xml:space="preserve">cheduled </w:t>
      </w:r>
      <w:r w:rsidR="008F59C1">
        <w:t>M</w:t>
      </w:r>
      <w:r w:rsidRPr="00947197">
        <w:t>onument (Cadw: GM474). Consultation with</w:t>
      </w:r>
      <w:r w:rsidR="001B08D4" w:rsidRPr="001B08D4">
        <w:t xml:space="preserve"> Cadw (Historic Environment), Glamorgan and Gwent Archaeological Trust (GGAT) and Royal Commission on the Ancient and Historical Monuments of Wales (RCAHMW) has been undertaken. Cadw have advised that significant impacts to the Scheduled Monument [GM474 Relict Seawall] and Registered Gwent Levels Landscape of Historic Interest are not considered likely. Access requirements will need to be mindful of Scheduled Monument GM474 - Relict Seawall approximately 200m southwest of the closest polder.</w:t>
      </w:r>
    </w:p>
    <w:p w14:paraId="14507FE3" w14:textId="594B9E82" w:rsidR="00547DF1" w:rsidRDefault="001B08D4" w:rsidP="00385F0B">
      <w:pPr>
        <w:pStyle w:val="BodyText"/>
      </w:pPr>
      <w:r>
        <w:t xml:space="preserve">A meeting was held with the </w:t>
      </w:r>
      <w:r w:rsidRPr="001B08D4">
        <w:t>RCAHMW Senior Investigator (Maritime)</w:t>
      </w:r>
      <w:r>
        <w:t xml:space="preserve"> (refer to Annex B- consultation record) who requested additional information and mitigation considering the archaeological potential of the site. </w:t>
      </w:r>
      <w:r w:rsidR="00547DF1" w:rsidRPr="00547DF1">
        <w:t xml:space="preserve">A </w:t>
      </w:r>
      <w:r w:rsidR="00A35BB1">
        <w:t>S</w:t>
      </w:r>
      <w:r w:rsidR="00547DF1" w:rsidRPr="00547DF1">
        <w:t xml:space="preserve">upplementary Archaeological </w:t>
      </w:r>
      <w:r w:rsidR="00A35BB1">
        <w:t>N</w:t>
      </w:r>
      <w:r w:rsidR="00547DF1" w:rsidRPr="00547DF1">
        <w:t>ote</w:t>
      </w:r>
      <w:r w:rsidR="008F59C1">
        <w:t xml:space="preserve"> </w:t>
      </w:r>
      <w:r w:rsidR="008F59C1" w:rsidRPr="00D84FE4">
        <w:t>(Appendix O- Marine Licence Application</w:t>
      </w:r>
      <w:r w:rsidR="00A421E4" w:rsidRPr="00D84FE4">
        <w:t xml:space="preserve"> (file 290063-ARP-00-RP-RP-NX-0016</w:t>
      </w:r>
      <w:r w:rsidR="008F59C1" w:rsidRPr="00D84FE4">
        <w:t>)</w:t>
      </w:r>
      <w:r w:rsidR="00A421E4" w:rsidRPr="00D84FE4">
        <w:t>)</w:t>
      </w:r>
      <w:r w:rsidR="008F59C1" w:rsidRPr="00D84FE4">
        <w:t xml:space="preserve"> </w:t>
      </w:r>
      <w:r w:rsidR="00547DF1" w:rsidRPr="00547DF1">
        <w:t>has been prepared to provide information on the known and potential archaeology which could be impacted by th</w:t>
      </w:r>
      <w:r w:rsidR="00547DF1">
        <w:t>e scheme</w:t>
      </w:r>
      <w:r w:rsidR="00A35BB1">
        <w:t xml:space="preserve"> and give an overview of potential impacts and proposed </w:t>
      </w:r>
      <w:r w:rsidR="008F59C1">
        <w:t>mitigation. The</w:t>
      </w:r>
      <w:r w:rsidR="00A35BB1">
        <w:t xml:space="preserve"> findings of this note are summarised below. </w:t>
      </w:r>
    </w:p>
    <w:p w14:paraId="0A139C0C" w14:textId="701FE680" w:rsidR="00BB08D3" w:rsidRDefault="00BB08D3" w:rsidP="00D84FE4">
      <w:pPr>
        <w:pStyle w:val="Heading4"/>
      </w:pPr>
      <w:r w:rsidRPr="003C3114">
        <w:t>The Gwent Levels</w:t>
      </w:r>
    </w:p>
    <w:p w14:paraId="55B483BF" w14:textId="5ACBDF94" w:rsidR="00947197" w:rsidRDefault="00AC4943" w:rsidP="00385F0B">
      <w:pPr>
        <w:pStyle w:val="BodyText"/>
      </w:pPr>
      <w:r>
        <w:t xml:space="preserve">The Gwent Levels </w:t>
      </w:r>
      <w:r w:rsidR="000A0ECC">
        <w:t xml:space="preserve">Registered </w:t>
      </w:r>
      <w:r>
        <w:t>Historic Land</w:t>
      </w:r>
      <w:r w:rsidR="000A0ECC">
        <w:t>s</w:t>
      </w:r>
      <w:r>
        <w:t>cape</w:t>
      </w:r>
      <w:r w:rsidR="00947197">
        <w:t xml:space="preserve"> designation reflects the </w:t>
      </w:r>
      <w:r w:rsidR="00947197" w:rsidRPr="00947197">
        <w:t>presence of a landscape with thousands of years of evidence for human activity</w:t>
      </w:r>
      <w:r w:rsidR="00947197">
        <w:t xml:space="preserve"> and successive generations of land reclamation. </w:t>
      </w:r>
      <w:r w:rsidR="00947197" w:rsidRPr="00947197">
        <w:t>Across the area there is high potential for archaeological and paleoenvironmental remains which, due to waterlogging, often have extremely high levels of preservation.</w:t>
      </w:r>
    </w:p>
    <w:p w14:paraId="0BD7DA24" w14:textId="35A9ADAA" w:rsidR="00947197" w:rsidRPr="00947197" w:rsidRDefault="00947197" w:rsidP="00947197">
      <w:pPr>
        <w:pStyle w:val="BodyText"/>
      </w:pPr>
      <w:r w:rsidRPr="00947197">
        <w:t>Within the levels, different geological, environmental and human processes have led to a range of environments which is reflected in their archaeological potential.</w:t>
      </w:r>
      <w:r>
        <w:t xml:space="preserve"> </w:t>
      </w:r>
      <w:r w:rsidRPr="00947197">
        <w:t>Mesolithic remains have been discovered underlying peat deposits, which formed later in the prehistoric era. Higher ‘islands’ within the marshes which formed are known for evidence of Late Bronze Age and Iron Age activity, but they became inundated with salt water after this period. The Romans carried out work to reclaim the salt marshes, constructing a sea wall and building drainage systems. The landscape continued to be managed as a wetland through the medieval period, with marshland used for pasture alongside some areas of land reclamation and drainage. More intensive drainage was undertaken in the post-medieval period, which led to the formation of the landscape as it is today.</w:t>
      </w:r>
    </w:p>
    <w:p w14:paraId="72D850B2" w14:textId="6BDA0E42" w:rsidR="00947197" w:rsidRPr="00947197" w:rsidRDefault="00947197" w:rsidP="00947197">
      <w:pPr>
        <w:pStyle w:val="BodyText"/>
      </w:pPr>
      <w:r w:rsidRPr="00947197">
        <w:t xml:space="preserve">The </w:t>
      </w:r>
      <w:r>
        <w:t>scheme</w:t>
      </w:r>
      <w:r w:rsidRPr="00947197">
        <w:t xml:space="preserve"> is located in the intertidal zone, where processes of coastal erosion effectively make it an open archaeological site, with features of all periods emerging and disappearing within the mud flats as they are uncovered, eroded or recovered by the shifting foreshore material. Due to the changing coastline in the past, the layers and features located here are not necessarily coastal in origin, as the landscape would have been drier and further away from the coast at various points in the past. </w:t>
      </w:r>
    </w:p>
    <w:p w14:paraId="344CF9D9" w14:textId="29C2661D" w:rsidR="00947197" w:rsidRDefault="003C3114" w:rsidP="00385F0B">
      <w:pPr>
        <w:pStyle w:val="BodyText"/>
      </w:pPr>
      <w:r w:rsidRPr="003C3114">
        <w:t>The registered landscape has been divided into Historic Landscape Character Areas (HLCA), which reflect different patterns of historic land</w:t>
      </w:r>
      <w:r>
        <w:t xml:space="preserve"> </w:t>
      </w:r>
      <w:r w:rsidRPr="003C3114">
        <w:t xml:space="preserve">use which are distinct from one </w:t>
      </w:r>
      <w:r w:rsidRPr="003C3114">
        <w:lastRenderedPageBreak/>
        <w:t>another in terms of their settlement, drainage systems, agriculture and archaeological potential. The western part of the site is within the Rumney HLCA while the eastern part of the site, south of Newton and beyond, is within the Peterstone HLCA. Assessment of these two areas, undertaken by GGAT, indicates that the landscapes south and east of Newton were laid out in the Roman period, with the drainage probably created by Roman legionaries based at Caerleon. The Rumney HLCA, which the western part of the site is located within, is more typical of piecemeal medieval land reclamation and there are few records associated with the coastline, the main ones being the setting back of the sea wall at Newton in the late sixteenth century – the remains of the wall are now scheduled and are located immediately north of the site</w:t>
      </w:r>
      <w:r>
        <w:t>.</w:t>
      </w:r>
    </w:p>
    <w:p w14:paraId="35279F3D" w14:textId="1A669AD7" w:rsidR="00BB08D3" w:rsidRPr="00D84FE4" w:rsidRDefault="00BB08D3" w:rsidP="00D84FE4">
      <w:pPr>
        <w:pStyle w:val="Heading4"/>
      </w:pPr>
      <w:r w:rsidRPr="00D84FE4">
        <w:t xml:space="preserve">Previously </w:t>
      </w:r>
      <w:r w:rsidR="008F59C1">
        <w:t>I</w:t>
      </w:r>
      <w:r w:rsidRPr="00D84FE4">
        <w:t>dentified Archaeology</w:t>
      </w:r>
    </w:p>
    <w:p w14:paraId="1AEF279B" w14:textId="3A1B4B9D" w:rsidR="003C3114" w:rsidRPr="003C3114" w:rsidRDefault="003C3114" w:rsidP="003C3114">
      <w:pPr>
        <w:pStyle w:val="BodyText"/>
        <w:rPr>
          <w:rFonts w:asciiTheme="minorHAnsi" w:eastAsia="Times New Roman" w:hAnsiTheme="minorHAnsi" w:cstheme="minorHAnsi"/>
          <w:color w:val="333333"/>
        </w:rPr>
      </w:pPr>
      <w:r>
        <w:rPr>
          <w:rFonts w:asciiTheme="minorHAnsi" w:eastAsia="Times New Roman" w:hAnsiTheme="minorHAnsi" w:cstheme="minorHAnsi"/>
          <w:color w:val="333333"/>
        </w:rPr>
        <w:t>T</w:t>
      </w:r>
      <w:r w:rsidRPr="003C3114">
        <w:rPr>
          <w:rFonts w:asciiTheme="minorHAnsi" w:eastAsia="Times New Roman" w:hAnsiTheme="minorHAnsi" w:cstheme="minorHAnsi"/>
          <w:color w:val="333333"/>
        </w:rPr>
        <w:t>he site is located within the Archaeologically Sensitive Area of the Wentloog Levels</w:t>
      </w:r>
      <w:r>
        <w:rPr>
          <w:rFonts w:asciiTheme="minorHAnsi" w:eastAsia="Times New Roman" w:hAnsiTheme="minorHAnsi" w:cstheme="minorHAnsi"/>
          <w:color w:val="333333"/>
        </w:rPr>
        <w:t xml:space="preserve">. </w:t>
      </w:r>
      <w:r w:rsidRPr="003C3114">
        <w:rPr>
          <w:rFonts w:asciiTheme="minorHAnsi" w:eastAsia="Times New Roman" w:hAnsiTheme="minorHAnsi" w:cstheme="minorHAnsi"/>
          <w:color w:val="333333"/>
        </w:rPr>
        <w:t xml:space="preserve">A number of previous archaeological investigations within the site, as well as chance finds recorded within the Historic Environment Record (HER), have identified archaeological features, artefacts and artefact scatters, as well as palaeochannels which may be an indication of the location of further remains. </w:t>
      </w:r>
      <w:r>
        <w:rPr>
          <w:rFonts w:asciiTheme="minorHAnsi" w:eastAsia="Times New Roman" w:hAnsiTheme="minorHAnsi" w:cstheme="minorHAnsi"/>
          <w:color w:val="333333"/>
        </w:rPr>
        <w:t>I</w:t>
      </w:r>
      <w:r w:rsidRPr="003C3114">
        <w:rPr>
          <w:rFonts w:asciiTheme="minorHAnsi" w:eastAsia="Times New Roman" w:hAnsiTheme="minorHAnsi" w:cstheme="minorHAnsi"/>
          <w:color w:val="333333"/>
        </w:rPr>
        <w:t xml:space="preserve">t should be noted that, due to the ongoing processes of coastal erosion, it is unlikely that these specific remains survive. However, they are </w:t>
      </w:r>
      <w:r w:rsidR="00D21A2A">
        <w:rPr>
          <w:rFonts w:asciiTheme="minorHAnsi" w:eastAsia="Times New Roman" w:hAnsiTheme="minorHAnsi" w:cstheme="minorHAnsi"/>
          <w:color w:val="333333"/>
        </w:rPr>
        <w:t xml:space="preserve">a </w:t>
      </w:r>
      <w:r w:rsidRPr="003C3114">
        <w:rPr>
          <w:rFonts w:asciiTheme="minorHAnsi" w:eastAsia="Times New Roman" w:hAnsiTheme="minorHAnsi" w:cstheme="minorHAnsi"/>
          <w:color w:val="333333"/>
        </w:rPr>
        <w:t>strong indication of the kind of further remains which could be present</w:t>
      </w:r>
      <w:r w:rsidR="00D84FE4">
        <w:rPr>
          <w:rFonts w:asciiTheme="minorHAnsi" w:eastAsia="Times New Roman" w:hAnsiTheme="minorHAnsi" w:cstheme="minorHAnsi"/>
          <w:color w:val="333333"/>
        </w:rPr>
        <w:t>.</w:t>
      </w:r>
    </w:p>
    <w:p w14:paraId="63CF3182" w14:textId="77777777" w:rsidR="003C3114" w:rsidRPr="003C3114" w:rsidRDefault="003C3114" w:rsidP="003C3114">
      <w:pPr>
        <w:pStyle w:val="BodyText"/>
        <w:rPr>
          <w:rFonts w:asciiTheme="minorHAnsi" w:eastAsia="Times New Roman" w:hAnsiTheme="minorHAnsi" w:cstheme="minorHAnsi"/>
          <w:color w:val="333333"/>
        </w:rPr>
      </w:pPr>
      <w:r w:rsidRPr="003C3114">
        <w:rPr>
          <w:rFonts w:asciiTheme="minorHAnsi" w:eastAsia="Times New Roman" w:hAnsiTheme="minorHAnsi" w:cstheme="minorHAnsi"/>
          <w:color w:val="333333"/>
        </w:rPr>
        <w:t xml:space="preserve">The GGAT HER includes 47 records of archaeological features or finds within the site. Of these, 20 are of prehistoric date, and include: </w:t>
      </w:r>
    </w:p>
    <w:p w14:paraId="1EAB3E04" w14:textId="2C6CA1C5" w:rsidR="003C3114" w:rsidRPr="003C3114" w:rsidRDefault="003C3114" w:rsidP="008E649E">
      <w:pPr>
        <w:pStyle w:val="BodyText"/>
        <w:numPr>
          <w:ilvl w:val="0"/>
          <w:numId w:val="14"/>
        </w:numPr>
        <w:spacing w:after="0"/>
        <w:rPr>
          <w:rFonts w:asciiTheme="minorHAnsi" w:eastAsia="Times New Roman" w:hAnsiTheme="minorHAnsi" w:cstheme="minorHAnsi"/>
          <w:color w:val="333333"/>
        </w:rPr>
      </w:pPr>
      <w:r w:rsidRPr="003C3114">
        <w:rPr>
          <w:rFonts w:asciiTheme="minorHAnsi" w:eastAsia="Times New Roman" w:hAnsiTheme="minorHAnsi" w:cstheme="minorHAnsi"/>
          <w:color w:val="333333"/>
        </w:rPr>
        <w:t xml:space="preserve">Two features interpreted </w:t>
      </w:r>
      <w:r w:rsidR="00D21A2A">
        <w:rPr>
          <w:rFonts w:asciiTheme="minorHAnsi" w:eastAsia="Times New Roman" w:hAnsiTheme="minorHAnsi" w:cstheme="minorHAnsi"/>
          <w:color w:val="333333"/>
        </w:rPr>
        <w:t>as</w:t>
      </w:r>
      <w:r w:rsidRPr="003C3114">
        <w:rPr>
          <w:rFonts w:asciiTheme="minorHAnsi" w:eastAsia="Times New Roman" w:hAnsiTheme="minorHAnsi" w:cstheme="minorHAnsi"/>
          <w:color w:val="333333"/>
        </w:rPr>
        <w:t xml:space="preserve"> hearths within the peat layers, thought to be of Mesolithic date.</w:t>
      </w:r>
    </w:p>
    <w:p w14:paraId="2A76E79C" w14:textId="77777777" w:rsidR="003C3114" w:rsidRPr="003C3114" w:rsidRDefault="003C3114" w:rsidP="008E649E">
      <w:pPr>
        <w:pStyle w:val="BodyText"/>
        <w:numPr>
          <w:ilvl w:val="0"/>
          <w:numId w:val="14"/>
        </w:numPr>
        <w:spacing w:after="0"/>
        <w:rPr>
          <w:rFonts w:asciiTheme="minorHAnsi" w:eastAsia="Times New Roman" w:hAnsiTheme="minorHAnsi" w:cstheme="minorHAnsi"/>
          <w:color w:val="333333"/>
        </w:rPr>
      </w:pPr>
      <w:r w:rsidRPr="003C3114">
        <w:rPr>
          <w:rFonts w:asciiTheme="minorHAnsi" w:eastAsia="Times New Roman" w:hAnsiTheme="minorHAnsi" w:cstheme="minorHAnsi"/>
          <w:color w:val="333333"/>
        </w:rPr>
        <w:t>Two Neolithic artefacts, including a flint knife and arrowhead.</w:t>
      </w:r>
    </w:p>
    <w:p w14:paraId="2EA02271" w14:textId="77777777" w:rsidR="003C3114" w:rsidRPr="003C3114" w:rsidRDefault="003C3114" w:rsidP="008E649E">
      <w:pPr>
        <w:pStyle w:val="BodyText"/>
        <w:numPr>
          <w:ilvl w:val="0"/>
          <w:numId w:val="14"/>
        </w:numPr>
        <w:spacing w:after="0"/>
        <w:rPr>
          <w:rFonts w:asciiTheme="minorHAnsi" w:eastAsia="Times New Roman" w:hAnsiTheme="minorHAnsi" w:cstheme="minorHAnsi"/>
          <w:color w:val="333333"/>
        </w:rPr>
      </w:pPr>
      <w:r w:rsidRPr="003C3114">
        <w:rPr>
          <w:rFonts w:asciiTheme="minorHAnsi" w:eastAsia="Times New Roman" w:hAnsiTheme="minorHAnsi" w:cstheme="minorHAnsi"/>
          <w:color w:val="333333"/>
        </w:rPr>
        <w:t>An assemblage of Bronze Age artefacts found together, which included over 60 sherds of pottery along with bone and fire-cracked stone.</w:t>
      </w:r>
    </w:p>
    <w:p w14:paraId="50560990" w14:textId="77777777" w:rsidR="003C3114" w:rsidRPr="003C3114" w:rsidRDefault="003C3114" w:rsidP="008E649E">
      <w:pPr>
        <w:pStyle w:val="BodyText"/>
        <w:numPr>
          <w:ilvl w:val="0"/>
          <w:numId w:val="14"/>
        </w:numPr>
        <w:spacing w:after="0"/>
        <w:rPr>
          <w:rFonts w:asciiTheme="minorHAnsi" w:eastAsia="Times New Roman" w:hAnsiTheme="minorHAnsi" w:cstheme="minorHAnsi"/>
          <w:color w:val="333333"/>
        </w:rPr>
      </w:pPr>
      <w:r w:rsidRPr="003C3114">
        <w:rPr>
          <w:rFonts w:asciiTheme="minorHAnsi" w:eastAsia="Times New Roman" w:hAnsiTheme="minorHAnsi" w:cstheme="minorHAnsi"/>
          <w:color w:val="333333"/>
        </w:rPr>
        <w:t>A possible Bronze Age round house.</w:t>
      </w:r>
    </w:p>
    <w:p w14:paraId="0FB9C237" w14:textId="77777777" w:rsidR="003C3114" w:rsidRPr="003C3114" w:rsidRDefault="003C3114" w:rsidP="008E649E">
      <w:pPr>
        <w:pStyle w:val="BodyText"/>
        <w:numPr>
          <w:ilvl w:val="0"/>
          <w:numId w:val="14"/>
        </w:numPr>
        <w:spacing w:after="0"/>
        <w:rPr>
          <w:rFonts w:asciiTheme="minorHAnsi" w:eastAsia="Times New Roman" w:hAnsiTheme="minorHAnsi" w:cstheme="minorHAnsi"/>
          <w:color w:val="333333"/>
        </w:rPr>
      </w:pPr>
      <w:r w:rsidRPr="003C3114">
        <w:rPr>
          <w:rFonts w:asciiTheme="minorHAnsi" w:eastAsia="Times New Roman" w:hAnsiTheme="minorHAnsi" w:cstheme="minorHAnsi"/>
          <w:color w:val="333333"/>
        </w:rPr>
        <w:t>An Iron Age hearth.</w:t>
      </w:r>
    </w:p>
    <w:p w14:paraId="645C76D8" w14:textId="77777777" w:rsidR="003C3114" w:rsidRPr="003C3114" w:rsidRDefault="003C3114" w:rsidP="008E649E">
      <w:pPr>
        <w:pStyle w:val="BodyText"/>
        <w:numPr>
          <w:ilvl w:val="0"/>
          <w:numId w:val="14"/>
        </w:numPr>
        <w:rPr>
          <w:rFonts w:asciiTheme="minorHAnsi" w:eastAsia="Times New Roman" w:hAnsiTheme="minorHAnsi" w:cstheme="minorHAnsi"/>
          <w:color w:val="333333"/>
        </w:rPr>
      </w:pPr>
      <w:r w:rsidRPr="003C3114">
        <w:rPr>
          <w:rFonts w:asciiTheme="minorHAnsi" w:eastAsia="Times New Roman" w:hAnsiTheme="minorHAnsi" w:cstheme="minorHAnsi"/>
          <w:color w:val="333333"/>
        </w:rPr>
        <w:t>Several other structures, made of wood preserved within the waterlogged deposits, which are not as closely dated but are believed to be prehistoric and may be fencing or further round houses, as well as many other artefacts.</w:t>
      </w:r>
    </w:p>
    <w:p w14:paraId="4A482585" w14:textId="77777777" w:rsidR="003C3114" w:rsidRPr="003C3114" w:rsidRDefault="003C3114" w:rsidP="003C3114">
      <w:pPr>
        <w:pStyle w:val="BodyText"/>
        <w:rPr>
          <w:rFonts w:asciiTheme="minorHAnsi" w:eastAsia="Times New Roman" w:hAnsiTheme="minorHAnsi" w:cstheme="minorHAnsi"/>
          <w:color w:val="333333"/>
        </w:rPr>
      </w:pPr>
      <w:r w:rsidRPr="003C3114">
        <w:rPr>
          <w:rFonts w:asciiTheme="minorHAnsi" w:eastAsia="Times New Roman" w:hAnsiTheme="minorHAnsi" w:cstheme="minorHAnsi"/>
          <w:color w:val="333333"/>
        </w:rPr>
        <w:t xml:space="preserve">A particularly identifiable area of Bronze Age artefacts and features is centred on NGR: ST 23904 77917 and includes structures likely associated with a prehistoric trackway. In preserved layers of the mud there are prehistoric cattle footprints. </w:t>
      </w:r>
    </w:p>
    <w:p w14:paraId="4CD42C1E" w14:textId="77777777" w:rsidR="003C3114" w:rsidRPr="003C3114" w:rsidRDefault="003C3114" w:rsidP="003C3114">
      <w:pPr>
        <w:pStyle w:val="BodyText"/>
        <w:rPr>
          <w:rFonts w:asciiTheme="minorHAnsi" w:eastAsia="Times New Roman" w:hAnsiTheme="minorHAnsi" w:cstheme="minorHAnsi"/>
          <w:color w:val="333333"/>
        </w:rPr>
      </w:pPr>
      <w:r w:rsidRPr="003C3114">
        <w:rPr>
          <w:rFonts w:asciiTheme="minorHAnsi" w:eastAsia="Times New Roman" w:hAnsiTheme="minorHAnsi" w:cstheme="minorHAnsi"/>
          <w:color w:val="333333"/>
        </w:rPr>
        <w:t>There are also 18 records of features or artefacts of Roman date. These include:</w:t>
      </w:r>
    </w:p>
    <w:p w14:paraId="02AD5BB6" w14:textId="77777777" w:rsidR="003C3114" w:rsidRPr="003C3114" w:rsidRDefault="003C3114" w:rsidP="008E649E">
      <w:pPr>
        <w:pStyle w:val="BodyText"/>
        <w:numPr>
          <w:ilvl w:val="0"/>
          <w:numId w:val="15"/>
        </w:numPr>
        <w:spacing w:after="0"/>
        <w:rPr>
          <w:rFonts w:asciiTheme="minorHAnsi" w:eastAsia="Times New Roman" w:hAnsiTheme="minorHAnsi" w:cstheme="minorHAnsi"/>
          <w:color w:val="333333"/>
        </w:rPr>
      </w:pPr>
      <w:r w:rsidRPr="003C3114">
        <w:rPr>
          <w:rFonts w:asciiTheme="minorHAnsi" w:eastAsia="Times New Roman" w:hAnsiTheme="minorHAnsi" w:cstheme="minorHAnsi"/>
          <w:color w:val="333333"/>
        </w:rPr>
        <w:t>Occupation layers – buried Roman land surface from which artefacts such as burnt bone, iron slag and pottery were found.</w:t>
      </w:r>
    </w:p>
    <w:p w14:paraId="4FA3FC4E" w14:textId="77777777" w:rsidR="003C3114" w:rsidRPr="003C3114" w:rsidRDefault="003C3114" w:rsidP="008E649E">
      <w:pPr>
        <w:pStyle w:val="BodyText"/>
        <w:numPr>
          <w:ilvl w:val="0"/>
          <w:numId w:val="15"/>
        </w:numPr>
        <w:spacing w:after="0"/>
        <w:rPr>
          <w:rFonts w:asciiTheme="minorHAnsi" w:eastAsia="Times New Roman" w:hAnsiTheme="minorHAnsi" w:cstheme="minorHAnsi"/>
          <w:color w:val="333333"/>
        </w:rPr>
      </w:pPr>
      <w:r w:rsidRPr="003C3114">
        <w:rPr>
          <w:rFonts w:asciiTheme="minorHAnsi" w:eastAsia="Times New Roman" w:hAnsiTheme="minorHAnsi" w:cstheme="minorHAnsi"/>
          <w:color w:val="333333"/>
        </w:rPr>
        <w:t>An iron working site.</w:t>
      </w:r>
    </w:p>
    <w:p w14:paraId="6113161A" w14:textId="77777777" w:rsidR="003C3114" w:rsidRPr="003C3114" w:rsidRDefault="003C3114" w:rsidP="008E649E">
      <w:pPr>
        <w:pStyle w:val="BodyText"/>
        <w:numPr>
          <w:ilvl w:val="0"/>
          <w:numId w:val="15"/>
        </w:numPr>
        <w:rPr>
          <w:rFonts w:asciiTheme="minorHAnsi" w:eastAsia="Times New Roman" w:hAnsiTheme="minorHAnsi" w:cstheme="minorHAnsi"/>
          <w:color w:val="333333"/>
        </w:rPr>
      </w:pPr>
      <w:r w:rsidRPr="003C3114">
        <w:rPr>
          <w:rFonts w:asciiTheme="minorHAnsi" w:eastAsia="Times New Roman" w:hAnsiTheme="minorHAnsi" w:cstheme="minorHAnsi"/>
          <w:color w:val="333333"/>
        </w:rPr>
        <w:t>Drainage ditches.</w:t>
      </w:r>
    </w:p>
    <w:p w14:paraId="0E44A985" w14:textId="6C5C02FD" w:rsidR="00947197" w:rsidRDefault="003C3114" w:rsidP="00385F0B">
      <w:pPr>
        <w:pStyle w:val="BodyText"/>
        <w:rPr>
          <w:rFonts w:asciiTheme="minorHAnsi" w:eastAsia="Times New Roman" w:hAnsiTheme="minorHAnsi" w:cstheme="minorHAnsi"/>
          <w:color w:val="333333"/>
        </w:rPr>
      </w:pPr>
      <w:r w:rsidRPr="003C3114">
        <w:rPr>
          <w:rFonts w:asciiTheme="minorHAnsi" w:eastAsia="Times New Roman" w:hAnsiTheme="minorHAnsi" w:cstheme="minorHAnsi"/>
          <w:color w:val="333333"/>
        </w:rPr>
        <w:lastRenderedPageBreak/>
        <w:t>The Roman features are most notably concentrated at the eastern end of the site, with a cluster of finds indicating a possible Romano-British occupation site centred approximately on NGR: ST 24443 78291.</w:t>
      </w:r>
      <w:r>
        <w:rPr>
          <w:rFonts w:asciiTheme="minorHAnsi" w:eastAsia="Times New Roman" w:hAnsiTheme="minorHAnsi" w:cstheme="minorHAnsi"/>
          <w:color w:val="333333"/>
        </w:rPr>
        <w:t xml:space="preserve"> </w:t>
      </w:r>
      <w:r w:rsidRPr="003C3114">
        <w:rPr>
          <w:rFonts w:asciiTheme="minorHAnsi" w:eastAsia="Times New Roman" w:hAnsiTheme="minorHAnsi" w:cstheme="minorHAnsi"/>
          <w:color w:val="333333"/>
        </w:rPr>
        <w:t>The remaining records are of post-medieval, modern or unknown date and include ditches, a palaeochannel, wooden structures, sea defences and pits.</w:t>
      </w:r>
    </w:p>
    <w:p w14:paraId="12FB7F5C" w14:textId="197D02B4" w:rsidR="00D84FE4" w:rsidRDefault="00D84FE4" w:rsidP="00385F0B">
      <w:pPr>
        <w:pStyle w:val="BodyText"/>
        <w:rPr>
          <w:rFonts w:asciiTheme="minorHAnsi" w:eastAsia="Times New Roman" w:hAnsiTheme="minorHAnsi" w:cstheme="minorHAnsi"/>
          <w:color w:val="333333"/>
        </w:rPr>
      </w:pPr>
      <w:r w:rsidRPr="00D84FE4">
        <w:rPr>
          <w:rFonts w:asciiTheme="minorHAnsi" w:eastAsia="Times New Roman" w:hAnsiTheme="minorHAnsi" w:cstheme="minorHAnsi"/>
          <w:color w:val="333333"/>
        </w:rPr>
        <w:t>In addition to the GGAT HER data, RCAHMW’s National Monument Record of Wales (NMRW) dataset was consulted. The majority of the NMRW datapoints are duplicates of those in the HER data, with additional points indicating that the place name evidence (‘Rhymney Great Wharf’) suggests that it was a historic landing point and another collating a series of features included in the HER data into one point showing the presence of a prehistoric landscape.</w:t>
      </w:r>
    </w:p>
    <w:p w14:paraId="7B6CA9CE" w14:textId="7729CECB" w:rsidR="00671027" w:rsidRPr="00AC4943" w:rsidDel="00671027" w:rsidRDefault="00385F0B" w:rsidP="00D84FE4">
      <w:pPr>
        <w:pStyle w:val="Heading3"/>
      </w:pPr>
      <w:r w:rsidRPr="00385F0B">
        <w:t>Potential risks and mitigation</w:t>
      </w:r>
      <w:bookmarkStart w:id="22" w:name="_Hlk146186248"/>
    </w:p>
    <w:bookmarkEnd w:id="22"/>
    <w:p w14:paraId="2EDA5E75" w14:textId="5FCC5330" w:rsidR="00181A61" w:rsidRDefault="008F59C1" w:rsidP="00AC4943">
      <w:pPr>
        <w:pStyle w:val="BodyText"/>
      </w:pPr>
      <w:r w:rsidRPr="00AC4943">
        <w:t>Consultation with Cadw (Historic Environment)</w:t>
      </w:r>
      <w:r w:rsidR="001B08D4">
        <w:t xml:space="preserve">, </w:t>
      </w:r>
      <w:r w:rsidRPr="00AC4943">
        <w:t xml:space="preserve">Glamorgan and Gwent Archaeological Trust (GGAT) </w:t>
      </w:r>
      <w:r w:rsidR="001B08D4">
        <w:t>and</w:t>
      </w:r>
      <w:r w:rsidR="001B08D4" w:rsidRPr="001B08D4">
        <w:t xml:space="preserve"> Royal Commission on the Ancient and Historical Monuments of Wales</w:t>
      </w:r>
      <w:r w:rsidR="001B08D4">
        <w:t xml:space="preserve"> (RCAHMW) </w:t>
      </w:r>
      <w:r w:rsidRPr="00AC4943">
        <w:t xml:space="preserve">has been undertaken. Cadw have advised that significant impacts to the Scheduled Monument [GM474 Relict Seawall] and Registered Gwent Levels Landscape of Historic Interest are not considered </w:t>
      </w:r>
      <w:r w:rsidR="008164D7">
        <w:t>likely.</w:t>
      </w:r>
      <w:r w:rsidR="003776A0">
        <w:t xml:space="preserve"> </w:t>
      </w:r>
      <w:r w:rsidR="00AC4943">
        <w:t>Access requirements will need to be mindful of Scheduled Monument GM474 - Relict Seawall</w:t>
      </w:r>
      <w:r w:rsidR="00AC4943" w:rsidRPr="00AC4943">
        <w:t xml:space="preserve"> </w:t>
      </w:r>
      <w:r w:rsidR="00AC4943">
        <w:t>approximately 200m southwest of the closest polder.</w:t>
      </w:r>
    </w:p>
    <w:p w14:paraId="36A886A8" w14:textId="0FCA87CF" w:rsidR="00BB08D3" w:rsidRPr="00BB08D3" w:rsidRDefault="007E1625" w:rsidP="007E1625">
      <w:pPr>
        <w:pStyle w:val="BodyText"/>
      </w:pPr>
      <w:r>
        <w:t xml:space="preserve">Potential impacts to the historic environment could </w:t>
      </w:r>
      <w:r w:rsidR="00BB08D3" w:rsidRPr="00BB08D3">
        <w:t xml:space="preserve">arise from the construction and </w:t>
      </w:r>
      <w:r>
        <w:t>o</w:t>
      </w:r>
      <w:r w:rsidRPr="00BB08D3">
        <w:t>peration</w:t>
      </w:r>
      <w:r w:rsidR="00BB08D3" w:rsidRPr="00BB08D3">
        <w:t xml:space="preserve"> of the scheme, including:</w:t>
      </w:r>
    </w:p>
    <w:p w14:paraId="7A42A103" w14:textId="77777777" w:rsidR="00BB08D3" w:rsidRPr="00BB08D3" w:rsidRDefault="00BB08D3" w:rsidP="008E649E">
      <w:pPr>
        <w:pStyle w:val="BodyText"/>
        <w:numPr>
          <w:ilvl w:val="0"/>
          <w:numId w:val="12"/>
        </w:numPr>
        <w:spacing w:after="0"/>
      </w:pPr>
      <w:r w:rsidRPr="00BB08D3">
        <w:t xml:space="preserve">Physical removal of archaeological remains during construction, either through compaction or other disturbance from the movement of vehicles accessing the site or from the installation of the fencing itself. </w:t>
      </w:r>
    </w:p>
    <w:p w14:paraId="6927E2F4" w14:textId="77777777" w:rsidR="00BB08D3" w:rsidRPr="00BB08D3" w:rsidRDefault="00BB08D3" w:rsidP="008E649E">
      <w:pPr>
        <w:pStyle w:val="BodyText"/>
        <w:numPr>
          <w:ilvl w:val="0"/>
          <w:numId w:val="12"/>
        </w:numPr>
        <w:spacing w:after="0"/>
      </w:pPr>
      <w:r w:rsidRPr="00BB08D3">
        <w:t>Harm to buried features due to changes in below-ground conditions, such as dewatering.</w:t>
      </w:r>
    </w:p>
    <w:p w14:paraId="3A3A9603" w14:textId="77777777" w:rsidR="00BB08D3" w:rsidRPr="00BB08D3" w:rsidRDefault="00BB08D3" w:rsidP="008E649E">
      <w:pPr>
        <w:pStyle w:val="BodyText"/>
        <w:numPr>
          <w:ilvl w:val="0"/>
          <w:numId w:val="12"/>
        </w:numPr>
        <w:spacing w:after="0"/>
      </w:pPr>
      <w:r w:rsidRPr="00BB08D3">
        <w:t>Impact to heritage assets which are sensitive to harm resulting from change to their settings due to the visual or other experience of the construction or operation of the scheme.</w:t>
      </w:r>
    </w:p>
    <w:p w14:paraId="3A8611C7" w14:textId="1C7E5797" w:rsidR="00BB08D3" w:rsidRDefault="00BB08D3" w:rsidP="008E649E">
      <w:pPr>
        <w:pStyle w:val="BodyText"/>
        <w:numPr>
          <w:ilvl w:val="0"/>
          <w:numId w:val="12"/>
        </w:numPr>
        <w:spacing w:after="0"/>
      </w:pPr>
      <w:r w:rsidRPr="00BB08D3">
        <w:t>Beneficial impacts from the preservation of archaeological remains resulting from the protection that the polders, and the salt marsh and mudflats they will encourage, provide from coastal erosion.</w:t>
      </w:r>
    </w:p>
    <w:p w14:paraId="2FFF96DC" w14:textId="287C1EFA" w:rsidR="00BB08D3" w:rsidRDefault="00671027" w:rsidP="00D84FE4">
      <w:pPr>
        <w:pStyle w:val="Heading4"/>
      </w:pPr>
      <w:r w:rsidRPr="007E1625">
        <w:t>Physical impacts</w:t>
      </w:r>
      <w:r>
        <w:t xml:space="preserve"> </w:t>
      </w:r>
    </w:p>
    <w:p w14:paraId="0632FF04" w14:textId="3CA042C3" w:rsidR="007E1625" w:rsidRPr="007E1625" w:rsidRDefault="007E1625" w:rsidP="007E1625">
      <w:pPr>
        <w:pStyle w:val="BodyText"/>
      </w:pPr>
      <w:r>
        <w:t>T</w:t>
      </w:r>
      <w:r w:rsidRPr="007E1625">
        <w:t xml:space="preserve">he site is in an archaeologically sensitive area and numerous artefacts and structures have been recorded along the foreshore at this point in the past, although those specific remains are unlikely to </w:t>
      </w:r>
      <w:r w:rsidR="001B08D4">
        <w:t xml:space="preserve">have </w:t>
      </w:r>
      <w:r w:rsidRPr="007E1625">
        <w:t>survive</w:t>
      </w:r>
      <w:r w:rsidR="001B08D4">
        <w:t>d</w:t>
      </w:r>
      <w:r>
        <w:t>.</w:t>
      </w:r>
      <w:r w:rsidR="003D4E4B">
        <w:t xml:space="preserve"> </w:t>
      </w:r>
      <w:r w:rsidRPr="007E1625">
        <w:t xml:space="preserve">The construction of the scheme, including the movement of plant and the installation of the polder fencing, has the potential to remove or damage archaeological remains within the footprint of the area disturbed. </w:t>
      </w:r>
    </w:p>
    <w:p w14:paraId="6E2A84C5" w14:textId="77429A40" w:rsidR="007E1625" w:rsidRDefault="007E1625" w:rsidP="00AC4943">
      <w:pPr>
        <w:pStyle w:val="BodyText"/>
      </w:pPr>
      <w:r w:rsidRPr="007E1625">
        <w:t xml:space="preserve">It is unlikely, however, that there will be any indirect adverse impacts, resulting from changes to preservation conditions. This is because the polders, once </w:t>
      </w:r>
      <w:r>
        <w:t xml:space="preserve">in </w:t>
      </w:r>
      <w:r w:rsidRPr="007E1625">
        <w:t xml:space="preserve">operation, should encourage the formation of healthy salt marsh and mud flats, maintaining rather than </w:t>
      </w:r>
      <w:r w:rsidRPr="007E1625">
        <w:lastRenderedPageBreak/>
        <w:t xml:space="preserve">undermining the below ground anaerobic conditions which create the high levels of archaeological preservation in the Gwent Levels. This is likely to be a beneficial impact. Further beneficial impact would arise from the protective action of the salt marsh and mud flats on coastal erosion along the foreshore – reducing the loss of features through exposure to the elements.  </w:t>
      </w:r>
    </w:p>
    <w:p w14:paraId="7B63B937" w14:textId="77777777" w:rsidR="00671027" w:rsidRDefault="00671027" w:rsidP="00D84FE4">
      <w:pPr>
        <w:pStyle w:val="Heading4"/>
      </w:pPr>
      <w:r w:rsidRPr="007E1625">
        <w:t>Setting impacts</w:t>
      </w:r>
      <w:r>
        <w:t xml:space="preserve"> </w:t>
      </w:r>
    </w:p>
    <w:p w14:paraId="2172E0BE" w14:textId="349E9B95" w:rsidR="00671027" w:rsidRDefault="00671027" w:rsidP="00671027">
      <w:pPr>
        <w:pStyle w:val="BodyText"/>
      </w:pPr>
      <w:r w:rsidRPr="00671027">
        <w:t>It is unlikely that there would be any permanent impacts to heritage assets beyond the immediate area of the works and the access as the polders, once constructed, are light structures in natural materials which will visually blend into the surrounding landscape and encourage natural saltmarsh and mud flat development. As a result, no impacts relating to the setting of heritage assets is likely to occur.</w:t>
      </w:r>
    </w:p>
    <w:p w14:paraId="03C98EDD" w14:textId="77777777" w:rsidR="009F39AF" w:rsidRDefault="009F39AF" w:rsidP="009F39AF">
      <w:pPr>
        <w:pStyle w:val="BodyText"/>
        <w:rPr>
          <w:b/>
          <w:bCs/>
          <w:iCs/>
          <w:color w:val="00A0AA"/>
          <w:sz w:val="28"/>
        </w:rPr>
      </w:pPr>
      <w:r>
        <w:rPr>
          <w:b/>
          <w:bCs/>
          <w:iCs/>
          <w:color w:val="00A0AA"/>
          <w:sz w:val="28"/>
        </w:rPr>
        <w:t>Mitigation</w:t>
      </w:r>
    </w:p>
    <w:p w14:paraId="667A5C12" w14:textId="77777777" w:rsidR="009F39AF" w:rsidRDefault="009F39AF" w:rsidP="001B6153">
      <w:pPr>
        <w:pStyle w:val="Heading2"/>
        <w:jc w:val="both"/>
        <w:rPr>
          <w:b w:val="0"/>
          <w:bCs w:val="0"/>
          <w:color w:val="000000"/>
          <w:sz w:val="24"/>
          <w:szCs w:val="24"/>
        </w:rPr>
      </w:pPr>
      <w:r>
        <w:rPr>
          <w:b w:val="0"/>
          <w:bCs w:val="0"/>
          <w:color w:val="000000"/>
          <w:sz w:val="24"/>
          <w:szCs w:val="24"/>
        </w:rPr>
        <w:t xml:space="preserve">Following consultation with the Royal Commission on the Ancient and Historical Monuments of Wales (RCAHMW) Senior Investigator (Maritime) the following measures are proposed to avoid harm to archaeological features or mitigate that harm through recording if it is not possible/appropriate to do so: </w:t>
      </w:r>
    </w:p>
    <w:p w14:paraId="7F2B09AF" w14:textId="77777777" w:rsidR="009F39AF" w:rsidRDefault="009F39AF" w:rsidP="001B6153">
      <w:pPr>
        <w:pStyle w:val="Heading2"/>
        <w:jc w:val="both"/>
        <w:rPr>
          <w:b w:val="0"/>
          <w:bCs w:val="0"/>
          <w:color w:val="000000"/>
          <w:sz w:val="24"/>
          <w:szCs w:val="24"/>
        </w:rPr>
      </w:pPr>
      <w:r>
        <w:rPr>
          <w:b w:val="0"/>
          <w:bCs w:val="0"/>
          <w:color w:val="000000"/>
          <w:sz w:val="24"/>
          <w:szCs w:val="24"/>
        </w:rPr>
        <w:t xml:space="preserve">1. Undertake walkover survey of the areas which would be affected by the construction of the polders, particularly including the routes which would be used for access. A walkover will be conducted where safe to do so. If a walkover survey is not possible in certain areas, an Unmanned Aerial Vehicle (UAV) survey will be undertaken to identify archaeological features within areas affected by the construction of polders and/or access. A UAV survey is contingent upon NRW Protected Sites Team acceptance of an agreed HRA to allow the UAV flight. UAV survey flight heights, duration, launch and landing locations will </w:t>
      </w:r>
      <w:proofErr w:type="gramStart"/>
      <w:r>
        <w:rPr>
          <w:b w:val="0"/>
          <w:bCs w:val="0"/>
          <w:color w:val="000000"/>
          <w:sz w:val="24"/>
          <w:szCs w:val="24"/>
        </w:rPr>
        <w:t>take into account</w:t>
      </w:r>
      <w:proofErr w:type="gramEnd"/>
      <w:r>
        <w:rPr>
          <w:b w:val="0"/>
          <w:bCs w:val="0"/>
          <w:color w:val="000000"/>
          <w:sz w:val="24"/>
          <w:szCs w:val="24"/>
        </w:rPr>
        <w:t xml:space="preserve"> disturbance to protected sites and features. </w:t>
      </w:r>
    </w:p>
    <w:p w14:paraId="311F7509" w14:textId="77777777" w:rsidR="009F39AF" w:rsidRDefault="009F39AF" w:rsidP="001B6153">
      <w:pPr>
        <w:pStyle w:val="Heading2"/>
        <w:jc w:val="both"/>
        <w:rPr>
          <w:b w:val="0"/>
          <w:bCs w:val="0"/>
          <w:color w:val="000000"/>
          <w:sz w:val="24"/>
          <w:szCs w:val="24"/>
        </w:rPr>
      </w:pPr>
      <w:r>
        <w:rPr>
          <w:b w:val="0"/>
          <w:bCs w:val="0"/>
          <w:color w:val="000000"/>
          <w:sz w:val="24"/>
          <w:szCs w:val="24"/>
        </w:rPr>
        <w:t xml:space="preserve">2. If features are identified which should be preserved, exclusion areas will be set up to protect them from damage by vehicles accessing the site. </w:t>
      </w:r>
    </w:p>
    <w:p w14:paraId="1ED9BADB" w14:textId="77777777" w:rsidR="009F39AF" w:rsidRDefault="009F39AF" w:rsidP="001B6153">
      <w:pPr>
        <w:pStyle w:val="Heading2"/>
        <w:jc w:val="both"/>
        <w:rPr>
          <w:b w:val="0"/>
          <w:bCs w:val="0"/>
          <w:color w:val="000000"/>
          <w:sz w:val="24"/>
          <w:szCs w:val="24"/>
        </w:rPr>
      </w:pPr>
      <w:r>
        <w:rPr>
          <w:b w:val="0"/>
          <w:bCs w:val="0"/>
          <w:color w:val="000000"/>
          <w:sz w:val="24"/>
          <w:szCs w:val="24"/>
        </w:rPr>
        <w:t xml:space="preserve">3. A protocol for archaeological discovery shall be put in place to provide a reporting mechanism of finds to GGAT and RCAHMW, including basic photographic and location records. </w:t>
      </w:r>
    </w:p>
    <w:p w14:paraId="1CC711BA" w14:textId="16E5615A" w:rsidR="00446423" w:rsidRDefault="00446423" w:rsidP="00446423">
      <w:pPr>
        <w:pStyle w:val="Heading2"/>
        <w:rPr>
          <w:rFonts w:cs="Arial"/>
          <w:color w:val="00A0AA" w:themeColor="accent6"/>
        </w:rPr>
      </w:pPr>
      <w:bookmarkStart w:id="23" w:name="_Toc160701719"/>
      <w:r w:rsidRPr="00446423">
        <w:rPr>
          <w:rFonts w:cs="Arial"/>
          <w:color w:val="00A0AA" w:themeColor="accent6"/>
        </w:rPr>
        <w:t>2.</w:t>
      </w:r>
      <w:r w:rsidR="00BA7E4F">
        <w:rPr>
          <w:rFonts w:cs="Arial"/>
          <w:color w:val="00A0AA" w:themeColor="accent6"/>
        </w:rPr>
        <w:t>4</w:t>
      </w:r>
      <w:r w:rsidRPr="00446423">
        <w:rPr>
          <w:rFonts w:cs="Arial"/>
          <w:color w:val="00A0AA" w:themeColor="accent6"/>
        </w:rPr>
        <w:t xml:space="preserve"> Cumulative </w:t>
      </w:r>
      <w:r w:rsidR="00D72F55">
        <w:rPr>
          <w:rFonts w:cs="Arial"/>
          <w:color w:val="00A0AA" w:themeColor="accent6"/>
        </w:rPr>
        <w:t>i</w:t>
      </w:r>
      <w:r w:rsidRPr="00446423">
        <w:rPr>
          <w:rFonts w:cs="Arial"/>
          <w:color w:val="00A0AA" w:themeColor="accent6"/>
        </w:rPr>
        <w:t>mpacts</w:t>
      </w:r>
      <w:bookmarkEnd w:id="23"/>
      <w:r w:rsidRPr="00446423">
        <w:rPr>
          <w:rFonts w:cs="Arial"/>
          <w:color w:val="00A0AA" w:themeColor="accent6"/>
        </w:rPr>
        <w:t xml:space="preserve"> </w:t>
      </w:r>
    </w:p>
    <w:p w14:paraId="62A19DDB" w14:textId="0A0A30DB" w:rsidR="00446423" w:rsidRDefault="00AC4943" w:rsidP="00446423">
      <w:pPr>
        <w:pStyle w:val="BodyText"/>
      </w:pPr>
      <w:r w:rsidRPr="00AC4943">
        <w:t>The Cardiff Council Planning Portal was reviewed for potential major planning applications, within a radius of 1km, that could have potential cumulative effects with the proposed scheme. Several planning applications were identified; however, these were minor applications, therefore cumulative effects are not anticipated.</w:t>
      </w:r>
    </w:p>
    <w:p w14:paraId="27EBEB4F" w14:textId="606E7B38" w:rsidR="00657AF3" w:rsidRPr="00446423" w:rsidRDefault="00657AF3" w:rsidP="00446423">
      <w:pPr>
        <w:pStyle w:val="BodyText"/>
      </w:pPr>
      <w:bookmarkStart w:id="24" w:name="_Hlk151456691"/>
      <w:r w:rsidRPr="00657AF3">
        <w:t>Marine licences were reviewed for potential applications within a radius of 1km that may have potential cumulative effects with the project. No relevant marine licence applications were found.</w:t>
      </w:r>
    </w:p>
    <w:p w14:paraId="6A8E04C8" w14:textId="77777777" w:rsidR="00F54625" w:rsidRDefault="00F54625">
      <w:pPr>
        <w:rPr>
          <w:rFonts w:ascii="Arial" w:hAnsi="Arial" w:cs="Arial"/>
          <w:b/>
          <w:bCs/>
          <w:color w:val="00A0AA" w:themeColor="accent6"/>
          <w:sz w:val="40"/>
          <w:szCs w:val="28"/>
        </w:rPr>
      </w:pPr>
      <w:bookmarkStart w:id="25" w:name="_Toc125619214"/>
      <w:bookmarkStart w:id="26" w:name="_Toc160701720"/>
      <w:bookmarkEnd w:id="24"/>
      <w:r>
        <w:rPr>
          <w:rFonts w:cs="Arial"/>
          <w:color w:val="00A0AA" w:themeColor="accent6"/>
        </w:rPr>
        <w:lastRenderedPageBreak/>
        <w:br w:type="page"/>
      </w:r>
    </w:p>
    <w:p w14:paraId="1782911C" w14:textId="524635E2" w:rsidR="00AC74CB" w:rsidRPr="004533E9" w:rsidRDefault="00B53565" w:rsidP="00B53565">
      <w:pPr>
        <w:pStyle w:val="Heading1"/>
        <w:rPr>
          <w:rFonts w:cs="Arial"/>
          <w:color w:val="00A0AA" w:themeColor="accent6"/>
        </w:rPr>
      </w:pPr>
      <w:r w:rsidRPr="004533E9">
        <w:rPr>
          <w:rFonts w:cs="Arial"/>
          <w:color w:val="00A0AA" w:themeColor="accent6"/>
        </w:rPr>
        <w:lastRenderedPageBreak/>
        <w:t xml:space="preserve">3. </w:t>
      </w:r>
      <w:r w:rsidR="00AC74CB" w:rsidRPr="004533E9">
        <w:rPr>
          <w:rFonts w:cs="Arial"/>
          <w:color w:val="00A0AA" w:themeColor="accent6"/>
        </w:rPr>
        <w:t xml:space="preserve">Value added by </w:t>
      </w:r>
      <w:r w:rsidR="00D72F55">
        <w:rPr>
          <w:rFonts w:cs="Arial"/>
          <w:color w:val="00A0AA" w:themeColor="accent6"/>
        </w:rPr>
        <w:t>e</w:t>
      </w:r>
      <w:r w:rsidR="00AC74CB" w:rsidRPr="004533E9">
        <w:rPr>
          <w:rFonts w:cs="Arial"/>
          <w:color w:val="00A0AA" w:themeColor="accent6"/>
        </w:rPr>
        <w:t xml:space="preserve">nvironmental </w:t>
      </w:r>
      <w:r w:rsidR="00D72F55">
        <w:rPr>
          <w:rFonts w:cs="Arial"/>
          <w:color w:val="00A0AA" w:themeColor="accent6"/>
        </w:rPr>
        <w:t>a</w:t>
      </w:r>
      <w:r w:rsidR="00AC74CB" w:rsidRPr="004533E9">
        <w:rPr>
          <w:rFonts w:cs="Arial"/>
          <w:color w:val="00A0AA" w:themeColor="accent6"/>
        </w:rPr>
        <w:t>ssessment</w:t>
      </w:r>
      <w:bookmarkEnd w:id="25"/>
      <w:bookmarkEnd w:id="26"/>
    </w:p>
    <w:p w14:paraId="7E9DBC08" w14:textId="3CB460BE" w:rsidR="00AC74CB" w:rsidRPr="00AC4943" w:rsidRDefault="00AC4943" w:rsidP="00AC74CB">
      <w:pPr>
        <w:rPr>
          <w:rFonts w:ascii="Arial" w:hAnsi="Arial" w:cs="Arial"/>
        </w:rPr>
      </w:pPr>
      <w:r w:rsidRPr="00AC4943">
        <w:rPr>
          <w:rFonts w:ascii="Arial" w:hAnsi="Arial" w:cs="Arial"/>
        </w:rPr>
        <w:t>Environmental assessment has influenced development of the scheme by:</w:t>
      </w:r>
    </w:p>
    <w:p w14:paraId="7CDB295D" w14:textId="77777777" w:rsidR="00AC4943" w:rsidRDefault="00AC4943" w:rsidP="00AC74CB">
      <w:pPr>
        <w:rPr>
          <w:rFonts w:ascii="Arial" w:hAnsi="Arial" w:cs="Arial"/>
        </w:rPr>
      </w:pPr>
    </w:p>
    <w:p w14:paraId="18838C4E" w14:textId="6D6D0927" w:rsidR="0061421B" w:rsidRDefault="0061421B" w:rsidP="008E649E">
      <w:pPr>
        <w:pStyle w:val="ListParagraph"/>
        <w:numPr>
          <w:ilvl w:val="0"/>
          <w:numId w:val="8"/>
        </w:numPr>
        <w:rPr>
          <w:rFonts w:ascii="Arial" w:hAnsi="Arial" w:cs="Arial"/>
        </w:rPr>
      </w:pPr>
      <w:r>
        <w:rPr>
          <w:rFonts w:ascii="Arial" w:hAnsi="Arial" w:cs="Arial"/>
        </w:rPr>
        <w:t>Integrating the Sustainable Management of Natural Resources (SMNR) approach into project development, whilst ensuring compliance with environmental legislation to support the consenting of an important restoration project that will deliver multiple benefits through nature-based solutions.</w:t>
      </w:r>
    </w:p>
    <w:p w14:paraId="3A5F6F49" w14:textId="6DF62F5A" w:rsidR="0061421B" w:rsidRDefault="0061421B" w:rsidP="008E649E">
      <w:pPr>
        <w:pStyle w:val="ListParagraph"/>
        <w:numPr>
          <w:ilvl w:val="0"/>
          <w:numId w:val="8"/>
        </w:numPr>
        <w:rPr>
          <w:rFonts w:ascii="Arial" w:hAnsi="Arial" w:cs="Arial"/>
        </w:rPr>
      </w:pPr>
      <w:r>
        <w:rPr>
          <w:rFonts w:ascii="Arial" w:hAnsi="Arial" w:cs="Arial"/>
        </w:rPr>
        <w:t>Collaborating with key stakeholders and ensuring responses were taken into account throughout the project.</w:t>
      </w:r>
    </w:p>
    <w:p w14:paraId="101B571D" w14:textId="4809C88C" w:rsidR="00AC4943" w:rsidRDefault="00AC4943" w:rsidP="008E649E">
      <w:pPr>
        <w:pStyle w:val="ListParagraph"/>
        <w:numPr>
          <w:ilvl w:val="0"/>
          <w:numId w:val="8"/>
        </w:numPr>
        <w:rPr>
          <w:rFonts w:ascii="Arial" w:hAnsi="Arial" w:cs="Arial"/>
        </w:rPr>
      </w:pPr>
      <w:r>
        <w:rPr>
          <w:rFonts w:ascii="Arial" w:hAnsi="Arial" w:cs="Arial"/>
        </w:rPr>
        <w:t>I</w:t>
      </w:r>
      <w:r w:rsidRPr="00AC4943">
        <w:rPr>
          <w:rFonts w:ascii="Arial" w:hAnsi="Arial" w:cs="Arial"/>
        </w:rPr>
        <w:t>nfluencing the construction period to ensure that construction does not coincide with overwintering bird season.</w:t>
      </w:r>
    </w:p>
    <w:p w14:paraId="3A94671C" w14:textId="2AE02415" w:rsidR="000E3EFE" w:rsidRDefault="0061421B" w:rsidP="008E649E">
      <w:pPr>
        <w:pStyle w:val="ListParagraph"/>
        <w:numPr>
          <w:ilvl w:val="0"/>
          <w:numId w:val="8"/>
        </w:numPr>
        <w:rPr>
          <w:rFonts w:ascii="Arial" w:hAnsi="Arial" w:cs="Arial"/>
        </w:rPr>
      </w:pPr>
      <w:r>
        <w:rPr>
          <w:rFonts w:ascii="Arial" w:hAnsi="Arial" w:cs="Arial"/>
        </w:rPr>
        <w:t>Facilitating an i</w:t>
      </w:r>
      <w:r w:rsidR="000E3EFE">
        <w:rPr>
          <w:rFonts w:ascii="Arial" w:hAnsi="Arial" w:cs="Arial"/>
        </w:rPr>
        <w:t>ntegrated design approach to ensure the polder design is not detrimental to important biodiversity features.</w:t>
      </w:r>
    </w:p>
    <w:p w14:paraId="05ED5E90" w14:textId="77777777" w:rsidR="0061421B" w:rsidRDefault="0061421B" w:rsidP="008E649E">
      <w:pPr>
        <w:pStyle w:val="ListParagraph"/>
        <w:numPr>
          <w:ilvl w:val="0"/>
          <w:numId w:val="8"/>
        </w:numPr>
        <w:rPr>
          <w:rFonts w:ascii="Arial" w:hAnsi="Arial" w:cs="Arial"/>
        </w:rPr>
      </w:pPr>
      <w:r>
        <w:rPr>
          <w:rFonts w:ascii="Arial" w:hAnsi="Arial" w:cs="Arial"/>
        </w:rPr>
        <w:t>Ensuring that impacts to the water environment are considered and mitigated through the application of best practice pollution prevention measures.</w:t>
      </w:r>
    </w:p>
    <w:p w14:paraId="7E515B21" w14:textId="77777777" w:rsidR="0061421B" w:rsidRPr="00AC4943" w:rsidRDefault="0061421B" w:rsidP="008E649E">
      <w:pPr>
        <w:pStyle w:val="ListParagraph"/>
        <w:numPr>
          <w:ilvl w:val="0"/>
          <w:numId w:val="8"/>
        </w:numPr>
        <w:rPr>
          <w:rFonts w:ascii="Arial" w:hAnsi="Arial" w:cs="Arial"/>
        </w:rPr>
      </w:pPr>
      <w:r>
        <w:rPr>
          <w:rFonts w:ascii="Arial" w:hAnsi="Arial" w:cs="Arial"/>
        </w:rPr>
        <w:t>Ensuring sensitive installation methods are proposed to minimise potential trampling effects on sensitive habitats.</w:t>
      </w:r>
    </w:p>
    <w:p w14:paraId="1221F043" w14:textId="77777777" w:rsidR="0061421B" w:rsidRDefault="0061421B" w:rsidP="008E649E">
      <w:pPr>
        <w:pStyle w:val="ListParagraph"/>
        <w:numPr>
          <w:ilvl w:val="0"/>
          <w:numId w:val="8"/>
        </w:numPr>
        <w:rPr>
          <w:rFonts w:ascii="Arial" w:hAnsi="Arial" w:cs="Arial"/>
        </w:rPr>
      </w:pPr>
      <w:r>
        <w:rPr>
          <w:rFonts w:ascii="Arial" w:hAnsi="Arial" w:cs="Arial"/>
        </w:rPr>
        <w:t>Integrating bespoke mitigation measures to avoid disturbance to SPA / Ramsar bird features.</w:t>
      </w:r>
    </w:p>
    <w:p w14:paraId="733886D4" w14:textId="1FB7C230" w:rsidR="00AC4943" w:rsidRDefault="00AC4943" w:rsidP="008E649E">
      <w:pPr>
        <w:pStyle w:val="ListParagraph"/>
        <w:numPr>
          <w:ilvl w:val="0"/>
          <w:numId w:val="8"/>
        </w:numPr>
        <w:rPr>
          <w:rFonts w:ascii="Arial" w:hAnsi="Arial" w:cs="Arial"/>
        </w:rPr>
      </w:pPr>
      <w:r>
        <w:rPr>
          <w:rFonts w:ascii="Arial" w:hAnsi="Arial" w:cs="Arial"/>
        </w:rPr>
        <w:t>Ensuring that sensitive habitats/species are avoided when choosing placement of temporary compound and access routes.</w:t>
      </w:r>
      <w:r w:rsidR="00362C71">
        <w:rPr>
          <w:rFonts w:ascii="Arial" w:hAnsi="Arial" w:cs="Arial"/>
        </w:rPr>
        <w:t xml:space="preserve"> The temporary compound is anticipated to be within the Gwent Levels </w:t>
      </w:r>
      <w:r w:rsidR="00CE2B72" w:rsidRPr="00CE2B72">
        <w:rPr>
          <w:rFonts w:ascii="Arial" w:hAnsi="Arial" w:cs="Arial"/>
        </w:rPr>
        <w:t>– Rumney and Peterstone</w:t>
      </w:r>
      <w:r w:rsidR="00CE2B72">
        <w:rPr>
          <w:rFonts w:ascii="Arial" w:hAnsi="Arial" w:cs="Arial"/>
        </w:rPr>
        <w:t xml:space="preserve"> SSSI and will avoid species and habitats for which the SSSI is notified where possible.</w:t>
      </w:r>
    </w:p>
    <w:p w14:paraId="50560C5F" w14:textId="77777777" w:rsidR="00AC4943" w:rsidRPr="00AA4872" w:rsidRDefault="00AC4943" w:rsidP="00AC74CB">
      <w:pPr>
        <w:rPr>
          <w:rFonts w:ascii="Arial" w:hAnsi="Arial" w:cs="Arial"/>
          <w:u w:val="single"/>
        </w:rPr>
      </w:pPr>
    </w:p>
    <w:p w14:paraId="04436A35" w14:textId="123A5DF0" w:rsidR="00AC74CB" w:rsidRDefault="00B53565" w:rsidP="00B53565">
      <w:pPr>
        <w:pStyle w:val="Heading1"/>
        <w:rPr>
          <w:rFonts w:cs="Arial"/>
          <w:color w:val="00A0AA" w:themeColor="accent6"/>
        </w:rPr>
      </w:pPr>
      <w:bookmarkStart w:id="27" w:name="_Toc125619215"/>
      <w:bookmarkStart w:id="28" w:name="_Toc160701721"/>
      <w:r w:rsidRPr="004533E9">
        <w:rPr>
          <w:rFonts w:cs="Arial"/>
          <w:color w:val="00A0AA" w:themeColor="accent6"/>
        </w:rPr>
        <w:t xml:space="preserve">4. </w:t>
      </w:r>
      <w:bookmarkEnd w:id="27"/>
      <w:r w:rsidR="00195A2C">
        <w:rPr>
          <w:rFonts w:cs="Arial"/>
          <w:color w:val="00A0AA" w:themeColor="accent6"/>
        </w:rPr>
        <w:t xml:space="preserve">Multiple </w:t>
      </w:r>
      <w:r w:rsidR="00D72F55">
        <w:rPr>
          <w:rFonts w:cs="Arial"/>
          <w:color w:val="00A0AA" w:themeColor="accent6"/>
        </w:rPr>
        <w:t>b</w:t>
      </w:r>
      <w:r w:rsidR="00195A2C">
        <w:rPr>
          <w:rFonts w:cs="Arial"/>
          <w:color w:val="00A0AA" w:themeColor="accent6"/>
        </w:rPr>
        <w:t>enefits</w:t>
      </w:r>
      <w:bookmarkEnd w:id="28"/>
      <w:r w:rsidR="00195A2C">
        <w:rPr>
          <w:rFonts w:cs="Arial"/>
          <w:color w:val="00A0AA" w:themeColor="accent6"/>
        </w:rPr>
        <w:t xml:space="preserve"> </w:t>
      </w:r>
    </w:p>
    <w:p w14:paraId="50F83530" w14:textId="1002EDB2" w:rsidR="00B12C63" w:rsidRDefault="00AC4943" w:rsidP="00240AA2">
      <w:pPr>
        <w:pStyle w:val="BodyText"/>
      </w:pPr>
      <w:r w:rsidRPr="00AC4943">
        <w:t xml:space="preserve">This Project seeks to restore and enhance priority saltmarsh </w:t>
      </w:r>
      <w:r w:rsidR="00B12C63">
        <w:t xml:space="preserve">and mudflat </w:t>
      </w:r>
      <w:r w:rsidRPr="00AC4943">
        <w:t xml:space="preserve">habitats along the Rhymney Great Wharf by installing polders and extending the polder system to the west. Polders are fences constructed of brushwood materials (e.g. willow branches) inserted between chestnut fence posts in a rectangular pattern across the mudflat at an appropriate height to facilitate accretion of sediment (c.3m below Mean High Water Springs – MHWS). Tidal currents are slowed by the fences, and wave movements reduced, so that sediment can more easily settle out of the water column and encourage accretion that supports </w:t>
      </w:r>
      <w:r w:rsidR="00B12C63">
        <w:t xml:space="preserve">mudflat and potentially </w:t>
      </w:r>
      <w:r w:rsidRPr="00AC4943">
        <w:t xml:space="preserve">saltmarsh regeneration. This will provide a multitude of outcomes and benefits, including for biodiversity, flood </w:t>
      </w:r>
      <w:r w:rsidR="003E7002">
        <w:t>risk management</w:t>
      </w:r>
      <w:r w:rsidRPr="00AC4943">
        <w:t xml:space="preserve"> and carbon sequestration</w:t>
      </w:r>
      <w:r w:rsidR="00B12C63">
        <w:t>, as discussed in more detail below</w:t>
      </w:r>
      <w:r w:rsidR="00240AA2">
        <w:t>.</w:t>
      </w:r>
    </w:p>
    <w:p w14:paraId="36620B66" w14:textId="052B39EC" w:rsidR="00B12C63" w:rsidRDefault="00B12C63" w:rsidP="00B12C63">
      <w:pPr>
        <w:pStyle w:val="Heading4"/>
      </w:pPr>
      <w:r>
        <w:t>Biodiversity benefits</w:t>
      </w:r>
    </w:p>
    <w:p w14:paraId="6A5C0917" w14:textId="1ED7B19E" w:rsidR="00B12C63" w:rsidRDefault="00B12C63" w:rsidP="00B12C63">
      <w:pPr>
        <w:pStyle w:val="BodyText"/>
      </w:pPr>
      <w:r>
        <w:t xml:space="preserve">The polders project is within an area of the Severn Estuary where both saltmarsh and mudflat habitats have experienced erosion in recent years. The expectation is that without the polders project these erosive trends would continue, and may even accelerate due to climate change </w:t>
      </w:r>
      <w:r w:rsidRPr="00F373F4">
        <w:t>(see Supporting Document ABPmer 2023, Rhymney Polders, Coastal Process Study to Support Design Development).</w:t>
      </w:r>
      <w:r>
        <w:t xml:space="preserve"> Therefore, by reducing tidal currents and wave energy within the polders, it is anticipated that this will allow sediments to accumulate which may be sufficient to allow saltmarsh vegetation to be re-established. </w:t>
      </w:r>
      <w:r>
        <w:lastRenderedPageBreak/>
        <w:t>The polders will support both mudflat and saltmarsh habitats and the transition between the two. Both habitat types are features of the Severn Estuary SSSI, SAC, and Ramsar and are supporting habitats for the bird features of the SPA. Coastal saltmarsh and intertidal mudflats are also listed under Section 7 (Environment (Wales) Act 2016) as habitats of principal importance for the purpose of maintaining and enhancing biodiversity in relation to Wales. By helping to retain and potentially expand the extent these features, the project should deliver biodiversity improvements.</w:t>
      </w:r>
    </w:p>
    <w:p w14:paraId="67D5AAAB" w14:textId="48C89DB9" w:rsidR="00B12C63" w:rsidRDefault="00B12C63" w:rsidP="00B12C63">
      <w:pPr>
        <w:pStyle w:val="Heading4"/>
      </w:pPr>
      <w:r>
        <w:t>Flood Risk Management benefits</w:t>
      </w:r>
    </w:p>
    <w:p w14:paraId="0B0150DE" w14:textId="77777777" w:rsidR="00B12C63" w:rsidRDefault="00B12C63" w:rsidP="00B12C63">
      <w:pPr>
        <w:pStyle w:val="BodyText"/>
      </w:pPr>
      <w:r>
        <w:t>T</w:t>
      </w:r>
      <w:r w:rsidRPr="00F373F4">
        <w:t xml:space="preserve">he benefits for flood risk management </w:t>
      </w:r>
      <w:r>
        <w:t xml:space="preserve">arising from the project are increased with the extent and width of established saltmarsh vegetation that can be achieved in front of the flood defence structures. </w:t>
      </w:r>
    </w:p>
    <w:p w14:paraId="4C8819F5" w14:textId="7A1BD9E1" w:rsidR="00B12C63" w:rsidRDefault="00B12C63" w:rsidP="00B12C63">
      <w:pPr>
        <w:pStyle w:val="BodyText"/>
      </w:pPr>
      <w:r>
        <w:t xml:space="preserve">However, just by trapping additional sediment, even if it remains as mudflat and is not vegetated, will be more beneficial from a flood risk perspective than the alternative ‘do nothing’ scenario which would result in ongoing lowering of the mudflat. Sections to the western end of the proposed project are already experiencing erosion and lowering of mudflats, immediately next to the rip rap defences which protects the upper wharf.  Therefore, there are present day risks to the current flood defence infrastructure, and these are anticipated to increase with climate change. </w:t>
      </w:r>
    </w:p>
    <w:p w14:paraId="1C58A685" w14:textId="77777777" w:rsidR="00B12C63" w:rsidRPr="00F373F4" w:rsidRDefault="00B12C63" w:rsidP="00B12C63">
      <w:pPr>
        <w:pStyle w:val="BodyText"/>
      </w:pPr>
      <w:r>
        <w:t>T</w:t>
      </w:r>
      <w:r w:rsidRPr="00F373F4">
        <w:t>he establishment of saltmarsh can reduce wave energy and have the following benefits</w:t>
      </w:r>
      <w:r>
        <w:t xml:space="preserve"> </w:t>
      </w:r>
      <w:r w:rsidRPr="00F373F4">
        <w:t>(see Supporting Document ABPmer 2023, Rhymney Polders, Coastal Process Study to Support Design Development</w:t>
      </w:r>
      <w:r w:rsidRPr="005843B6">
        <w:t>)</w:t>
      </w:r>
      <w:r w:rsidRPr="00F373F4">
        <w:t xml:space="preserve">: </w:t>
      </w:r>
    </w:p>
    <w:p w14:paraId="0FF8FFFB" w14:textId="77777777" w:rsidR="00B12C63" w:rsidRPr="00F373F4" w:rsidRDefault="00B12C63" w:rsidP="00B12C63">
      <w:pPr>
        <w:pStyle w:val="Bullets"/>
      </w:pPr>
      <w:r w:rsidRPr="00F373F4">
        <w:t xml:space="preserve">Reduce the wave energy reaching the </w:t>
      </w:r>
      <w:r>
        <w:t xml:space="preserve">flood defence </w:t>
      </w:r>
      <w:r w:rsidRPr="00F373F4">
        <w:t xml:space="preserve">structure, potentially lowering maintenance requirements; and </w:t>
      </w:r>
    </w:p>
    <w:p w14:paraId="5E80F47B" w14:textId="77777777" w:rsidR="00B12C63" w:rsidRDefault="00B12C63" w:rsidP="00B12C63">
      <w:pPr>
        <w:pStyle w:val="Bullets"/>
      </w:pPr>
      <w:r w:rsidRPr="00F373F4">
        <w:t xml:space="preserve">Reduce the wave height at the crest of the defence, potentially reducing the risk of overtopping. </w:t>
      </w:r>
    </w:p>
    <w:p w14:paraId="7D634E21" w14:textId="77777777" w:rsidR="00B12C63" w:rsidRDefault="00B12C63" w:rsidP="00B12C63">
      <w:pPr>
        <w:pStyle w:val="Bullets"/>
        <w:numPr>
          <w:ilvl w:val="0"/>
          <w:numId w:val="0"/>
        </w:numPr>
      </w:pPr>
    </w:p>
    <w:p w14:paraId="2C2A6402" w14:textId="6A634537" w:rsidR="00B12C63" w:rsidRPr="00F373F4" w:rsidRDefault="00B12C63" w:rsidP="00B12C63">
      <w:pPr>
        <w:pStyle w:val="Bullets"/>
        <w:numPr>
          <w:ilvl w:val="0"/>
          <w:numId w:val="0"/>
        </w:numPr>
      </w:pPr>
      <w:r>
        <w:t>Therefore if saltmarsh can be established within the repaired and extended polders, it is anticipated that this should deliver some benefits for flood risk management.</w:t>
      </w:r>
    </w:p>
    <w:p w14:paraId="12152E5E" w14:textId="3CEB9E65" w:rsidR="00B12C63" w:rsidRDefault="00B12C63" w:rsidP="00B12C63">
      <w:pPr>
        <w:pStyle w:val="Heading4"/>
      </w:pPr>
      <w:r>
        <w:t>Carbon benefits</w:t>
      </w:r>
    </w:p>
    <w:p w14:paraId="7642CFDA" w14:textId="21C15AC8" w:rsidR="00444095" w:rsidRDefault="0090105B" w:rsidP="00B12C63">
      <w:pPr>
        <w:pStyle w:val="BodyText"/>
        <w:rPr>
          <w:rFonts w:cs="Arial"/>
        </w:rPr>
      </w:pPr>
      <w:r>
        <w:rPr>
          <w:rFonts w:cs="Arial"/>
        </w:rPr>
        <w:t xml:space="preserve">NRW Evidence Report </w:t>
      </w:r>
      <w:r w:rsidR="00444095">
        <w:rPr>
          <w:rFonts w:cs="Arial"/>
        </w:rPr>
        <w:t>631 -</w:t>
      </w:r>
      <w:r>
        <w:rPr>
          <w:rFonts w:cs="Arial"/>
        </w:rPr>
        <w:t xml:space="preserve"> </w:t>
      </w:r>
      <w:hyperlink r:id="rId22" w:history="1">
        <w:r>
          <w:rPr>
            <w:rStyle w:val="Hyperlink"/>
          </w:rPr>
          <w:t>The Blue Carbon Potential of the Marine Protected Area Network in the Welsh Marine Environment (</w:t>
        </w:r>
        <w:proofErr w:type="spellStart"/>
        <w:r>
          <w:rPr>
            <w:rStyle w:val="Hyperlink"/>
          </w:rPr>
          <w:t>naturalresources.wales</w:t>
        </w:r>
        <w:proofErr w:type="spellEnd"/>
        <w:r>
          <w:rPr>
            <w:rStyle w:val="Hyperlink"/>
          </w:rPr>
          <w:t>)</w:t>
        </w:r>
      </w:hyperlink>
      <w:r w:rsidR="00444095">
        <w:rPr>
          <w:rFonts w:cs="Arial"/>
        </w:rPr>
        <w:t xml:space="preserve">, estimates the contribution that saltmarshes and mudflats make towards carbon sequestration and storage in Welsh Special Areas of Conservation. The figure below, taken from the report shows the carbon soil standing stock of features within the Severn Estuary. </w:t>
      </w:r>
      <w:r w:rsidR="00070057">
        <w:rPr>
          <w:rFonts w:cs="Arial"/>
        </w:rPr>
        <w:t>As shown in the figure, b</w:t>
      </w:r>
      <w:r w:rsidR="00444095">
        <w:rPr>
          <w:rFonts w:cs="Arial"/>
        </w:rPr>
        <w:t xml:space="preserve">oth mudflats and saltmarshes play an important role in the Severn </w:t>
      </w:r>
      <w:r w:rsidR="00070057">
        <w:rPr>
          <w:rFonts w:cs="Arial"/>
        </w:rPr>
        <w:t xml:space="preserve">Estuary </w:t>
      </w:r>
      <w:r w:rsidR="00444095">
        <w:rPr>
          <w:rFonts w:cs="Arial"/>
        </w:rPr>
        <w:t xml:space="preserve">in </w:t>
      </w:r>
      <w:r w:rsidR="00070057">
        <w:rPr>
          <w:rFonts w:cs="Arial"/>
        </w:rPr>
        <w:t xml:space="preserve">storing carbon. Therefore, by retaining sediment and potentially restoring saltmarsh, the polders project should help to contribute to carbon benefits. The alternative ‘do nothing’ scenario would lead to further erosion of both mudflat and saltmarsh and a detriment in terms of carbon sequestration and storage. </w:t>
      </w:r>
    </w:p>
    <w:p w14:paraId="71A0AAC4" w14:textId="09342AEA" w:rsidR="00446423" w:rsidRDefault="00444095" w:rsidP="00B12C63">
      <w:pPr>
        <w:pStyle w:val="BodyText"/>
        <w:rPr>
          <w:rFonts w:cs="Arial"/>
        </w:rPr>
      </w:pPr>
      <w:r w:rsidRPr="00444095">
        <w:rPr>
          <w:rFonts w:cs="Arial"/>
          <w:noProof/>
        </w:rPr>
        <w:lastRenderedPageBreak/>
        <w:drawing>
          <wp:inline distT="0" distB="0" distL="0" distR="0" wp14:anchorId="2DBC9476" wp14:editId="36983BA0">
            <wp:extent cx="5068007" cy="719237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68007" cy="7192379"/>
                    </a:xfrm>
                    <a:prstGeom prst="rect">
                      <a:avLst/>
                    </a:prstGeom>
                  </pic:spPr>
                </pic:pic>
              </a:graphicData>
            </a:graphic>
          </wp:inline>
        </w:drawing>
      </w:r>
      <w:r w:rsidRPr="00444095">
        <w:rPr>
          <w:rFonts w:cs="Arial"/>
        </w:rPr>
        <w:t xml:space="preserve"> </w:t>
      </w:r>
      <w:r w:rsidR="00446423">
        <w:rPr>
          <w:rFonts w:cs="Arial"/>
        </w:rPr>
        <w:br w:type="page"/>
      </w:r>
    </w:p>
    <w:p w14:paraId="60E6F6C0" w14:textId="1D78CB81" w:rsidR="00657AF3" w:rsidRPr="00195A2C" w:rsidRDefault="005B124D" w:rsidP="00657AF3">
      <w:pPr>
        <w:pStyle w:val="Heading2"/>
        <w:rPr>
          <w:rFonts w:cs="Arial"/>
          <w:color w:val="00A0AA" w:themeColor="accent6"/>
        </w:rPr>
      </w:pPr>
      <w:bookmarkStart w:id="29" w:name="_Toc125619216"/>
      <w:bookmarkStart w:id="30" w:name="_Toc160701722"/>
      <w:r>
        <w:rPr>
          <w:rFonts w:cs="Arial"/>
          <w:color w:val="00A0AA" w:themeColor="accent6"/>
        </w:rPr>
        <w:lastRenderedPageBreak/>
        <w:t xml:space="preserve">Annex </w:t>
      </w:r>
      <w:bookmarkStart w:id="31" w:name="_Toc125619220"/>
      <w:bookmarkStart w:id="32" w:name="_Toc125619217"/>
      <w:bookmarkEnd w:id="29"/>
      <w:r w:rsidR="00657AF3">
        <w:rPr>
          <w:rFonts w:cs="Arial"/>
          <w:color w:val="00A0AA" w:themeColor="accent6"/>
        </w:rPr>
        <w:t>A</w:t>
      </w:r>
      <w:r w:rsidR="00657AF3" w:rsidRPr="00195A2C">
        <w:rPr>
          <w:rFonts w:cs="Arial"/>
          <w:color w:val="00A0AA" w:themeColor="accent6"/>
        </w:rPr>
        <w:t xml:space="preserve"> - Environmental </w:t>
      </w:r>
      <w:r w:rsidR="00657AF3">
        <w:rPr>
          <w:rFonts w:cs="Arial"/>
          <w:color w:val="00A0AA" w:themeColor="accent6"/>
        </w:rPr>
        <w:t>C</w:t>
      </w:r>
      <w:r w:rsidR="00657AF3" w:rsidRPr="00195A2C">
        <w:rPr>
          <w:rFonts w:cs="Arial"/>
          <w:color w:val="00A0AA" w:themeColor="accent6"/>
        </w:rPr>
        <w:t xml:space="preserve">onstraints and </w:t>
      </w:r>
      <w:r w:rsidR="00657AF3">
        <w:rPr>
          <w:rFonts w:cs="Arial"/>
          <w:color w:val="00A0AA" w:themeColor="accent6"/>
        </w:rPr>
        <w:t>O</w:t>
      </w:r>
      <w:r w:rsidR="00657AF3" w:rsidRPr="00195A2C">
        <w:rPr>
          <w:rFonts w:cs="Arial"/>
          <w:color w:val="00A0AA" w:themeColor="accent6"/>
        </w:rPr>
        <w:t xml:space="preserve">pportunities </w:t>
      </w:r>
      <w:bookmarkEnd w:id="31"/>
      <w:r w:rsidR="000A0ECC">
        <w:rPr>
          <w:rFonts w:cs="Arial"/>
          <w:color w:val="00A0AA" w:themeColor="accent6"/>
        </w:rPr>
        <w:t>P</w:t>
      </w:r>
      <w:r w:rsidR="000A0ECC" w:rsidRPr="00195A2C">
        <w:rPr>
          <w:rFonts w:cs="Arial"/>
          <w:color w:val="00A0AA" w:themeColor="accent6"/>
        </w:rPr>
        <w:t>lan</w:t>
      </w:r>
      <w:r w:rsidR="000A0ECC">
        <w:rPr>
          <w:rFonts w:cs="Arial"/>
          <w:color w:val="00A0AA" w:themeColor="accent6"/>
        </w:rPr>
        <w:t>s</w:t>
      </w:r>
      <w:bookmarkEnd w:id="30"/>
    </w:p>
    <w:bookmarkEnd w:id="32"/>
    <w:p w14:paraId="02B47CC0" w14:textId="655A49CA" w:rsidR="00F54625" w:rsidRDefault="00F54625">
      <w:pPr>
        <w:rPr>
          <w:rFonts w:ascii="Arial" w:hAnsi="Arial"/>
          <w:color w:val="FF0000"/>
        </w:rPr>
      </w:pPr>
      <w:r>
        <w:rPr>
          <w:color w:val="FF0000"/>
        </w:rPr>
        <w:br w:type="page"/>
      </w:r>
    </w:p>
    <w:p w14:paraId="19B71BDD" w14:textId="07DBD0A9" w:rsidR="00657AF3" w:rsidRPr="00195A2C" w:rsidRDefault="005B124D" w:rsidP="00657AF3">
      <w:pPr>
        <w:pStyle w:val="Heading2"/>
        <w:rPr>
          <w:rFonts w:cs="Arial"/>
          <w:color w:val="00A0AA" w:themeColor="accent6"/>
        </w:rPr>
      </w:pPr>
      <w:bookmarkStart w:id="33" w:name="_Toc125619218"/>
      <w:bookmarkStart w:id="34" w:name="_Toc160701723"/>
      <w:r>
        <w:rPr>
          <w:rFonts w:cs="Arial"/>
          <w:color w:val="00A0AA" w:themeColor="accent6"/>
        </w:rPr>
        <w:lastRenderedPageBreak/>
        <w:t xml:space="preserve">Annex </w:t>
      </w:r>
      <w:bookmarkStart w:id="35" w:name="_Toc125619219"/>
      <w:bookmarkEnd w:id="33"/>
      <w:r>
        <w:rPr>
          <w:rFonts w:cs="Arial"/>
          <w:color w:val="00A0AA" w:themeColor="accent6"/>
        </w:rPr>
        <w:t>B</w:t>
      </w:r>
      <w:r w:rsidR="00657AF3" w:rsidRPr="00195A2C">
        <w:rPr>
          <w:rFonts w:cs="Arial"/>
          <w:color w:val="00A0AA" w:themeColor="accent6"/>
        </w:rPr>
        <w:t xml:space="preserve"> - Consultation </w:t>
      </w:r>
      <w:r w:rsidR="000A0ECC">
        <w:rPr>
          <w:rFonts w:cs="Arial"/>
          <w:color w:val="00A0AA" w:themeColor="accent6"/>
        </w:rPr>
        <w:t>R</w:t>
      </w:r>
      <w:r w:rsidR="000A0ECC" w:rsidRPr="00195A2C">
        <w:rPr>
          <w:rFonts w:cs="Arial"/>
          <w:color w:val="00A0AA" w:themeColor="accent6"/>
        </w:rPr>
        <w:t>ecord</w:t>
      </w:r>
      <w:bookmarkEnd w:id="34"/>
    </w:p>
    <w:tbl>
      <w:tblPr>
        <w:tblStyle w:val="TableGrid"/>
        <w:tblW w:w="5000" w:type="pct"/>
        <w:tblLook w:val="04A0" w:firstRow="1" w:lastRow="0" w:firstColumn="1" w:lastColumn="0" w:noHBand="0" w:noVBand="1"/>
      </w:tblPr>
      <w:tblGrid>
        <w:gridCol w:w="2153"/>
        <w:gridCol w:w="1643"/>
        <w:gridCol w:w="3429"/>
        <w:gridCol w:w="2403"/>
      </w:tblGrid>
      <w:tr w:rsidR="00657AF3" w:rsidRPr="00D72F55" w14:paraId="3F330561" w14:textId="77777777" w:rsidTr="00DD143B">
        <w:trPr>
          <w:trHeight w:val="567"/>
          <w:tblHeader/>
        </w:trPr>
        <w:tc>
          <w:tcPr>
            <w:tcW w:w="1118" w:type="pct"/>
            <w:vAlign w:val="center"/>
          </w:tcPr>
          <w:p w14:paraId="20B4B9B7" w14:textId="77777777" w:rsidR="00657AF3" w:rsidRPr="00D72F55" w:rsidRDefault="00657AF3" w:rsidP="00DD143B">
            <w:pPr>
              <w:pStyle w:val="BodyText"/>
              <w:rPr>
                <w:b/>
                <w:bCs/>
              </w:rPr>
            </w:pPr>
            <w:bookmarkStart w:id="36" w:name="_Hlk151469140"/>
            <w:r w:rsidRPr="00D72F55">
              <w:rPr>
                <w:b/>
                <w:bCs/>
              </w:rPr>
              <w:t>Consultee</w:t>
            </w:r>
          </w:p>
        </w:tc>
        <w:tc>
          <w:tcPr>
            <w:tcW w:w="853" w:type="pct"/>
            <w:vAlign w:val="center"/>
          </w:tcPr>
          <w:p w14:paraId="50455F72" w14:textId="77777777" w:rsidR="00657AF3" w:rsidRPr="00D72F55" w:rsidRDefault="00657AF3" w:rsidP="00DD143B">
            <w:pPr>
              <w:pStyle w:val="BodyText"/>
              <w:rPr>
                <w:b/>
                <w:bCs/>
              </w:rPr>
            </w:pPr>
            <w:r w:rsidRPr="00D72F55">
              <w:rPr>
                <w:b/>
                <w:bCs/>
              </w:rPr>
              <w:t>Date of consultation / project stage</w:t>
            </w:r>
          </w:p>
        </w:tc>
        <w:tc>
          <w:tcPr>
            <w:tcW w:w="1781" w:type="pct"/>
            <w:vAlign w:val="center"/>
          </w:tcPr>
          <w:p w14:paraId="106B7A93" w14:textId="77777777" w:rsidR="00657AF3" w:rsidRPr="00D72F55" w:rsidRDefault="00657AF3" w:rsidP="00DD143B">
            <w:pPr>
              <w:pStyle w:val="BodyText"/>
              <w:rPr>
                <w:b/>
                <w:bCs/>
              </w:rPr>
            </w:pPr>
            <w:r w:rsidRPr="00D72F55">
              <w:rPr>
                <w:b/>
                <w:bCs/>
              </w:rPr>
              <w:t>Summary of response</w:t>
            </w:r>
          </w:p>
        </w:tc>
        <w:tc>
          <w:tcPr>
            <w:tcW w:w="1248" w:type="pct"/>
            <w:vAlign w:val="center"/>
          </w:tcPr>
          <w:p w14:paraId="064A0AEF" w14:textId="77777777" w:rsidR="00657AF3" w:rsidRPr="00D72F55" w:rsidRDefault="00657AF3" w:rsidP="00DD143B">
            <w:pPr>
              <w:pStyle w:val="BodyText"/>
              <w:rPr>
                <w:b/>
                <w:bCs/>
              </w:rPr>
            </w:pPr>
            <w:r w:rsidRPr="00D72F55">
              <w:rPr>
                <w:b/>
                <w:bCs/>
              </w:rPr>
              <w:t>Action taken</w:t>
            </w:r>
          </w:p>
          <w:p w14:paraId="619228C5" w14:textId="77777777" w:rsidR="00657AF3" w:rsidRPr="00D72F55" w:rsidRDefault="00657AF3" w:rsidP="00DD143B">
            <w:pPr>
              <w:pStyle w:val="BodyText"/>
              <w:rPr>
                <w:b/>
                <w:bCs/>
              </w:rPr>
            </w:pPr>
            <w:r w:rsidRPr="00D72F55">
              <w:rPr>
                <w:b/>
                <w:bCs/>
              </w:rPr>
              <w:t>(outstanding actions highlighted)</w:t>
            </w:r>
          </w:p>
        </w:tc>
      </w:tr>
      <w:tr w:rsidR="00657AF3" w:rsidRPr="00D72F55" w14:paraId="11E51ADE" w14:textId="77777777" w:rsidTr="00DD143B">
        <w:trPr>
          <w:trHeight w:val="567"/>
        </w:trPr>
        <w:tc>
          <w:tcPr>
            <w:tcW w:w="1118" w:type="pct"/>
            <w:vAlign w:val="center"/>
          </w:tcPr>
          <w:p w14:paraId="23621EBA" w14:textId="77777777" w:rsidR="00657AF3" w:rsidRPr="00D72F55" w:rsidRDefault="00657AF3" w:rsidP="00DD143B">
            <w:pPr>
              <w:pStyle w:val="BodyText"/>
            </w:pPr>
            <w:r w:rsidRPr="00AC4943">
              <w:t>Glamorgan Gwent Archaeological Trust</w:t>
            </w:r>
          </w:p>
        </w:tc>
        <w:tc>
          <w:tcPr>
            <w:tcW w:w="853" w:type="pct"/>
            <w:vAlign w:val="center"/>
          </w:tcPr>
          <w:p w14:paraId="064179CD" w14:textId="77777777" w:rsidR="00657AF3" w:rsidRPr="00D72F55" w:rsidRDefault="00657AF3" w:rsidP="00DD143B">
            <w:pPr>
              <w:pStyle w:val="BodyText"/>
            </w:pPr>
            <w:r>
              <w:t>03/11/</w:t>
            </w:r>
            <w:r w:rsidRPr="00AC4943">
              <w:t>2022</w:t>
            </w:r>
          </w:p>
        </w:tc>
        <w:tc>
          <w:tcPr>
            <w:tcW w:w="1781" w:type="pct"/>
            <w:vAlign w:val="center"/>
          </w:tcPr>
          <w:p w14:paraId="18EA51BE" w14:textId="77777777" w:rsidR="00657AF3" w:rsidRPr="004C70EF" w:rsidRDefault="00657AF3" w:rsidP="00DD143B">
            <w:pPr>
              <w:pStyle w:val="BodyText"/>
              <w:rPr>
                <w:i/>
                <w:iCs/>
              </w:rPr>
            </w:pPr>
            <w:r w:rsidRPr="004C70EF">
              <w:rPr>
                <w:rFonts w:cs="Arial"/>
                <w:i/>
                <w:iCs/>
              </w:rPr>
              <w:t>Study area in general is significant for its potential to contain archaeological remains, but we do not consider there to be any archaeological restraint or issue with the proposal</w:t>
            </w:r>
          </w:p>
        </w:tc>
        <w:tc>
          <w:tcPr>
            <w:tcW w:w="1248" w:type="pct"/>
            <w:vAlign w:val="center"/>
          </w:tcPr>
          <w:p w14:paraId="704E9633" w14:textId="77777777" w:rsidR="00657AF3" w:rsidRPr="00D72F55" w:rsidRDefault="00657AF3" w:rsidP="00DD143B">
            <w:pPr>
              <w:pStyle w:val="BodyText"/>
            </w:pPr>
            <w:r>
              <w:t>N/A</w:t>
            </w:r>
          </w:p>
        </w:tc>
      </w:tr>
      <w:tr w:rsidR="00CE038B" w:rsidRPr="00D72F55" w14:paraId="644F94DD" w14:textId="77777777" w:rsidTr="00DD143B">
        <w:trPr>
          <w:trHeight w:val="567"/>
        </w:trPr>
        <w:tc>
          <w:tcPr>
            <w:tcW w:w="1118" w:type="pct"/>
            <w:vAlign w:val="center"/>
          </w:tcPr>
          <w:p w14:paraId="0125E2B0" w14:textId="5882D002" w:rsidR="00CE038B" w:rsidRPr="00AC4943" w:rsidRDefault="00CE038B" w:rsidP="00CE038B">
            <w:pPr>
              <w:pStyle w:val="BodyText"/>
            </w:pPr>
            <w:r w:rsidRPr="00AC4943">
              <w:t>NRW Marine Licensing Team</w:t>
            </w:r>
          </w:p>
        </w:tc>
        <w:tc>
          <w:tcPr>
            <w:tcW w:w="853" w:type="pct"/>
            <w:vAlign w:val="center"/>
          </w:tcPr>
          <w:p w14:paraId="25761F67" w14:textId="2D72BCC9" w:rsidR="00CE038B" w:rsidRPr="00AC4943" w:rsidRDefault="00CE038B" w:rsidP="00CE038B">
            <w:pPr>
              <w:pStyle w:val="BodyText"/>
            </w:pPr>
            <w:r w:rsidRPr="00AC4943">
              <w:t>10/11/2022</w:t>
            </w:r>
          </w:p>
        </w:tc>
        <w:tc>
          <w:tcPr>
            <w:tcW w:w="1781" w:type="pct"/>
            <w:vAlign w:val="center"/>
          </w:tcPr>
          <w:p w14:paraId="3F9F855D" w14:textId="25C13F9E" w:rsidR="00CE038B" w:rsidRPr="004C70EF" w:rsidRDefault="00CE038B" w:rsidP="00CE038B">
            <w:pPr>
              <w:pStyle w:val="BodyText"/>
              <w:rPr>
                <w:i/>
                <w:iCs/>
              </w:rPr>
            </w:pPr>
            <w:r w:rsidRPr="004C70EF">
              <w:rPr>
                <w:i/>
                <w:iCs/>
              </w:rPr>
              <w:t>Band 2 Marine Licence application required, Band 3 application required if project value exceeds £1million or project requires EIA</w:t>
            </w:r>
          </w:p>
        </w:tc>
        <w:tc>
          <w:tcPr>
            <w:tcW w:w="1248" w:type="pct"/>
            <w:vAlign w:val="center"/>
          </w:tcPr>
          <w:p w14:paraId="01B246A7" w14:textId="77777777" w:rsidR="00CE038B" w:rsidRDefault="00CE038B" w:rsidP="00CE038B">
            <w:pPr>
              <w:pStyle w:val="BodyText"/>
            </w:pPr>
            <w:r>
              <w:t>Marine works EIA screening submitted.</w:t>
            </w:r>
          </w:p>
          <w:p w14:paraId="65CC290C" w14:textId="2F4D1543" w:rsidR="00CE038B" w:rsidRDefault="00CE038B" w:rsidP="00CE038B">
            <w:pPr>
              <w:pStyle w:val="BodyText"/>
            </w:pPr>
            <w:r>
              <w:t xml:space="preserve">Band 2 marine licence application in progress. </w:t>
            </w:r>
          </w:p>
        </w:tc>
      </w:tr>
      <w:tr w:rsidR="00CE038B" w:rsidRPr="00D72F55" w14:paraId="7C34CC6C" w14:textId="77777777" w:rsidTr="00DD143B">
        <w:trPr>
          <w:trHeight w:val="567"/>
        </w:trPr>
        <w:tc>
          <w:tcPr>
            <w:tcW w:w="1118" w:type="pct"/>
            <w:vAlign w:val="center"/>
          </w:tcPr>
          <w:p w14:paraId="5B3BC666" w14:textId="63070F22" w:rsidR="00CE038B" w:rsidRPr="00AC4943" w:rsidRDefault="00CE038B" w:rsidP="00CE038B">
            <w:pPr>
              <w:pStyle w:val="BodyText"/>
            </w:pPr>
            <w:r w:rsidRPr="00AC4943">
              <w:t>Cardiff Council (Local Planning Authority)</w:t>
            </w:r>
          </w:p>
        </w:tc>
        <w:tc>
          <w:tcPr>
            <w:tcW w:w="853" w:type="pct"/>
            <w:vAlign w:val="center"/>
          </w:tcPr>
          <w:p w14:paraId="1F373011" w14:textId="20DC724E" w:rsidR="00CE038B" w:rsidRPr="00AC4943" w:rsidRDefault="00CE038B" w:rsidP="00CE038B">
            <w:pPr>
              <w:pStyle w:val="BodyText"/>
            </w:pPr>
            <w:r w:rsidRPr="00AC4943">
              <w:t>10/01/2023</w:t>
            </w:r>
          </w:p>
        </w:tc>
        <w:tc>
          <w:tcPr>
            <w:tcW w:w="1781" w:type="pct"/>
            <w:vAlign w:val="center"/>
          </w:tcPr>
          <w:p w14:paraId="233BBD11" w14:textId="4419E3D7" w:rsidR="00CE038B" w:rsidRPr="004C70EF" w:rsidRDefault="00CE038B" w:rsidP="00CE038B">
            <w:pPr>
              <w:pStyle w:val="BodyText"/>
              <w:rPr>
                <w:i/>
                <w:iCs/>
              </w:rPr>
            </w:pPr>
            <w:r w:rsidRPr="004C70EF">
              <w:rPr>
                <w:i/>
                <w:iCs/>
              </w:rPr>
              <w:t>Project proposal is considered to be a Schedule 2 Development, EIA Screening Opinion Request required to confirm EIA status</w:t>
            </w:r>
          </w:p>
        </w:tc>
        <w:tc>
          <w:tcPr>
            <w:tcW w:w="1248" w:type="pct"/>
            <w:vAlign w:val="center"/>
          </w:tcPr>
          <w:p w14:paraId="45D0F431" w14:textId="30469037" w:rsidR="00CE038B" w:rsidRDefault="00CE038B" w:rsidP="00CE038B">
            <w:pPr>
              <w:pStyle w:val="BodyText"/>
            </w:pPr>
            <w:r>
              <w:t>EIA screening submitted- non EIA development confirmed.</w:t>
            </w:r>
          </w:p>
        </w:tc>
      </w:tr>
      <w:tr w:rsidR="00CE038B" w:rsidRPr="00D72F55" w14:paraId="15EEADEF" w14:textId="77777777" w:rsidTr="00DD143B">
        <w:trPr>
          <w:trHeight w:val="567"/>
        </w:trPr>
        <w:tc>
          <w:tcPr>
            <w:tcW w:w="1118" w:type="pct"/>
            <w:vAlign w:val="center"/>
          </w:tcPr>
          <w:p w14:paraId="6CF363FB" w14:textId="77777777" w:rsidR="00CE038B" w:rsidRPr="00D72F55" w:rsidRDefault="00CE038B" w:rsidP="00CE038B">
            <w:pPr>
              <w:pStyle w:val="BodyText"/>
            </w:pPr>
            <w:r w:rsidRPr="00AC4943">
              <w:t>NRW Flood Risk Team</w:t>
            </w:r>
          </w:p>
        </w:tc>
        <w:tc>
          <w:tcPr>
            <w:tcW w:w="853" w:type="pct"/>
            <w:vAlign w:val="center"/>
          </w:tcPr>
          <w:p w14:paraId="504F8C71" w14:textId="77777777" w:rsidR="00CE038B" w:rsidRPr="00D72F55" w:rsidRDefault="00CE038B" w:rsidP="00CE038B">
            <w:pPr>
              <w:pStyle w:val="BodyText"/>
            </w:pPr>
            <w:r w:rsidRPr="00AC4943">
              <w:t>17/01/2023</w:t>
            </w:r>
          </w:p>
        </w:tc>
        <w:tc>
          <w:tcPr>
            <w:tcW w:w="1781" w:type="pct"/>
            <w:vAlign w:val="center"/>
          </w:tcPr>
          <w:p w14:paraId="16CBB96C" w14:textId="77777777" w:rsidR="00CE038B" w:rsidRPr="004C70EF" w:rsidRDefault="00CE038B" w:rsidP="00CE038B">
            <w:pPr>
              <w:pStyle w:val="BodyText"/>
              <w:rPr>
                <w:i/>
                <w:iCs/>
              </w:rPr>
            </w:pPr>
            <w:r w:rsidRPr="004C70EF">
              <w:rPr>
                <w:i/>
                <w:iCs/>
              </w:rPr>
              <w:t>FRAP required due to proximity of sea defence embankment (unless marine licensing required, then deemed consent)</w:t>
            </w:r>
          </w:p>
        </w:tc>
        <w:tc>
          <w:tcPr>
            <w:tcW w:w="1248" w:type="pct"/>
            <w:vAlign w:val="center"/>
          </w:tcPr>
          <w:p w14:paraId="20952D11" w14:textId="77777777" w:rsidR="00CE038B" w:rsidRPr="00D72F55" w:rsidRDefault="00CE038B" w:rsidP="00CE038B">
            <w:pPr>
              <w:pStyle w:val="BodyText"/>
            </w:pPr>
            <w:r>
              <w:t>Marine licence required, therefore N/A.</w:t>
            </w:r>
          </w:p>
        </w:tc>
      </w:tr>
      <w:tr w:rsidR="00CE038B" w:rsidRPr="00D72F55" w14:paraId="392C9A85" w14:textId="77777777" w:rsidTr="00DD143B">
        <w:trPr>
          <w:trHeight w:val="567"/>
        </w:trPr>
        <w:tc>
          <w:tcPr>
            <w:tcW w:w="1118" w:type="pct"/>
            <w:vAlign w:val="center"/>
          </w:tcPr>
          <w:p w14:paraId="00936B9E" w14:textId="4D40AF26" w:rsidR="00CE038B" w:rsidRPr="00AC4943" w:rsidRDefault="00CE038B" w:rsidP="00CE038B">
            <w:pPr>
              <w:pStyle w:val="BodyText"/>
            </w:pPr>
            <w:r w:rsidRPr="00AC4943">
              <w:t>Cadw</w:t>
            </w:r>
          </w:p>
        </w:tc>
        <w:tc>
          <w:tcPr>
            <w:tcW w:w="853" w:type="pct"/>
            <w:vAlign w:val="center"/>
          </w:tcPr>
          <w:p w14:paraId="32942BF2" w14:textId="458C1175" w:rsidR="00CE038B" w:rsidRPr="00AC4943" w:rsidRDefault="00CE038B" w:rsidP="00CE038B">
            <w:pPr>
              <w:pStyle w:val="BodyText"/>
            </w:pPr>
            <w:r>
              <w:t>16/03/2023</w:t>
            </w:r>
          </w:p>
        </w:tc>
        <w:tc>
          <w:tcPr>
            <w:tcW w:w="1781" w:type="pct"/>
            <w:vAlign w:val="center"/>
          </w:tcPr>
          <w:p w14:paraId="7966A872" w14:textId="29868860" w:rsidR="00CE038B" w:rsidRPr="004C70EF" w:rsidRDefault="00CE038B" w:rsidP="00CE038B">
            <w:pPr>
              <w:pStyle w:val="BodyText"/>
              <w:rPr>
                <w:i/>
                <w:iCs/>
              </w:rPr>
            </w:pPr>
            <w:r w:rsidRPr="004C70EF">
              <w:rPr>
                <w:i/>
                <w:iCs/>
              </w:rPr>
              <w:t>The closest polder is located some 200m southwest of the boundary of scheduled monument GM474 Relict Seawall and is inside the boundaries of the registered Gwent Levels landscape of historic interest. Significant impacts are not considered likely</w:t>
            </w:r>
          </w:p>
        </w:tc>
        <w:tc>
          <w:tcPr>
            <w:tcW w:w="1248" w:type="pct"/>
            <w:vAlign w:val="center"/>
          </w:tcPr>
          <w:p w14:paraId="5F07614C" w14:textId="292AA0AB" w:rsidR="00CE038B" w:rsidRPr="00D72F55" w:rsidRDefault="00CE038B" w:rsidP="00CE038B">
            <w:pPr>
              <w:pStyle w:val="BodyText"/>
            </w:pPr>
            <w:r>
              <w:t>N/A</w:t>
            </w:r>
          </w:p>
        </w:tc>
      </w:tr>
      <w:tr w:rsidR="00CE038B" w:rsidRPr="00D72F55" w14:paraId="5BDE0B51" w14:textId="77777777" w:rsidTr="00DD143B">
        <w:trPr>
          <w:trHeight w:val="567"/>
        </w:trPr>
        <w:tc>
          <w:tcPr>
            <w:tcW w:w="1118" w:type="pct"/>
            <w:vAlign w:val="center"/>
          </w:tcPr>
          <w:p w14:paraId="7F30A818" w14:textId="77777777" w:rsidR="00CE038B" w:rsidRPr="00AC4943" w:rsidRDefault="00CE038B" w:rsidP="00CE038B">
            <w:pPr>
              <w:pStyle w:val="BodyText"/>
            </w:pPr>
            <w:r w:rsidRPr="00AC4943">
              <w:lastRenderedPageBreak/>
              <w:t>NRW Regional Conservation Officer</w:t>
            </w:r>
          </w:p>
        </w:tc>
        <w:tc>
          <w:tcPr>
            <w:tcW w:w="853" w:type="pct"/>
            <w:vAlign w:val="center"/>
          </w:tcPr>
          <w:p w14:paraId="08ADA160" w14:textId="77777777" w:rsidR="00CE038B" w:rsidRPr="00AC4943" w:rsidRDefault="00CE038B" w:rsidP="00CE038B">
            <w:pPr>
              <w:pStyle w:val="BodyText"/>
            </w:pPr>
            <w:r w:rsidRPr="00AC4943">
              <w:t>28/06/2023</w:t>
            </w:r>
          </w:p>
        </w:tc>
        <w:tc>
          <w:tcPr>
            <w:tcW w:w="1781" w:type="pct"/>
            <w:vAlign w:val="center"/>
          </w:tcPr>
          <w:p w14:paraId="08148EB5" w14:textId="77777777" w:rsidR="00CE038B" w:rsidRPr="004C70EF" w:rsidRDefault="00CE038B" w:rsidP="00CE038B">
            <w:pPr>
              <w:pStyle w:val="BodyText"/>
              <w:rPr>
                <w:i/>
                <w:iCs/>
              </w:rPr>
            </w:pPr>
            <w:r w:rsidRPr="004C70EF">
              <w:rPr>
                <w:i/>
                <w:iCs/>
              </w:rPr>
              <w:t>Request to include otter in relevant assessments</w:t>
            </w:r>
          </w:p>
        </w:tc>
        <w:tc>
          <w:tcPr>
            <w:tcW w:w="1248" w:type="pct"/>
            <w:vAlign w:val="center"/>
          </w:tcPr>
          <w:p w14:paraId="17B37D63" w14:textId="77777777" w:rsidR="00CE038B" w:rsidRPr="00D72F55" w:rsidRDefault="00CE038B" w:rsidP="00CE038B">
            <w:pPr>
              <w:pStyle w:val="BodyText"/>
            </w:pPr>
            <w:r>
              <w:t>Otter considered in PEA.</w:t>
            </w:r>
          </w:p>
        </w:tc>
      </w:tr>
      <w:tr w:rsidR="00CE038B" w:rsidRPr="00D72F55" w14:paraId="34967265" w14:textId="77777777" w:rsidTr="00DD143B">
        <w:trPr>
          <w:trHeight w:val="567"/>
        </w:trPr>
        <w:tc>
          <w:tcPr>
            <w:tcW w:w="1118" w:type="pct"/>
            <w:vAlign w:val="center"/>
          </w:tcPr>
          <w:p w14:paraId="7064FFC9" w14:textId="77777777" w:rsidR="00CE038B" w:rsidRPr="00AC4943" w:rsidRDefault="00CE038B" w:rsidP="00CE038B">
            <w:pPr>
              <w:pStyle w:val="BodyText"/>
            </w:pPr>
            <w:r w:rsidRPr="00AC4943">
              <w:t>NRW Marine Licensing Team</w:t>
            </w:r>
          </w:p>
        </w:tc>
        <w:tc>
          <w:tcPr>
            <w:tcW w:w="853" w:type="pct"/>
            <w:vAlign w:val="center"/>
          </w:tcPr>
          <w:p w14:paraId="6DB5A84B" w14:textId="77777777" w:rsidR="00CE038B" w:rsidRPr="00AC4943" w:rsidRDefault="00CE038B" w:rsidP="00CE038B">
            <w:pPr>
              <w:pStyle w:val="BodyText"/>
            </w:pPr>
            <w:r>
              <w:t>25/09/2023</w:t>
            </w:r>
          </w:p>
        </w:tc>
        <w:tc>
          <w:tcPr>
            <w:tcW w:w="1781" w:type="pct"/>
            <w:vAlign w:val="center"/>
          </w:tcPr>
          <w:p w14:paraId="6D064333" w14:textId="77777777" w:rsidR="00CE038B" w:rsidRPr="004C70EF" w:rsidRDefault="00CE038B" w:rsidP="00CE038B">
            <w:pPr>
              <w:pStyle w:val="BodyText"/>
              <w:rPr>
                <w:i/>
                <w:iCs/>
              </w:rPr>
            </w:pPr>
            <w:r w:rsidRPr="004C70EF">
              <w:rPr>
                <w:i/>
                <w:iCs/>
              </w:rPr>
              <w:t>Assuming the application is not considered screened into needing an EIA, we will consider this to be a band 2 project. With your application you will need to submit a complete and signed application form, a WFD compliance assessment, a method statement, an environmental report containing sufficient information for us to conduct a HRA (pathways, impacts, mitigation measures, etc), a Welsh National Marine Plan signposting document.</w:t>
            </w:r>
          </w:p>
        </w:tc>
        <w:tc>
          <w:tcPr>
            <w:tcW w:w="1248" w:type="pct"/>
            <w:vAlign w:val="center"/>
          </w:tcPr>
          <w:p w14:paraId="244CE268" w14:textId="77777777" w:rsidR="00CE038B" w:rsidRDefault="00CE038B" w:rsidP="00CE038B">
            <w:pPr>
              <w:pStyle w:val="BodyText"/>
            </w:pPr>
            <w:r>
              <w:t>Application and supporting documents currently being produced.</w:t>
            </w:r>
          </w:p>
        </w:tc>
      </w:tr>
      <w:tr w:rsidR="001B08D4" w:rsidRPr="00D72F55" w14:paraId="621CEBE0" w14:textId="77777777" w:rsidTr="00DD143B">
        <w:trPr>
          <w:trHeight w:val="567"/>
        </w:trPr>
        <w:tc>
          <w:tcPr>
            <w:tcW w:w="1118" w:type="pct"/>
            <w:vMerge w:val="restart"/>
            <w:vAlign w:val="center"/>
          </w:tcPr>
          <w:p w14:paraId="37F5395D" w14:textId="714B9840" w:rsidR="001B08D4" w:rsidRPr="00AC4943" w:rsidRDefault="001B08D4" w:rsidP="00CE038B">
            <w:pPr>
              <w:pStyle w:val="BodyText"/>
            </w:pPr>
            <w:r w:rsidRPr="001B08D4">
              <w:t xml:space="preserve">Royal Commission on the Ancient and Historical Monuments of Wales </w:t>
            </w:r>
            <w:r>
              <w:t>(</w:t>
            </w:r>
            <w:r w:rsidRPr="001B08D4">
              <w:t>RCAHMW</w:t>
            </w:r>
            <w:r>
              <w:t>)</w:t>
            </w:r>
          </w:p>
        </w:tc>
        <w:tc>
          <w:tcPr>
            <w:tcW w:w="853" w:type="pct"/>
            <w:vAlign w:val="center"/>
          </w:tcPr>
          <w:p w14:paraId="55A67B54" w14:textId="5DD50EBD" w:rsidR="001B08D4" w:rsidRDefault="001B08D4" w:rsidP="00CE038B">
            <w:pPr>
              <w:pStyle w:val="BodyText"/>
            </w:pPr>
            <w:r w:rsidRPr="001B08D4">
              <w:t>19</w:t>
            </w:r>
            <w:r>
              <w:t>/02/24</w:t>
            </w:r>
          </w:p>
        </w:tc>
        <w:tc>
          <w:tcPr>
            <w:tcW w:w="1781" w:type="pct"/>
            <w:vAlign w:val="center"/>
          </w:tcPr>
          <w:p w14:paraId="6ED6177C" w14:textId="382EFB81" w:rsidR="001B08D4" w:rsidRPr="004C70EF" w:rsidRDefault="001B08D4" w:rsidP="00CE038B">
            <w:pPr>
              <w:pStyle w:val="BodyText"/>
              <w:rPr>
                <w:i/>
                <w:iCs/>
              </w:rPr>
            </w:pPr>
            <w:r>
              <w:rPr>
                <w:i/>
                <w:iCs/>
              </w:rPr>
              <w:t>Response received from RCAHMW via Marine Licence consultee process, expressing the need for Marine Licence documentation to</w:t>
            </w:r>
            <w:r w:rsidRPr="001B08D4">
              <w:rPr>
                <w:i/>
                <w:iCs/>
              </w:rPr>
              <w:t xml:space="preserve"> account of the archaeological potential of the scheme area and to comply with Policy S</w:t>
            </w:r>
            <w:r>
              <w:rPr>
                <w:i/>
                <w:iCs/>
              </w:rPr>
              <w:t>OC</w:t>
            </w:r>
            <w:r w:rsidRPr="001B08D4">
              <w:rPr>
                <w:i/>
                <w:iCs/>
              </w:rPr>
              <w:t>5 of the W</w:t>
            </w:r>
            <w:r>
              <w:rPr>
                <w:i/>
                <w:iCs/>
              </w:rPr>
              <w:t>elsh National Marine Plan.</w:t>
            </w:r>
          </w:p>
        </w:tc>
        <w:tc>
          <w:tcPr>
            <w:tcW w:w="1248" w:type="pct"/>
            <w:vMerge w:val="restart"/>
            <w:vAlign w:val="center"/>
          </w:tcPr>
          <w:p w14:paraId="503A60CD" w14:textId="0E4E5150" w:rsidR="001B08D4" w:rsidRDefault="001B08D4" w:rsidP="00CE038B">
            <w:pPr>
              <w:pStyle w:val="BodyText"/>
            </w:pPr>
            <w:r>
              <w:t xml:space="preserve">Supplementary Archaeological note produced, and Heritage and Landscape section of the Project Environmental Report (this document) updated to account for the known and potential archaeology of the area and proposed mitigation measures. </w:t>
            </w:r>
          </w:p>
          <w:p w14:paraId="264FE550" w14:textId="44CFA35D" w:rsidR="001B08D4" w:rsidRDefault="001B08D4" w:rsidP="00CE038B">
            <w:pPr>
              <w:pStyle w:val="BodyText"/>
            </w:pPr>
            <w:r w:rsidRPr="001B08D4">
              <w:t>Consideration for the Welsh National Marine Plan</w:t>
            </w:r>
            <w:r>
              <w:t xml:space="preserve"> document updated to consider policy </w:t>
            </w:r>
            <w:r>
              <w:lastRenderedPageBreak/>
              <w:t>(SOC5) related to heritage.</w:t>
            </w:r>
          </w:p>
        </w:tc>
      </w:tr>
      <w:tr w:rsidR="001B08D4" w:rsidRPr="00D72F55" w14:paraId="56FB30CE" w14:textId="77777777" w:rsidTr="00DD143B">
        <w:trPr>
          <w:trHeight w:val="567"/>
        </w:trPr>
        <w:tc>
          <w:tcPr>
            <w:tcW w:w="1118" w:type="pct"/>
            <w:vMerge/>
            <w:vAlign w:val="center"/>
          </w:tcPr>
          <w:p w14:paraId="720281F9" w14:textId="77777777" w:rsidR="001B08D4" w:rsidRPr="00AC4943" w:rsidRDefault="001B08D4" w:rsidP="00CE038B">
            <w:pPr>
              <w:pStyle w:val="BodyText"/>
            </w:pPr>
          </w:p>
        </w:tc>
        <w:tc>
          <w:tcPr>
            <w:tcW w:w="853" w:type="pct"/>
            <w:vAlign w:val="center"/>
          </w:tcPr>
          <w:p w14:paraId="65412B09" w14:textId="42F6B69A" w:rsidR="001B08D4" w:rsidRDefault="001B08D4" w:rsidP="00CE038B">
            <w:pPr>
              <w:pStyle w:val="BodyText"/>
            </w:pPr>
            <w:r>
              <w:t>22/02/2024</w:t>
            </w:r>
          </w:p>
        </w:tc>
        <w:tc>
          <w:tcPr>
            <w:tcW w:w="1781" w:type="pct"/>
            <w:vAlign w:val="center"/>
          </w:tcPr>
          <w:p w14:paraId="4AF64997" w14:textId="31297324" w:rsidR="001B08D4" w:rsidRDefault="001B08D4" w:rsidP="001B08D4">
            <w:pPr>
              <w:pStyle w:val="BodyText"/>
              <w:rPr>
                <w:i/>
                <w:iCs/>
              </w:rPr>
            </w:pPr>
            <w:r>
              <w:rPr>
                <w:i/>
                <w:iCs/>
              </w:rPr>
              <w:t>Meeting held</w:t>
            </w:r>
            <w:r w:rsidRPr="001B08D4">
              <w:rPr>
                <w:i/>
                <w:iCs/>
              </w:rPr>
              <w:t xml:space="preserve"> with the RCAHMW Senior Investigator (Maritime</w:t>
            </w:r>
            <w:r>
              <w:rPr>
                <w:i/>
                <w:iCs/>
              </w:rPr>
              <w:t xml:space="preserve">) to discuss concerns and expectations. </w:t>
            </w:r>
          </w:p>
          <w:p w14:paraId="277ED30B" w14:textId="77777777" w:rsidR="001B08D4" w:rsidRDefault="001B08D4" w:rsidP="001B08D4">
            <w:pPr>
              <w:pStyle w:val="BodyText"/>
              <w:rPr>
                <w:i/>
                <w:iCs/>
              </w:rPr>
            </w:pPr>
          </w:p>
          <w:p w14:paraId="101CE299" w14:textId="302749DA" w:rsidR="001B08D4" w:rsidRPr="004C70EF" w:rsidRDefault="001B08D4" w:rsidP="001B08D4">
            <w:pPr>
              <w:pStyle w:val="BodyText"/>
              <w:rPr>
                <w:i/>
                <w:iCs/>
              </w:rPr>
            </w:pPr>
            <w:r w:rsidRPr="001B08D4">
              <w:rPr>
                <w:i/>
                <w:iCs/>
              </w:rPr>
              <w:t xml:space="preserve"> </w:t>
            </w:r>
          </w:p>
        </w:tc>
        <w:tc>
          <w:tcPr>
            <w:tcW w:w="1248" w:type="pct"/>
            <w:vMerge/>
            <w:vAlign w:val="center"/>
          </w:tcPr>
          <w:p w14:paraId="3F2DB164" w14:textId="4D0B9405" w:rsidR="001B08D4" w:rsidRDefault="001B08D4" w:rsidP="00CE038B">
            <w:pPr>
              <w:pStyle w:val="BodyText"/>
            </w:pPr>
          </w:p>
        </w:tc>
      </w:tr>
      <w:tr w:rsidR="00830E14" w:rsidRPr="00D72F55" w14:paraId="31F80BF7" w14:textId="77777777" w:rsidTr="00DD143B">
        <w:trPr>
          <w:trHeight w:val="567"/>
        </w:trPr>
        <w:tc>
          <w:tcPr>
            <w:tcW w:w="1118" w:type="pct"/>
            <w:vAlign w:val="center"/>
          </w:tcPr>
          <w:p w14:paraId="4E61EBE0" w14:textId="15460311" w:rsidR="00830E14" w:rsidRPr="00AC4943" w:rsidRDefault="00830E14" w:rsidP="00CE038B">
            <w:pPr>
              <w:pStyle w:val="BodyText"/>
            </w:pPr>
            <w:r>
              <w:t>NRW advisory</w:t>
            </w:r>
          </w:p>
        </w:tc>
        <w:tc>
          <w:tcPr>
            <w:tcW w:w="853" w:type="pct"/>
            <w:vAlign w:val="center"/>
          </w:tcPr>
          <w:p w14:paraId="1DA2D215" w14:textId="1A407EF4" w:rsidR="00830E14" w:rsidRDefault="00830E14" w:rsidP="00CE038B">
            <w:pPr>
              <w:pStyle w:val="BodyText"/>
            </w:pPr>
            <w:r>
              <w:t>15/03/2024</w:t>
            </w:r>
          </w:p>
        </w:tc>
        <w:tc>
          <w:tcPr>
            <w:tcW w:w="1781" w:type="pct"/>
            <w:vAlign w:val="center"/>
          </w:tcPr>
          <w:p w14:paraId="0A624414" w14:textId="7C7AF294" w:rsidR="00830E14" w:rsidRDefault="00574573" w:rsidP="001B08D4">
            <w:pPr>
              <w:pStyle w:val="BodyText"/>
              <w:rPr>
                <w:i/>
                <w:iCs/>
              </w:rPr>
            </w:pPr>
            <w:r>
              <w:t>Not a</w:t>
            </w:r>
            <w:r w:rsidR="00830E14" w:rsidRPr="00830E14">
              <w:t>ddressing long terms impacts from coastal squeeze</w:t>
            </w:r>
            <w:r>
              <w:t xml:space="preserve"> and erosion.</w:t>
            </w:r>
          </w:p>
        </w:tc>
        <w:tc>
          <w:tcPr>
            <w:tcW w:w="1248" w:type="pct"/>
            <w:vAlign w:val="center"/>
          </w:tcPr>
          <w:p w14:paraId="76DA5B93" w14:textId="0498EF97" w:rsidR="00830E14" w:rsidRDefault="00830E14" w:rsidP="00CE038B">
            <w:pPr>
              <w:pStyle w:val="BodyText"/>
            </w:pPr>
            <w:r>
              <w:t>New sections</w:t>
            </w:r>
          </w:p>
        </w:tc>
      </w:tr>
      <w:bookmarkEnd w:id="35"/>
      <w:bookmarkEnd w:id="36"/>
    </w:tbl>
    <w:p w14:paraId="72797285" w14:textId="77777777" w:rsidR="00AC74CB" w:rsidRPr="00AA4872" w:rsidRDefault="00AC74CB" w:rsidP="00AC74CB">
      <w:pPr>
        <w:rPr>
          <w:rFonts w:ascii="Arial" w:hAnsi="Arial" w:cs="Arial"/>
          <w:u w:val="single"/>
        </w:rPr>
      </w:pPr>
    </w:p>
    <w:p w14:paraId="3B3031C7" w14:textId="77777777" w:rsidR="00F97524" w:rsidRPr="00AA4872" w:rsidRDefault="00F97524" w:rsidP="00F97524">
      <w:pPr>
        <w:pStyle w:val="BodyText"/>
        <w:rPr>
          <w:rFonts w:cs="Arial"/>
        </w:rPr>
      </w:pPr>
    </w:p>
    <w:sectPr w:rsidR="00F97524" w:rsidRPr="00AA4872" w:rsidSect="00DA0329">
      <w:headerReference w:type="first" r:id="rId24"/>
      <w:pgSz w:w="11906" w:h="16838" w:code="9"/>
      <w:pgMar w:top="1701" w:right="1134" w:bottom="1134" w:left="1134"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6C5D3" w14:textId="77777777" w:rsidR="00DA0329" w:rsidRDefault="00DA0329" w:rsidP="003B1B95">
      <w:r>
        <w:separator/>
      </w:r>
    </w:p>
  </w:endnote>
  <w:endnote w:type="continuationSeparator" w:id="0">
    <w:p w14:paraId="2FB0C4A9" w14:textId="77777777" w:rsidR="00DA0329" w:rsidRDefault="00DA0329" w:rsidP="003B1B95">
      <w:r>
        <w:continuationSeparator/>
      </w:r>
    </w:p>
  </w:endnote>
  <w:endnote w:type="continuationNotice" w:id="1">
    <w:p w14:paraId="4154A6F7" w14:textId="77777777" w:rsidR="008E649E" w:rsidRDefault="008E64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F33CE" w14:textId="77777777" w:rsidR="00684EF0" w:rsidRDefault="00684E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AD1A3" w14:textId="67B8D4A6" w:rsidR="00AC4943" w:rsidRDefault="003E7002" w:rsidP="003E7002">
    <w:pPr>
      <w:pStyle w:val="Footer"/>
      <w:jc w:val="right"/>
    </w:pPr>
    <w:r>
      <w:t xml:space="preserve"> Page </w:t>
    </w: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71BBD" w14:textId="666E2AC7" w:rsidR="00AC74CB" w:rsidRDefault="00AC74CB" w:rsidP="00AC74CB">
    <w:pPr>
      <w:pStyle w:val="Footer"/>
    </w:pPr>
    <w:r w:rsidRPr="0016375D">
      <w:t xml:space="preserve">Document template issue version </w:t>
    </w:r>
    <w:r w:rsidR="0016375D" w:rsidRPr="0016375D">
      <w:t>1</w:t>
    </w:r>
    <w:r w:rsidRPr="0016375D">
      <w:t xml:space="preserve"> date </w:t>
    </w:r>
    <w:r w:rsidR="0016375D" w:rsidRPr="0016375D">
      <w:t>June 2023</w:t>
    </w:r>
  </w:p>
  <w:p w14:paraId="642917E8" w14:textId="77777777" w:rsidR="00AC74CB" w:rsidRDefault="00AC7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3AE38" w14:textId="77777777" w:rsidR="00DA0329" w:rsidRDefault="00DA0329" w:rsidP="003B1B95">
      <w:r>
        <w:separator/>
      </w:r>
    </w:p>
  </w:footnote>
  <w:footnote w:type="continuationSeparator" w:id="0">
    <w:p w14:paraId="38853285" w14:textId="77777777" w:rsidR="00DA0329" w:rsidRDefault="00DA0329" w:rsidP="003B1B95">
      <w:r>
        <w:continuationSeparator/>
      </w:r>
    </w:p>
  </w:footnote>
  <w:footnote w:type="continuationNotice" w:id="1">
    <w:p w14:paraId="2CA822AC" w14:textId="77777777" w:rsidR="008E649E" w:rsidRDefault="008E649E"/>
  </w:footnote>
  <w:footnote w:id="2">
    <w:p w14:paraId="6C238675" w14:textId="65D37879" w:rsidR="00C46877" w:rsidRDefault="00C46877" w:rsidP="00C46877">
      <w:pPr>
        <w:pStyle w:val="FootnoteText"/>
      </w:pPr>
      <w:r>
        <w:rPr>
          <w:rStyle w:val="FootnoteReference"/>
        </w:rPr>
        <w:footnoteRef/>
      </w:r>
      <w:r>
        <w:t xml:space="preserve"> Severn Estuary SAC Monitoring Report. Condition Mapping of Atlantic Salt Meadows (Annex I habitat 2017). Karen Wilkinson &amp; Samuel Anstice (2019NVC data within this report references the </w:t>
      </w:r>
      <w:r w:rsidRPr="00C85E66">
        <w:t xml:space="preserve">NVC survey of Rumney Great Wharf sector </w:t>
      </w:r>
      <w:r>
        <w:t xml:space="preserve">during </w:t>
      </w:r>
      <w:r w:rsidRPr="00C85E66">
        <w:t>2017</w:t>
      </w:r>
      <w:r>
        <w:t xml:space="preserve">. </w:t>
      </w:r>
      <w:r w:rsidRPr="00A22753">
        <w:t>Severn Estuary SAC Monitoring Report. Condition Mapping of Atlantic Salt Meadows (Annex I habitat 2017). Karen Wilkinson &amp; Samuel Anstice (2019)</w:t>
      </w:r>
    </w:p>
  </w:footnote>
  <w:footnote w:id="3">
    <w:p w14:paraId="7A85CBDB" w14:textId="0C09CA4C" w:rsidR="00C46877" w:rsidRDefault="00C46877">
      <w:pPr>
        <w:pStyle w:val="FootnoteText"/>
      </w:pPr>
      <w:r>
        <w:rPr>
          <w:rStyle w:val="FootnoteReference"/>
        </w:rPr>
        <w:footnoteRef/>
      </w:r>
      <w:r>
        <w:t xml:space="preserve"> File reference: 290063-ARP-00-RP-RP-NX-0006</w:t>
      </w:r>
    </w:p>
  </w:footnote>
  <w:footnote w:id="4">
    <w:p w14:paraId="7B5674AB" w14:textId="5A9610AD" w:rsidR="00D415F2" w:rsidRDefault="00D415F2">
      <w:pPr>
        <w:pStyle w:val="FootnoteText"/>
      </w:pPr>
      <w:r>
        <w:rPr>
          <w:rStyle w:val="FootnoteReference"/>
        </w:rPr>
        <w:footnoteRef/>
      </w:r>
      <w:r>
        <w:t xml:space="preserve"> </w:t>
      </w:r>
      <w:r w:rsidR="006A43A6">
        <w:t xml:space="preserve">With reference to </w:t>
      </w:r>
      <w:r w:rsidR="006A43A6" w:rsidRPr="006A43A6">
        <w:t>JNCC (2016). Handbook for Phase 1 habitat Survey: technique for environmental audit.</w:t>
      </w:r>
      <w:r w:rsidR="006A43A6">
        <w:t xml:space="preserve"> </w:t>
      </w:r>
    </w:p>
  </w:footnote>
  <w:footnote w:id="5">
    <w:p w14:paraId="763117A1" w14:textId="77777777" w:rsidR="00370F97" w:rsidRDefault="00370F97" w:rsidP="00370F97">
      <w:pPr>
        <w:pStyle w:val="FootnoteText"/>
      </w:pPr>
      <w:r>
        <w:rPr>
          <w:rStyle w:val="FootnoteReference"/>
        </w:rPr>
        <w:footnoteRef/>
      </w:r>
      <w:r>
        <w:t xml:space="preserve"> C</w:t>
      </w:r>
      <w:r w:rsidRPr="00370F97">
        <w:t>onsidered a notable feature of the Severn Estuary Ramsar for its breeding population.</w:t>
      </w:r>
    </w:p>
  </w:footnote>
  <w:footnote w:id="6">
    <w:p w14:paraId="0DADC76C" w14:textId="77777777" w:rsidR="00370F97" w:rsidRDefault="00370F97" w:rsidP="00370F97">
      <w:pPr>
        <w:pStyle w:val="FootnoteText"/>
      </w:pPr>
      <w:r>
        <w:rPr>
          <w:rStyle w:val="FootnoteReference"/>
        </w:rPr>
        <w:footnoteRef/>
      </w:r>
      <w:r>
        <w:t xml:space="preserve"> </w:t>
      </w:r>
      <w:r w:rsidRPr="00370F97">
        <w:t>Collins, J. (ed.) (2023) Bat Surveys for Professional Ecologists: Good Practice Guidelines (4th edition). The Bat Conservation Trust, London.</w:t>
      </w:r>
    </w:p>
  </w:footnote>
  <w:footnote w:id="7">
    <w:p w14:paraId="1824351E" w14:textId="7DCE484E" w:rsidR="00A60B2C" w:rsidRDefault="00A60B2C">
      <w:pPr>
        <w:pStyle w:val="FootnoteText"/>
      </w:pPr>
      <w:r>
        <w:rPr>
          <w:rStyle w:val="FootnoteReference"/>
        </w:rPr>
        <w:footnoteRef/>
      </w:r>
      <w:r>
        <w:t xml:space="preserve"> </w:t>
      </w:r>
      <w:r w:rsidRPr="00A60B2C">
        <w:t>Dargie T. (1999) Scarce Plant Survey of Saltmarsh on the Welsh Side of the Severn Estuary. CCW Contract Science Report No. 367.</w:t>
      </w:r>
    </w:p>
  </w:footnote>
  <w:footnote w:id="8">
    <w:p w14:paraId="72BBD1E2" w14:textId="2DC774FC" w:rsidR="000613D4" w:rsidRDefault="000613D4">
      <w:pPr>
        <w:pStyle w:val="FootnoteText"/>
      </w:pPr>
      <w:r>
        <w:rPr>
          <w:rStyle w:val="FootnoteReference"/>
        </w:rPr>
        <w:footnoteRef/>
      </w:r>
      <w:r>
        <w:t xml:space="preserve"> </w:t>
      </w:r>
      <w:hyperlink r:id="rId1" w:history="1">
        <w:r w:rsidRPr="00FB5335">
          <w:rPr>
            <w:rStyle w:val="Hyperlink"/>
          </w:rPr>
          <w:t>https://www.gov.wales/addressing-nature-emergency-through-planning-system-update-chapter-6-planning-policy-wales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82FD3" w14:textId="27C289B9" w:rsidR="00AC4943" w:rsidRDefault="00087C57">
    <w:pPr>
      <w:pStyle w:val="Header"/>
    </w:pPr>
    <w:r>
      <w:rPr>
        <w:noProof/>
      </w:rPr>
      <w:drawing>
        <wp:anchor distT="0" distB="0" distL="114300" distR="114300" simplePos="0" relativeHeight="251658242" behindDoc="0" locked="0" layoutInCell="1" allowOverlap="1" wp14:anchorId="6D2A5160" wp14:editId="6818FB6A">
          <wp:simplePos x="0" y="0"/>
          <wp:positionH relativeFrom="page">
            <wp:align>center</wp:align>
          </wp:positionH>
          <wp:positionV relativeFrom="page">
            <wp:align>center</wp:align>
          </wp:positionV>
          <wp:extent cx="4467225" cy="4619625"/>
          <wp:effectExtent l="0" t="0" r="0" b="0"/>
          <wp:wrapNone/>
          <wp:docPr id="1068184445" name="Graphic 1068184445"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184445" name="SDWATERMARK" hidden="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4467225" cy="461962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3B330" w14:textId="72AF075F" w:rsidR="00881C67" w:rsidRDefault="00087C57" w:rsidP="00580178">
    <w:pPr>
      <w:pStyle w:val="Header"/>
    </w:pPr>
    <w:r>
      <w:rPr>
        <w:noProof/>
      </w:rPr>
      <w:drawing>
        <wp:anchor distT="0" distB="0" distL="114300" distR="114300" simplePos="0" relativeHeight="251658240" behindDoc="0" locked="0" layoutInCell="1" allowOverlap="1" wp14:anchorId="3FBACC0F" wp14:editId="0D7DDFFE">
          <wp:simplePos x="0" y="0"/>
          <wp:positionH relativeFrom="page">
            <wp:align>center</wp:align>
          </wp:positionH>
          <wp:positionV relativeFrom="page">
            <wp:align>center</wp:align>
          </wp:positionV>
          <wp:extent cx="4467225" cy="4619625"/>
          <wp:effectExtent l="0" t="0" r="0" b="0"/>
          <wp:wrapNone/>
          <wp:docPr id="438176639" name="Graphic 438176639"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76639" name="SDWATERMARK" hidden="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4467225" cy="4619625"/>
                  </a:xfrm>
                  <a:prstGeom prst="rect">
                    <a:avLst/>
                  </a:prstGeom>
                </pic:spPr>
              </pic:pic>
            </a:graphicData>
          </a:graphic>
          <wp14:sizeRelH relativeFrom="margin">
            <wp14:pctWidth>0</wp14:pctWidth>
          </wp14:sizeRelH>
          <wp14:sizeRelV relativeFrom="margin">
            <wp14:pctHeight>0</wp14:pctHeight>
          </wp14:sizeRelV>
        </wp:anchor>
      </w:drawing>
    </w:r>
  </w:p>
  <w:p w14:paraId="4ACE2ED3" w14:textId="77777777" w:rsidR="00881C67" w:rsidRDefault="00881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3E9F6" w14:textId="6AE9D218" w:rsidR="00881C67" w:rsidRPr="002D347F" w:rsidRDefault="00087C57" w:rsidP="00D72F55">
    <w:pPr>
      <w:pStyle w:val="BodyText"/>
      <w:jc w:val="right"/>
    </w:pPr>
    <w:r>
      <w:rPr>
        <w:noProof/>
      </w:rPr>
      <w:drawing>
        <wp:anchor distT="0" distB="0" distL="114300" distR="114300" simplePos="0" relativeHeight="251658241" behindDoc="0" locked="0" layoutInCell="1" allowOverlap="1" wp14:anchorId="272DD057" wp14:editId="7EF5252E">
          <wp:simplePos x="0" y="0"/>
          <wp:positionH relativeFrom="page">
            <wp:align>center</wp:align>
          </wp:positionH>
          <wp:positionV relativeFrom="page">
            <wp:align>center</wp:align>
          </wp:positionV>
          <wp:extent cx="4467225" cy="4619625"/>
          <wp:effectExtent l="0" t="0" r="0" b="0"/>
          <wp:wrapNone/>
          <wp:docPr id="180350394" name="Graphic 18035039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0394" name="SDWATERMARK" hidden="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4467225" cy="4619625"/>
                  </a:xfrm>
                  <a:prstGeom prst="rect">
                    <a:avLst/>
                  </a:prstGeom>
                </pic:spPr>
              </pic:pic>
            </a:graphicData>
          </a:graphic>
          <wp14:sizeRelH relativeFrom="margin">
            <wp14:pctWidth>0</wp14:pctWidth>
          </wp14:sizeRelH>
          <wp14:sizeRelV relativeFrom="margin">
            <wp14:pctHeight>0</wp14:pctHeight>
          </wp14:sizeRelV>
        </wp:anchor>
      </w:drawing>
    </w:r>
    <w:r w:rsidR="004F15CD" w:rsidRPr="002D347F">
      <w:rPr>
        <w:noProof/>
      </w:rPr>
      <w:drawing>
        <wp:inline distT="0" distB="0" distL="0" distR="0" wp14:anchorId="27029817" wp14:editId="29917C07">
          <wp:extent cx="1357200" cy="96120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004F15CD" w:rsidRPr="002D347F">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342A7" w14:textId="2D6C63D4" w:rsidR="00D72F55" w:rsidRPr="002D347F" w:rsidRDefault="00087C57" w:rsidP="002D347F">
    <w:pPr>
      <w:pStyle w:val="BodyText"/>
    </w:pPr>
    <w:r>
      <w:rPr>
        <w:noProof/>
      </w:rPr>
      <w:drawing>
        <wp:anchor distT="0" distB="0" distL="114300" distR="114300" simplePos="0" relativeHeight="251658243" behindDoc="0" locked="0" layoutInCell="1" allowOverlap="1" wp14:anchorId="323E8D04" wp14:editId="587E0557">
          <wp:simplePos x="0" y="0"/>
          <wp:positionH relativeFrom="page">
            <wp:align>center</wp:align>
          </wp:positionH>
          <wp:positionV relativeFrom="page">
            <wp:align>center</wp:align>
          </wp:positionV>
          <wp:extent cx="4467225" cy="4619625"/>
          <wp:effectExtent l="0" t="0" r="0" b="0"/>
          <wp:wrapNone/>
          <wp:docPr id="504822568" name="Graphic 504822568"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22568" name="SDWATERMARK" hidden="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4467225" cy="4619625"/>
                  </a:xfrm>
                  <a:prstGeom prst="rect">
                    <a:avLst/>
                  </a:prstGeom>
                </pic:spPr>
              </pic:pic>
            </a:graphicData>
          </a:graphic>
          <wp14:sizeRelH relativeFrom="margin">
            <wp14:pctWidth>0</wp14:pctWidth>
          </wp14:sizeRelH>
          <wp14:sizeRelV relativeFrom="margin">
            <wp14:pctHeight>0</wp14:pctHeight>
          </wp14:sizeRelV>
        </wp:anchor>
      </w:drawing>
    </w:r>
    <w:r w:rsidR="00D72F55" w:rsidRPr="002D347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A4E"/>
    <w:multiLevelType w:val="hybridMultilevel"/>
    <w:tmpl w:val="8668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C30D8"/>
    <w:multiLevelType w:val="hybridMultilevel"/>
    <w:tmpl w:val="243ED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4944E9"/>
    <w:multiLevelType w:val="hybridMultilevel"/>
    <w:tmpl w:val="A2B69B34"/>
    <w:lvl w:ilvl="0" w:tplc="DDB2B65A">
      <w:start w:val="1"/>
      <w:numFmt w:val="bullet"/>
      <w:pStyle w:val="Bullets"/>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A0B6A"/>
    <w:multiLevelType w:val="hybridMultilevel"/>
    <w:tmpl w:val="11C89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83165"/>
    <w:multiLevelType w:val="hybridMultilevel"/>
    <w:tmpl w:val="65281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F50360"/>
    <w:multiLevelType w:val="hybridMultilevel"/>
    <w:tmpl w:val="2B76A72C"/>
    <w:styleLink w:val="ImportedStyle1"/>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83658"/>
    <w:multiLevelType w:val="hybridMultilevel"/>
    <w:tmpl w:val="1A80F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60887CB0"/>
    <w:multiLevelType w:val="hybridMultilevel"/>
    <w:tmpl w:val="7AC2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D268BB"/>
    <w:multiLevelType w:val="hybridMultilevel"/>
    <w:tmpl w:val="5B8E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D24A30"/>
    <w:multiLevelType w:val="multilevel"/>
    <w:tmpl w:val="8ECE1034"/>
    <w:styleLink w:val="ListStyle-ListBullet"/>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3850054"/>
    <w:multiLevelType w:val="hybridMultilevel"/>
    <w:tmpl w:val="8A5A0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1255C8"/>
    <w:multiLevelType w:val="hybridMultilevel"/>
    <w:tmpl w:val="1DE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3348C"/>
    <w:multiLevelType w:val="hybridMultilevel"/>
    <w:tmpl w:val="5F94485E"/>
    <w:styleLink w:val="ListStyle-HeadingsNoNumber"/>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6C343D"/>
    <w:multiLevelType w:val="multilevel"/>
    <w:tmpl w:val="5F94485E"/>
    <w:numStyleLink w:val="ListStyle-HeadingsNoNumber"/>
  </w:abstractNum>
  <w:num w:numId="1" w16cid:durableId="1698385497">
    <w:abstractNumId w:val="5"/>
  </w:num>
  <w:num w:numId="2" w16cid:durableId="175853372">
    <w:abstractNumId w:val="10"/>
  </w:num>
  <w:num w:numId="3" w16cid:durableId="1171409368">
    <w:abstractNumId w:val="13"/>
  </w:num>
  <w:num w:numId="4" w16cid:durableId="1616788687">
    <w:abstractNumId w:val="7"/>
  </w:num>
  <w:num w:numId="5" w16cid:durableId="679625089">
    <w:abstractNumId w:val="2"/>
  </w:num>
  <w:num w:numId="6" w16cid:durableId="1242643399">
    <w:abstractNumId w:val="12"/>
  </w:num>
  <w:num w:numId="7" w16cid:durableId="173767571">
    <w:abstractNumId w:val="14"/>
  </w:num>
  <w:num w:numId="8" w16cid:durableId="1846937772">
    <w:abstractNumId w:val="9"/>
  </w:num>
  <w:num w:numId="9" w16cid:durableId="46035806">
    <w:abstractNumId w:val="3"/>
  </w:num>
  <w:num w:numId="10" w16cid:durableId="1970278878">
    <w:abstractNumId w:val="4"/>
  </w:num>
  <w:num w:numId="11" w16cid:durableId="1396270585">
    <w:abstractNumId w:val="1"/>
  </w:num>
  <w:num w:numId="12" w16cid:durableId="1342469884">
    <w:abstractNumId w:val="0"/>
  </w:num>
  <w:num w:numId="13" w16cid:durableId="1941450093">
    <w:abstractNumId w:val="11"/>
  </w:num>
  <w:num w:numId="14" w16cid:durableId="2061518674">
    <w:abstractNumId w:val="6"/>
  </w:num>
  <w:num w:numId="15" w16cid:durableId="2073038951">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663B469-4B66-4D3C-8284-463E5CBC1A81}"/>
    <w:docVar w:name="dgnword-eventsink" w:val="1067158400"/>
  </w:docVars>
  <w:rsids>
    <w:rsidRoot w:val="00812DFC"/>
    <w:rsid w:val="00002CB1"/>
    <w:rsid w:val="00006DE0"/>
    <w:rsid w:val="000209B9"/>
    <w:rsid w:val="000248CF"/>
    <w:rsid w:val="00032CA6"/>
    <w:rsid w:val="0003584B"/>
    <w:rsid w:val="000538DE"/>
    <w:rsid w:val="000613D4"/>
    <w:rsid w:val="0006469D"/>
    <w:rsid w:val="00070057"/>
    <w:rsid w:val="00081B13"/>
    <w:rsid w:val="00082ADC"/>
    <w:rsid w:val="00082C57"/>
    <w:rsid w:val="00087C57"/>
    <w:rsid w:val="00095063"/>
    <w:rsid w:val="000A0ECC"/>
    <w:rsid w:val="000A0EDF"/>
    <w:rsid w:val="000A5E0F"/>
    <w:rsid w:val="000B7C09"/>
    <w:rsid w:val="000D1041"/>
    <w:rsid w:val="000D42BC"/>
    <w:rsid w:val="000E3EFE"/>
    <w:rsid w:val="000E64E3"/>
    <w:rsid w:val="000F1256"/>
    <w:rsid w:val="000F47F1"/>
    <w:rsid w:val="000F6E9C"/>
    <w:rsid w:val="0010023A"/>
    <w:rsid w:val="00111C12"/>
    <w:rsid w:val="00113DE7"/>
    <w:rsid w:val="00124C2B"/>
    <w:rsid w:val="00127437"/>
    <w:rsid w:val="00137F69"/>
    <w:rsid w:val="00141247"/>
    <w:rsid w:val="00151752"/>
    <w:rsid w:val="00163204"/>
    <w:rsid w:val="0016375D"/>
    <w:rsid w:val="00163D44"/>
    <w:rsid w:val="001743F1"/>
    <w:rsid w:val="00181A61"/>
    <w:rsid w:val="0018690B"/>
    <w:rsid w:val="00195A2C"/>
    <w:rsid w:val="00196EF4"/>
    <w:rsid w:val="001A2FFC"/>
    <w:rsid w:val="001B08D4"/>
    <w:rsid w:val="001B2296"/>
    <w:rsid w:val="001B6153"/>
    <w:rsid w:val="001D53F2"/>
    <w:rsid w:val="001E34B7"/>
    <w:rsid w:val="00227FCF"/>
    <w:rsid w:val="0023109B"/>
    <w:rsid w:val="002310C5"/>
    <w:rsid w:val="00240363"/>
    <w:rsid w:val="00240AA2"/>
    <w:rsid w:val="0024267B"/>
    <w:rsid w:val="00243305"/>
    <w:rsid w:val="0024550F"/>
    <w:rsid w:val="00261168"/>
    <w:rsid w:val="0026328C"/>
    <w:rsid w:val="00295704"/>
    <w:rsid w:val="002B0FE6"/>
    <w:rsid w:val="002C1957"/>
    <w:rsid w:val="002C7D1B"/>
    <w:rsid w:val="002D1C88"/>
    <w:rsid w:val="002D1E23"/>
    <w:rsid w:val="002D347F"/>
    <w:rsid w:val="002E21E8"/>
    <w:rsid w:val="002F3CF9"/>
    <w:rsid w:val="00301855"/>
    <w:rsid w:val="003019F8"/>
    <w:rsid w:val="003111E5"/>
    <w:rsid w:val="00320877"/>
    <w:rsid w:val="003230A0"/>
    <w:rsid w:val="00323656"/>
    <w:rsid w:val="00325394"/>
    <w:rsid w:val="00332950"/>
    <w:rsid w:val="00361E8D"/>
    <w:rsid w:val="00362C71"/>
    <w:rsid w:val="00366E8B"/>
    <w:rsid w:val="00370F97"/>
    <w:rsid w:val="0037188A"/>
    <w:rsid w:val="00373D42"/>
    <w:rsid w:val="00374B51"/>
    <w:rsid w:val="003776A0"/>
    <w:rsid w:val="00385F0B"/>
    <w:rsid w:val="003866AA"/>
    <w:rsid w:val="00394E88"/>
    <w:rsid w:val="003A1BFF"/>
    <w:rsid w:val="003A37E6"/>
    <w:rsid w:val="003A4B9C"/>
    <w:rsid w:val="003A7290"/>
    <w:rsid w:val="003B1B95"/>
    <w:rsid w:val="003C3114"/>
    <w:rsid w:val="003C772B"/>
    <w:rsid w:val="003D4E4B"/>
    <w:rsid w:val="003E31B8"/>
    <w:rsid w:val="003E7002"/>
    <w:rsid w:val="003F31D7"/>
    <w:rsid w:val="004072DA"/>
    <w:rsid w:val="00407B03"/>
    <w:rsid w:val="00420168"/>
    <w:rsid w:val="00421C65"/>
    <w:rsid w:val="00421CD6"/>
    <w:rsid w:val="00430478"/>
    <w:rsid w:val="004366AD"/>
    <w:rsid w:val="00436A14"/>
    <w:rsid w:val="00444095"/>
    <w:rsid w:val="00446423"/>
    <w:rsid w:val="004517DE"/>
    <w:rsid w:val="004533E9"/>
    <w:rsid w:val="0047416E"/>
    <w:rsid w:val="00481EA9"/>
    <w:rsid w:val="00491598"/>
    <w:rsid w:val="004A2C4D"/>
    <w:rsid w:val="004B4D3A"/>
    <w:rsid w:val="004B55D4"/>
    <w:rsid w:val="004C29EB"/>
    <w:rsid w:val="004C32EC"/>
    <w:rsid w:val="004C70EF"/>
    <w:rsid w:val="004D606F"/>
    <w:rsid w:val="004E04A9"/>
    <w:rsid w:val="004E070B"/>
    <w:rsid w:val="004E21FB"/>
    <w:rsid w:val="004F15CD"/>
    <w:rsid w:val="00502B30"/>
    <w:rsid w:val="0050484F"/>
    <w:rsid w:val="00504C76"/>
    <w:rsid w:val="00505010"/>
    <w:rsid w:val="005055CD"/>
    <w:rsid w:val="00507478"/>
    <w:rsid w:val="005118F5"/>
    <w:rsid w:val="00511C40"/>
    <w:rsid w:val="0051775A"/>
    <w:rsid w:val="00523461"/>
    <w:rsid w:val="00524EED"/>
    <w:rsid w:val="005364A1"/>
    <w:rsid w:val="00545724"/>
    <w:rsid w:val="00547DF1"/>
    <w:rsid w:val="00552D0B"/>
    <w:rsid w:val="00574573"/>
    <w:rsid w:val="00574F89"/>
    <w:rsid w:val="0057697D"/>
    <w:rsid w:val="00580178"/>
    <w:rsid w:val="005A0D52"/>
    <w:rsid w:val="005B124D"/>
    <w:rsid w:val="005B301B"/>
    <w:rsid w:val="005C5EE6"/>
    <w:rsid w:val="005C67C8"/>
    <w:rsid w:val="0061421B"/>
    <w:rsid w:val="00615153"/>
    <w:rsid w:val="00625C8E"/>
    <w:rsid w:val="006358B7"/>
    <w:rsid w:val="0063792A"/>
    <w:rsid w:val="00640D5E"/>
    <w:rsid w:val="00656643"/>
    <w:rsid w:val="00657AF3"/>
    <w:rsid w:val="0066120C"/>
    <w:rsid w:val="00666BB5"/>
    <w:rsid w:val="00671027"/>
    <w:rsid w:val="00672CBA"/>
    <w:rsid w:val="0067351D"/>
    <w:rsid w:val="006762B3"/>
    <w:rsid w:val="00684684"/>
    <w:rsid w:val="00684EF0"/>
    <w:rsid w:val="00690414"/>
    <w:rsid w:val="006A1BB2"/>
    <w:rsid w:val="006A207C"/>
    <w:rsid w:val="006A43A6"/>
    <w:rsid w:val="006B620B"/>
    <w:rsid w:val="006D6756"/>
    <w:rsid w:val="006E1121"/>
    <w:rsid w:val="006E4AA9"/>
    <w:rsid w:val="006E61DE"/>
    <w:rsid w:val="006E6741"/>
    <w:rsid w:val="006E7FA2"/>
    <w:rsid w:val="006F6CD7"/>
    <w:rsid w:val="00702C89"/>
    <w:rsid w:val="00707251"/>
    <w:rsid w:val="00715848"/>
    <w:rsid w:val="0073295F"/>
    <w:rsid w:val="007368A3"/>
    <w:rsid w:val="007408F4"/>
    <w:rsid w:val="0075201E"/>
    <w:rsid w:val="00761095"/>
    <w:rsid w:val="00773040"/>
    <w:rsid w:val="007768CF"/>
    <w:rsid w:val="00780D50"/>
    <w:rsid w:val="00783751"/>
    <w:rsid w:val="00783CEA"/>
    <w:rsid w:val="00794C61"/>
    <w:rsid w:val="007A5193"/>
    <w:rsid w:val="007A78C9"/>
    <w:rsid w:val="007B03D9"/>
    <w:rsid w:val="007C5FC3"/>
    <w:rsid w:val="007C65A1"/>
    <w:rsid w:val="007C7F2F"/>
    <w:rsid w:val="007E1625"/>
    <w:rsid w:val="007E51F7"/>
    <w:rsid w:val="007F7FFE"/>
    <w:rsid w:val="00812DFC"/>
    <w:rsid w:val="008164D7"/>
    <w:rsid w:val="00820898"/>
    <w:rsid w:val="00830E14"/>
    <w:rsid w:val="00832030"/>
    <w:rsid w:val="00842FC5"/>
    <w:rsid w:val="00844844"/>
    <w:rsid w:val="0084707A"/>
    <w:rsid w:val="0085223F"/>
    <w:rsid w:val="00861D04"/>
    <w:rsid w:val="0086535E"/>
    <w:rsid w:val="00871A7E"/>
    <w:rsid w:val="00875D8F"/>
    <w:rsid w:val="008805BB"/>
    <w:rsid w:val="00881C67"/>
    <w:rsid w:val="008837A9"/>
    <w:rsid w:val="008926FD"/>
    <w:rsid w:val="00893C8A"/>
    <w:rsid w:val="00897388"/>
    <w:rsid w:val="008A0F5F"/>
    <w:rsid w:val="008A28D6"/>
    <w:rsid w:val="008A56C7"/>
    <w:rsid w:val="008A64D1"/>
    <w:rsid w:val="008B54E4"/>
    <w:rsid w:val="008C3E91"/>
    <w:rsid w:val="008C6FAE"/>
    <w:rsid w:val="008D0100"/>
    <w:rsid w:val="008E1983"/>
    <w:rsid w:val="008E649E"/>
    <w:rsid w:val="008E6805"/>
    <w:rsid w:val="008F0280"/>
    <w:rsid w:val="008F11CB"/>
    <w:rsid w:val="008F59C1"/>
    <w:rsid w:val="0090105B"/>
    <w:rsid w:val="009020F6"/>
    <w:rsid w:val="00906300"/>
    <w:rsid w:val="009078E9"/>
    <w:rsid w:val="009279A0"/>
    <w:rsid w:val="0093533E"/>
    <w:rsid w:val="00947197"/>
    <w:rsid w:val="00947F20"/>
    <w:rsid w:val="00947FC3"/>
    <w:rsid w:val="0095246A"/>
    <w:rsid w:val="00966396"/>
    <w:rsid w:val="009670D5"/>
    <w:rsid w:val="00967FB8"/>
    <w:rsid w:val="0097376E"/>
    <w:rsid w:val="00977CDE"/>
    <w:rsid w:val="0099550A"/>
    <w:rsid w:val="00996A5F"/>
    <w:rsid w:val="009A383A"/>
    <w:rsid w:val="009B1FEF"/>
    <w:rsid w:val="009B37B8"/>
    <w:rsid w:val="009C1B06"/>
    <w:rsid w:val="009C21CB"/>
    <w:rsid w:val="009C63D4"/>
    <w:rsid w:val="009E250D"/>
    <w:rsid w:val="009F1D00"/>
    <w:rsid w:val="009F39AF"/>
    <w:rsid w:val="009F79F4"/>
    <w:rsid w:val="00A10068"/>
    <w:rsid w:val="00A13985"/>
    <w:rsid w:val="00A15100"/>
    <w:rsid w:val="00A22B8A"/>
    <w:rsid w:val="00A23E24"/>
    <w:rsid w:val="00A33603"/>
    <w:rsid w:val="00A35BB1"/>
    <w:rsid w:val="00A36091"/>
    <w:rsid w:val="00A421E4"/>
    <w:rsid w:val="00A60B2C"/>
    <w:rsid w:val="00A61983"/>
    <w:rsid w:val="00A63022"/>
    <w:rsid w:val="00A64662"/>
    <w:rsid w:val="00A666BB"/>
    <w:rsid w:val="00A720B5"/>
    <w:rsid w:val="00A73E72"/>
    <w:rsid w:val="00A908E3"/>
    <w:rsid w:val="00AA4872"/>
    <w:rsid w:val="00AA54D9"/>
    <w:rsid w:val="00AB67A3"/>
    <w:rsid w:val="00AB7169"/>
    <w:rsid w:val="00AC4943"/>
    <w:rsid w:val="00AC74CB"/>
    <w:rsid w:val="00AE4565"/>
    <w:rsid w:val="00AF1508"/>
    <w:rsid w:val="00AF2CAA"/>
    <w:rsid w:val="00AF3435"/>
    <w:rsid w:val="00AF5EC2"/>
    <w:rsid w:val="00AF7309"/>
    <w:rsid w:val="00B02CD4"/>
    <w:rsid w:val="00B046EC"/>
    <w:rsid w:val="00B12C63"/>
    <w:rsid w:val="00B1445E"/>
    <w:rsid w:val="00B17756"/>
    <w:rsid w:val="00B26F65"/>
    <w:rsid w:val="00B300B0"/>
    <w:rsid w:val="00B322A0"/>
    <w:rsid w:val="00B329CA"/>
    <w:rsid w:val="00B34D10"/>
    <w:rsid w:val="00B37F8C"/>
    <w:rsid w:val="00B43B0C"/>
    <w:rsid w:val="00B45468"/>
    <w:rsid w:val="00B45998"/>
    <w:rsid w:val="00B53565"/>
    <w:rsid w:val="00B54796"/>
    <w:rsid w:val="00B56355"/>
    <w:rsid w:val="00B8223E"/>
    <w:rsid w:val="00B84A00"/>
    <w:rsid w:val="00B90A54"/>
    <w:rsid w:val="00B964F4"/>
    <w:rsid w:val="00BA17AA"/>
    <w:rsid w:val="00BA4AE0"/>
    <w:rsid w:val="00BA4C64"/>
    <w:rsid w:val="00BA56BA"/>
    <w:rsid w:val="00BA7E4F"/>
    <w:rsid w:val="00BB08D3"/>
    <w:rsid w:val="00BC330F"/>
    <w:rsid w:val="00BD3375"/>
    <w:rsid w:val="00BF4F83"/>
    <w:rsid w:val="00C13C02"/>
    <w:rsid w:val="00C2002D"/>
    <w:rsid w:val="00C31E03"/>
    <w:rsid w:val="00C332A7"/>
    <w:rsid w:val="00C37E1F"/>
    <w:rsid w:val="00C439CB"/>
    <w:rsid w:val="00C44639"/>
    <w:rsid w:val="00C45833"/>
    <w:rsid w:val="00C46877"/>
    <w:rsid w:val="00C55B14"/>
    <w:rsid w:val="00C70646"/>
    <w:rsid w:val="00C7496E"/>
    <w:rsid w:val="00C907AC"/>
    <w:rsid w:val="00CA4D88"/>
    <w:rsid w:val="00CB0986"/>
    <w:rsid w:val="00CB36E5"/>
    <w:rsid w:val="00CD0AA9"/>
    <w:rsid w:val="00CD4B48"/>
    <w:rsid w:val="00CE038B"/>
    <w:rsid w:val="00CE2B72"/>
    <w:rsid w:val="00CE72E1"/>
    <w:rsid w:val="00CF5800"/>
    <w:rsid w:val="00D00A29"/>
    <w:rsid w:val="00D0554D"/>
    <w:rsid w:val="00D1147D"/>
    <w:rsid w:val="00D21A2A"/>
    <w:rsid w:val="00D2399A"/>
    <w:rsid w:val="00D30CC0"/>
    <w:rsid w:val="00D415F2"/>
    <w:rsid w:val="00D4293C"/>
    <w:rsid w:val="00D43A40"/>
    <w:rsid w:val="00D56A48"/>
    <w:rsid w:val="00D61DAA"/>
    <w:rsid w:val="00D72F55"/>
    <w:rsid w:val="00D84FE4"/>
    <w:rsid w:val="00D85784"/>
    <w:rsid w:val="00D93A66"/>
    <w:rsid w:val="00DA0329"/>
    <w:rsid w:val="00DA28F1"/>
    <w:rsid w:val="00DA6B94"/>
    <w:rsid w:val="00DF5AE1"/>
    <w:rsid w:val="00E12968"/>
    <w:rsid w:val="00E13D96"/>
    <w:rsid w:val="00E1647E"/>
    <w:rsid w:val="00E26B9D"/>
    <w:rsid w:val="00E3072A"/>
    <w:rsid w:val="00E602E4"/>
    <w:rsid w:val="00E77C42"/>
    <w:rsid w:val="00E9551E"/>
    <w:rsid w:val="00EA1E4A"/>
    <w:rsid w:val="00EA1F90"/>
    <w:rsid w:val="00EA2311"/>
    <w:rsid w:val="00EA2DD7"/>
    <w:rsid w:val="00EA5293"/>
    <w:rsid w:val="00EB4078"/>
    <w:rsid w:val="00EB592A"/>
    <w:rsid w:val="00EC3BD4"/>
    <w:rsid w:val="00ED4A15"/>
    <w:rsid w:val="00ED5FFD"/>
    <w:rsid w:val="00ED79BC"/>
    <w:rsid w:val="00EE01DB"/>
    <w:rsid w:val="00EE2F55"/>
    <w:rsid w:val="00EE64DF"/>
    <w:rsid w:val="00EE6FB7"/>
    <w:rsid w:val="00EF38E7"/>
    <w:rsid w:val="00EF3A8A"/>
    <w:rsid w:val="00F003E3"/>
    <w:rsid w:val="00F16096"/>
    <w:rsid w:val="00F17190"/>
    <w:rsid w:val="00F25E50"/>
    <w:rsid w:val="00F314B6"/>
    <w:rsid w:val="00F32C51"/>
    <w:rsid w:val="00F4177D"/>
    <w:rsid w:val="00F420B3"/>
    <w:rsid w:val="00F451CC"/>
    <w:rsid w:val="00F54625"/>
    <w:rsid w:val="00F63843"/>
    <w:rsid w:val="00F64E34"/>
    <w:rsid w:val="00F84B89"/>
    <w:rsid w:val="00F95511"/>
    <w:rsid w:val="00F97524"/>
    <w:rsid w:val="00FB1551"/>
    <w:rsid w:val="00FB70DB"/>
    <w:rsid w:val="00FC39DE"/>
    <w:rsid w:val="00FC597F"/>
    <w:rsid w:val="00FC7608"/>
    <w:rsid w:val="00FD5E17"/>
    <w:rsid w:val="00FD67B0"/>
    <w:rsid w:val="00FE1DF5"/>
    <w:rsid w:val="00FF6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F012C0D"/>
  <w15:chartTrackingRefBased/>
  <w15:docId w15:val="{1597E314-D450-4376-879F-2ED3A407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qFormat="1"/>
    <w:lsdException w:name="footer" w:uiPriority="99"/>
    <w:lsdException w:name="caption" w:semiHidden="1" w:unhideWhenUsed="1" w:qFormat="1"/>
    <w:lsdException w:name="footnote reference" w:uiPriority="99" w:qFormat="1"/>
    <w:lsdException w:name="List Bullet" w:uiPriority="3" w:qFormat="1"/>
    <w:lsdException w:name="Title" w:qFormat="1"/>
    <w:lsdException w:name="Body Text" w:qFormat="1"/>
    <w:lsdException w:name="Subtitle" w:qFormat="1"/>
    <w:lsdException w:name="Hyperlink" w:uiPriority="99"/>
    <w:lsdException w:name="Strong" w:qFormat="1"/>
    <w:lsdException w:name="Emphasis" w:uiPriority="20"/>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BA17AA"/>
    <w:pPr>
      <w:keepNext/>
      <w:keepLines/>
      <w:spacing w:before="240" w:after="240"/>
      <w:outlineLvl w:val="0"/>
    </w:pPr>
    <w:rPr>
      <w:rFonts w:ascii="Arial" w:hAnsi="Arial"/>
      <w:b/>
      <w:bCs/>
      <w:color w:val="00A0AA"/>
      <w:sz w:val="40"/>
      <w:szCs w:val="28"/>
    </w:rPr>
  </w:style>
  <w:style w:type="paragraph" w:styleId="Heading2">
    <w:name w:val="heading 2"/>
    <w:basedOn w:val="Normal"/>
    <w:next w:val="BodyText"/>
    <w:link w:val="Heading2Char"/>
    <w:qFormat/>
    <w:rsid w:val="00BA17AA"/>
    <w:pPr>
      <w:keepNext/>
      <w:keepLines/>
      <w:spacing w:before="360" w:after="120"/>
      <w:outlineLvl w:val="1"/>
    </w:pPr>
    <w:rPr>
      <w:rFonts w:ascii="Arial" w:hAnsi="Arial"/>
      <w:b/>
      <w:bCs/>
      <w:color w:val="00A0AA"/>
      <w:sz w:val="36"/>
      <w:szCs w:val="26"/>
    </w:rPr>
  </w:style>
  <w:style w:type="paragraph" w:styleId="Heading3">
    <w:name w:val="heading 3"/>
    <w:basedOn w:val="Normal"/>
    <w:next w:val="BodyText"/>
    <w:link w:val="Heading3Char"/>
    <w:autoRedefine/>
    <w:qFormat/>
    <w:rsid w:val="007E1625"/>
    <w:pPr>
      <w:keepNext/>
      <w:keepLines/>
      <w:spacing w:before="360" w:after="120"/>
      <w:outlineLvl w:val="2"/>
    </w:pPr>
    <w:rPr>
      <w:rFonts w:ascii="Arial" w:hAnsi="Arial"/>
      <w:b/>
      <w:bCs/>
      <w:color w:val="00A0AA"/>
      <w:sz w:val="32"/>
    </w:rPr>
  </w:style>
  <w:style w:type="paragraph" w:styleId="Heading4">
    <w:name w:val="heading 4"/>
    <w:basedOn w:val="Normal"/>
    <w:next w:val="BodyText"/>
    <w:link w:val="Heading4Char"/>
    <w:qFormat/>
    <w:rsid w:val="00394E88"/>
    <w:pPr>
      <w:keepNext/>
      <w:keepLines/>
      <w:spacing w:before="360" w:after="320"/>
      <w:outlineLvl w:val="3"/>
    </w:pPr>
    <w:rPr>
      <w:rFonts w:ascii="Arial" w:hAnsi="Arial"/>
      <w:b/>
      <w:bCs/>
      <w:iCs/>
      <w:color w:val="00A0AA"/>
      <w:sz w:val="28"/>
    </w:rPr>
  </w:style>
  <w:style w:type="paragraph" w:styleId="Heading5">
    <w:name w:val="heading 5"/>
    <w:basedOn w:val="Normal"/>
    <w:next w:val="Normal"/>
    <w:link w:val="Heading5Char"/>
    <w:semiHidden/>
    <w:unhideWhenUsed/>
    <w:rsid w:val="00C46877"/>
    <w:pPr>
      <w:keepNext/>
      <w:keepLines/>
      <w:spacing w:before="40"/>
      <w:outlineLvl w:val="4"/>
    </w:pPr>
    <w:rPr>
      <w:rFonts w:asciiTheme="majorHAnsi" w:eastAsiaTheme="majorEastAsia" w:hAnsiTheme="majorHAnsi" w:cstheme="majorBidi"/>
      <w:color w:val="003F34" w:themeColor="accent1" w:themeShade="BF"/>
    </w:rPr>
  </w:style>
  <w:style w:type="paragraph" w:styleId="Heading6">
    <w:name w:val="heading 6"/>
    <w:basedOn w:val="Normal"/>
    <w:next w:val="Normal"/>
    <w:link w:val="Heading6Char"/>
    <w:semiHidden/>
    <w:unhideWhenUsed/>
    <w:qFormat/>
    <w:rsid w:val="00C46877"/>
    <w:pPr>
      <w:keepNext/>
      <w:keepLines/>
      <w:spacing w:before="40"/>
      <w:outlineLvl w:val="5"/>
    </w:pPr>
    <w:rPr>
      <w:rFonts w:asciiTheme="majorHAnsi" w:eastAsiaTheme="majorEastAsia" w:hAnsiTheme="majorHAnsi" w:cstheme="majorBidi"/>
      <w:color w:val="002A22"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D84FE4"/>
    <w:pPr>
      <w:tabs>
        <w:tab w:val="right" w:leader="dot" w:pos="9628"/>
      </w:tabs>
      <w:spacing w:after="100"/>
    </w:pPr>
    <w:rPr>
      <w:rFonts w:ascii="Arial" w:hAnsi="Arial"/>
    </w:rPr>
  </w:style>
  <w:style w:type="paragraph" w:customStyle="1" w:styleId="Numbering">
    <w:name w:val="Numbering"/>
    <w:basedOn w:val="Normal"/>
    <w:rsid w:val="009B37B8"/>
    <w:pPr>
      <w:numPr>
        <w:numId w:val="4"/>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BA17AA"/>
    <w:rPr>
      <w:rFonts w:eastAsia="Calibri"/>
      <w:b/>
      <w:bCs/>
      <w:color w:val="00A0AA"/>
      <w:sz w:val="40"/>
      <w:szCs w:val="28"/>
    </w:rPr>
  </w:style>
  <w:style w:type="character" w:customStyle="1" w:styleId="Heading2Char">
    <w:name w:val="Heading 2 Char"/>
    <w:link w:val="Heading2"/>
    <w:rsid w:val="00BA17AA"/>
    <w:rPr>
      <w:rFonts w:eastAsia="Calibri"/>
      <w:b/>
      <w:bCs/>
      <w:color w:val="00A0AA"/>
      <w:sz w:val="36"/>
      <w:szCs w:val="26"/>
    </w:rPr>
  </w:style>
  <w:style w:type="paragraph" w:customStyle="1" w:styleId="Bullets">
    <w:name w:val="Bullets"/>
    <w:basedOn w:val="Normal"/>
    <w:link w:val="BulletsChar"/>
    <w:qFormat/>
    <w:rsid w:val="003C772B"/>
    <w:pPr>
      <w:numPr>
        <w:numId w:val="5"/>
      </w:numPr>
    </w:pPr>
    <w:rPr>
      <w:rFonts w:ascii="Arial" w:hAnsi="Arial"/>
      <w:color w:val="000000"/>
    </w:rPr>
  </w:style>
  <w:style w:type="paragraph" w:styleId="BodyText">
    <w:name w:val="Body Text"/>
    <w:aliases w:val="Body Text Char1,Body Text Char Char"/>
    <w:basedOn w:val="Normal"/>
    <w:link w:val="BodyTextChar"/>
    <w:qFormat/>
    <w:rsid w:val="00D00A29"/>
    <w:pPr>
      <w:spacing w:before="120" w:after="240"/>
    </w:pPr>
    <w:rPr>
      <w:rFonts w:ascii="Arial" w:hAnsi="Arial"/>
      <w:color w:val="000000"/>
    </w:rPr>
  </w:style>
  <w:style w:type="character" w:customStyle="1" w:styleId="BodyTextChar">
    <w:name w:val="Body Text Char"/>
    <w:aliases w:val="Body Text Char1 Char,Body Text Char Char Char"/>
    <w:link w:val="BodyText"/>
    <w:rsid w:val="00D00A29"/>
    <w:rPr>
      <w:rFonts w:eastAsia="Calibri"/>
      <w:color w:val="000000"/>
      <w:sz w:val="24"/>
      <w:szCs w:val="24"/>
    </w:rPr>
  </w:style>
  <w:style w:type="character" w:customStyle="1" w:styleId="Heading3Char">
    <w:name w:val="Heading 3 Char"/>
    <w:link w:val="Heading3"/>
    <w:rsid w:val="007E1625"/>
    <w:rPr>
      <w:rFonts w:eastAsia="Calibri"/>
      <w:b/>
      <w:bCs/>
      <w:color w:val="00A0AA"/>
      <w:sz w:val="32"/>
      <w:szCs w:val="24"/>
    </w:rPr>
  </w:style>
  <w:style w:type="character" w:customStyle="1" w:styleId="Heading4Char">
    <w:name w:val="Heading 4 Char"/>
    <w:link w:val="Heading4"/>
    <w:rsid w:val="00394E88"/>
    <w:rPr>
      <w:rFonts w:eastAsia="Calibri"/>
      <w:b/>
      <w:bCs/>
      <w:iCs/>
      <w:color w:val="00A0AA"/>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clear" w:pos="9628"/>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qFormat/>
    <w:rsid w:val="00394E88"/>
    <w:pPr>
      <w:contextualSpacing/>
    </w:pPr>
    <w:rPr>
      <w:rFonts w:ascii="Arial" w:eastAsiaTheme="majorEastAsia" w:hAnsi="Arial" w:cs="Arial"/>
      <w:b/>
      <w:color w:val="00A0AA"/>
      <w:spacing w:val="-10"/>
      <w:kern w:val="28"/>
      <w:sz w:val="56"/>
      <w:szCs w:val="56"/>
    </w:rPr>
  </w:style>
  <w:style w:type="character" w:customStyle="1" w:styleId="TitleChar">
    <w:name w:val="Title Char"/>
    <w:basedOn w:val="DefaultParagraphFont"/>
    <w:link w:val="Title"/>
    <w:rsid w:val="00394E88"/>
    <w:rPr>
      <w:rFonts w:eastAsiaTheme="majorEastAsia" w:cs="Arial"/>
      <w:b/>
      <w:color w:val="00A0AA"/>
      <w:spacing w:val="-10"/>
      <w:kern w:val="28"/>
      <w:sz w:val="56"/>
      <w:szCs w:val="56"/>
    </w:rPr>
  </w:style>
  <w:style w:type="paragraph" w:customStyle="1" w:styleId="HeaderTitle">
    <w:name w:val="Header Title"/>
    <w:basedOn w:val="BodyText"/>
    <w:next w:val="BodyText"/>
    <w:link w:val="HeaderTitleChar"/>
    <w:qFormat/>
    <w:rsid w:val="00BA17AA"/>
    <w:rPr>
      <w:b/>
      <w:color w:val="00A0AA"/>
      <w:sz w:val="52"/>
    </w:rPr>
  </w:style>
  <w:style w:type="paragraph" w:styleId="Subtitle">
    <w:name w:val="Subtitle"/>
    <w:basedOn w:val="Normal"/>
    <w:next w:val="Normal"/>
    <w:link w:val="SubtitleChar"/>
    <w:qFormat/>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BA17AA"/>
    <w:rPr>
      <w:rFonts w:eastAsia="Calibri"/>
      <w:b/>
      <w:color w:val="00A0AA"/>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99"/>
    <w:qFormat/>
    <w:rsid w:val="00A23E24"/>
    <w:pPr>
      <w:ind w:left="720"/>
      <w:contextualSpacing/>
    </w:pPr>
  </w:style>
  <w:style w:type="character" w:styleId="CommentReference">
    <w:name w:val="annotation reference"/>
    <w:basedOn w:val="DefaultParagraphFont"/>
    <w:unhideWhenUsed/>
    <w:rsid w:val="00AC74CB"/>
    <w:rPr>
      <w:sz w:val="16"/>
      <w:szCs w:val="16"/>
    </w:rPr>
  </w:style>
  <w:style w:type="paragraph" w:styleId="CommentText">
    <w:name w:val="annotation text"/>
    <w:basedOn w:val="Normal"/>
    <w:link w:val="CommentTextChar"/>
    <w:unhideWhenUsed/>
    <w:rsid w:val="00AC74CB"/>
    <w:rPr>
      <w:rFonts w:ascii="Arial" w:eastAsia="Times New Roman" w:hAnsi="Arial"/>
      <w:sz w:val="20"/>
      <w:szCs w:val="20"/>
      <w:lang w:eastAsia="en-US"/>
    </w:rPr>
  </w:style>
  <w:style w:type="character" w:customStyle="1" w:styleId="CommentTextChar">
    <w:name w:val="Comment Text Char"/>
    <w:basedOn w:val="DefaultParagraphFont"/>
    <w:link w:val="CommentText"/>
    <w:rsid w:val="00AC74CB"/>
    <w:rPr>
      <w:lang w:eastAsia="en-US"/>
    </w:rPr>
  </w:style>
  <w:style w:type="paragraph" w:styleId="Date">
    <w:name w:val="Date"/>
    <w:basedOn w:val="Normal"/>
    <w:next w:val="Normal"/>
    <w:link w:val="DateChar"/>
    <w:rsid w:val="00AC74CB"/>
    <w:pPr>
      <w:ind w:left="1134"/>
    </w:pPr>
    <w:rPr>
      <w:rFonts w:ascii="Arial" w:eastAsia="Times New Roman" w:hAnsi="Arial"/>
      <w:color w:val="FFFFFF"/>
      <w:lang w:eastAsia="en-US"/>
    </w:rPr>
  </w:style>
  <w:style w:type="character" w:customStyle="1" w:styleId="DateChar">
    <w:name w:val="Date Char"/>
    <w:basedOn w:val="DefaultParagraphFont"/>
    <w:link w:val="Date"/>
    <w:rsid w:val="00AC74CB"/>
    <w:rPr>
      <w:color w:val="FFFFFF"/>
      <w:sz w:val="24"/>
      <w:szCs w:val="24"/>
      <w:lang w:eastAsia="en-US"/>
    </w:rPr>
  </w:style>
  <w:style w:type="paragraph" w:styleId="TOCHeading">
    <w:name w:val="TOC Heading"/>
    <w:basedOn w:val="Heading1"/>
    <w:next w:val="Normal"/>
    <w:uiPriority w:val="39"/>
    <w:unhideWhenUsed/>
    <w:qFormat/>
    <w:rsid w:val="0097376E"/>
    <w:pPr>
      <w:spacing w:after="0" w:line="259" w:lineRule="auto"/>
      <w:outlineLvl w:val="9"/>
    </w:pPr>
    <w:rPr>
      <w:rFonts w:asciiTheme="majorHAnsi" w:eastAsiaTheme="majorEastAsia" w:hAnsiTheme="majorHAnsi" w:cstheme="majorBidi"/>
      <w:bCs w:val="0"/>
      <w:color w:val="0898C4" w:themeColor="accent5" w:themeShade="BF"/>
      <w:sz w:val="28"/>
      <w:szCs w:val="32"/>
      <w:lang w:val="en-US" w:eastAsia="en-US"/>
    </w:rPr>
  </w:style>
  <w:style w:type="paragraph" w:styleId="TOC2">
    <w:name w:val="toc 2"/>
    <w:basedOn w:val="Normal"/>
    <w:next w:val="Normal"/>
    <w:autoRedefine/>
    <w:uiPriority w:val="39"/>
    <w:rsid w:val="00F314B6"/>
    <w:pPr>
      <w:tabs>
        <w:tab w:val="right" w:leader="dot" w:pos="9628"/>
      </w:tabs>
      <w:spacing w:after="100"/>
      <w:ind w:left="240"/>
    </w:pPr>
    <w:rPr>
      <w:rFonts w:ascii="Arial" w:hAnsi="Arial"/>
    </w:rPr>
  </w:style>
  <w:style w:type="paragraph" w:styleId="TOC3">
    <w:name w:val="toc 3"/>
    <w:basedOn w:val="Normal"/>
    <w:next w:val="Normal"/>
    <w:autoRedefine/>
    <w:uiPriority w:val="39"/>
    <w:rsid w:val="00B53565"/>
    <w:pPr>
      <w:spacing w:after="100"/>
      <w:ind w:left="480"/>
    </w:pPr>
  </w:style>
  <w:style w:type="character" w:styleId="Emphasis">
    <w:name w:val="Emphasis"/>
    <w:basedOn w:val="DefaultParagraphFont"/>
    <w:uiPriority w:val="20"/>
    <w:rsid w:val="006A207C"/>
    <w:rPr>
      <w:i/>
      <w:iCs/>
    </w:rPr>
  </w:style>
  <w:style w:type="paragraph" w:customStyle="1" w:styleId="Heading">
    <w:name w:val="Heading"/>
    <w:rsid w:val="00AA4872"/>
    <w:pPr>
      <w:keepNext/>
      <w:keepLines/>
      <w:spacing w:before="240"/>
      <w:outlineLvl w:val="0"/>
    </w:pPr>
    <w:rPr>
      <w:rFonts w:ascii="Calibri Light" w:eastAsia="Calibri Light" w:hAnsi="Calibri Light" w:cs="Calibri Light"/>
      <w:color w:val="2F5496"/>
      <w:sz w:val="32"/>
      <w:szCs w:val="32"/>
      <w:u w:color="2F5496"/>
      <w:lang w:val="de-DE"/>
    </w:rPr>
  </w:style>
  <w:style w:type="numbering" w:customStyle="1" w:styleId="ImportedStyle1">
    <w:name w:val="Imported Style 1"/>
    <w:rsid w:val="00AA4872"/>
    <w:pPr>
      <w:numPr>
        <w:numId w:val="1"/>
      </w:numPr>
    </w:pPr>
  </w:style>
  <w:style w:type="paragraph" w:styleId="CommentSubject">
    <w:name w:val="annotation subject"/>
    <w:basedOn w:val="CommentText"/>
    <w:next w:val="CommentText"/>
    <w:link w:val="CommentSubjectChar"/>
    <w:rsid w:val="00C45833"/>
    <w:rPr>
      <w:rFonts w:ascii="Times New Roman" w:eastAsia="Calibri" w:hAnsi="Times New Roman"/>
      <w:b/>
      <w:bCs/>
      <w:lang w:eastAsia="en-GB"/>
    </w:rPr>
  </w:style>
  <w:style w:type="character" w:customStyle="1" w:styleId="CommentSubjectChar">
    <w:name w:val="Comment Subject Char"/>
    <w:basedOn w:val="CommentTextChar"/>
    <w:link w:val="CommentSubject"/>
    <w:rsid w:val="00C45833"/>
    <w:rPr>
      <w:rFonts w:ascii="Times New Roman" w:eastAsia="Calibri" w:hAnsi="Times New Roman"/>
      <w:b/>
      <w:bCs/>
      <w:lang w:eastAsia="en-US"/>
    </w:rPr>
  </w:style>
  <w:style w:type="paragraph" w:customStyle="1" w:styleId="Covertitles">
    <w:name w:val="Cover titles"/>
    <w:basedOn w:val="BodyText"/>
    <w:qFormat/>
    <w:rsid w:val="00D72F55"/>
    <w:rPr>
      <w:b/>
      <w:color w:val="00A0AA" w:themeColor="accent6"/>
      <w:sz w:val="28"/>
    </w:rPr>
  </w:style>
  <w:style w:type="paragraph" w:customStyle="1" w:styleId="ReportText">
    <w:name w:val="Report Text"/>
    <w:aliases w:val="Left:  0 cm"/>
    <w:link w:val="ReportTextChar"/>
    <w:qFormat/>
    <w:rsid w:val="00385F0B"/>
    <w:pPr>
      <w:spacing w:before="170" w:after="170" w:line="260" w:lineRule="atLeast"/>
    </w:pPr>
    <w:rPr>
      <w:rFonts w:asciiTheme="minorHAnsi" w:eastAsiaTheme="minorEastAsia" w:hAnsiTheme="minorHAnsi"/>
      <w:sz w:val="24"/>
      <w:lang w:eastAsia="en-US"/>
    </w:rPr>
  </w:style>
  <w:style w:type="character" w:customStyle="1" w:styleId="ReportTextChar">
    <w:name w:val="Report Text Char"/>
    <w:aliases w:val="Left:  0 cm Char Char"/>
    <w:basedOn w:val="DefaultParagraphFont"/>
    <w:link w:val="ReportText"/>
    <w:rsid w:val="00385F0B"/>
    <w:rPr>
      <w:rFonts w:asciiTheme="minorHAnsi" w:eastAsiaTheme="minorEastAsia" w:hAnsiTheme="minorHAnsi"/>
      <w:sz w:val="24"/>
      <w:lang w:eastAsia="en-US"/>
    </w:rPr>
  </w:style>
  <w:style w:type="numbering" w:customStyle="1" w:styleId="ListStyle-ListBullet">
    <w:name w:val="_List Style - List Bullet"/>
    <w:uiPriority w:val="99"/>
    <w:rsid w:val="00C46877"/>
    <w:pPr>
      <w:numPr>
        <w:numId w:val="2"/>
      </w:numPr>
    </w:pPr>
  </w:style>
  <w:style w:type="character" w:styleId="FootnoteReference">
    <w:name w:val="footnote reference"/>
    <w:aliases w:val="FN Number,EN Footnote Reference,SUPERS,number,Footnote Reference Superscript,stylish,Footnote symbol,BVI fnr,-E Fußnotenzeichen,Source Reference,Footnote reference number,note TESI,Times 10 Point,Exposant 3 Point,Ref,de nota al pie,fr"/>
    <w:basedOn w:val="DefaultParagraphFont"/>
    <w:uiPriority w:val="99"/>
    <w:qFormat/>
    <w:rsid w:val="00C46877"/>
    <w:rPr>
      <w:vertAlign w:val="superscript"/>
      <w:lang w:val="en-GB"/>
    </w:rPr>
  </w:style>
  <w:style w:type="paragraph" w:styleId="FootnoteText">
    <w:name w:val="footnote text"/>
    <w:aliases w:val="Harestanes Ref,RSK-FT,RSK-FT1,RSK-FT2,FN Text,NZDF Footnote,RSK-FT3,RSK-FT11,RSK-FT21,RSK-FT4,RSK-FT12,RSK-FT22,11 Footnote Text,Footnote Text2,Footnote Text Char Char,Footnote Text Char Char Char Char,~Footnote,Footnote Text (EKOS),Char1"/>
    <w:basedOn w:val="Normal"/>
    <w:link w:val="FootnoteTextChar"/>
    <w:uiPriority w:val="99"/>
    <w:qFormat/>
    <w:rsid w:val="00C46877"/>
    <w:pPr>
      <w:spacing w:after="160" w:line="200" w:lineRule="atLeast"/>
      <w:ind w:left="113" w:hanging="113"/>
    </w:pPr>
    <w:rPr>
      <w:rFonts w:asciiTheme="minorHAnsi" w:eastAsiaTheme="minorEastAsia" w:hAnsiTheme="minorHAnsi" w:cstheme="minorBidi"/>
      <w:sz w:val="16"/>
      <w:szCs w:val="22"/>
      <w:lang w:eastAsia="zh-CN"/>
    </w:rPr>
  </w:style>
  <w:style w:type="character" w:customStyle="1" w:styleId="FootnoteTextChar">
    <w:name w:val="Footnote Text Char"/>
    <w:aliases w:val="Harestanes Ref Char,RSK-FT Char,RSK-FT1 Char,RSK-FT2 Char,FN Text Char,NZDF Footnote Char,RSK-FT3 Char,RSK-FT11 Char,RSK-FT21 Char,RSK-FT4 Char,RSK-FT12 Char,RSK-FT22 Char,11 Footnote Text Char,Footnote Text2 Char,~Footnote Char"/>
    <w:basedOn w:val="DefaultParagraphFont"/>
    <w:link w:val="FootnoteText"/>
    <w:uiPriority w:val="99"/>
    <w:rsid w:val="00C46877"/>
    <w:rPr>
      <w:rFonts w:asciiTheme="minorHAnsi" w:eastAsiaTheme="minorEastAsia" w:hAnsiTheme="minorHAnsi" w:cstheme="minorBidi"/>
      <w:sz w:val="16"/>
      <w:szCs w:val="22"/>
      <w:lang w:eastAsia="zh-CN"/>
    </w:rPr>
  </w:style>
  <w:style w:type="paragraph" w:styleId="ListBullet">
    <w:name w:val="List Bullet"/>
    <w:basedOn w:val="Normal"/>
    <w:uiPriority w:val="3"/>
    <w:qFormat/>
    <w:rsid w:val="00C46877"/>
    <w:pPr>
      <w:spacing w:after="160"/>
      <w:ind w:left="340" w:hanging="340"/>
    </w:pPr>
    <w:rPr>
      <w:rFonts w:asciiTheme="minorHAnsi" w:eastAsiaTheme="minorEastAsia" w:hAnsiTheme="minorHAnsi" w:cstheme="minorBidi"/>
      <w:sz w:val="22"/>
      <w:lang w:eastAsia="zh-CN"/>
    </w:rPr>
  </w:style>
  <w:style w:type="numbering" w:customStyle="1" w:styleId="ListStyle-HeadingsNoNumber">
    <w:name w:val="_List Style - Headings No Number"/>
    <w:uiPriority w:val="99"/>
    <w:rsid w:val="00C46877"/>
    <w:pPr>
      <w:numPr>
        <w:numId w:val="3"/>
      </w:numPr>
    </w:pPr>
  </w:style>
  <w:style w:type="paragraph" w:customStyle="1" w:styleId="Heading1NoNumber">
    <w:name w:val="Heading 1 No Number"/>
    <w:basedOn w:val="Heading1"/>
    <w:next w:val="Normal"/>
    <w:uiPriority w:val="1"/>
    <w:qFormat/>
    <w:rsid w:val="00C46877"/>
    <w:pPr>
      <w:numPr>
        <w:numId w:val="7"/>
      </w:numPr>
      <w:tabs>
        <w:tab w:val="num" w:pos="360"/>
      </w:tabs>
      <w:suppressAutoHyphens/>
      <w:spacing w:before="440" w:after="440"/>
      <w:ind w:left="0" w:firstLine="0"/>
    </w:pPr>
    <w:rPr>
      <w:rFonts w:asciiTheme="minorHAnsi" w:eastAsiaTheme="minorEastAsia" w:hAnsiTheme="minorHAnsi" w:cstheme="minorBidi"/>
      <w:b w:val="0"/>
      <w:bCs w:val="0"/>
      <w:color w:val="005546" w:themeColor="accent1"/>
      <w:szCs w:val="32"/>
      <w:lang w:eastAsia="zh-CN"/>
    </w:rPr>
  </w:style>
  <w:style w:type="paragraph" w:customStyle="1" w:styleId="Heading2NoNumber">
    <w:name w:val="Heading 2 No Number"/>
    <w:basedOn w:val="Heading2"/>
    <w:next w:val="Normal"/>
    <w:uiPriority w:val="1"/>
    <w:qFormat/>
    <w:rsid w:val="00C46877"/>
    <w:pPr>
      <w:numPr>
        <w:ilvl w:val="1"/>
        <w:numId w:val="7"/>
      </w:numPr>
      <w:tabs>
        <w:tab w:val="num" w:pos="360"/>
      </w:tabs>
      <w:suppressAutoHyphens/>
      <w:spacing w:before="280" w:after="80"/>
      <w:ind w:left="0" w:firstLine="0"/>
    </w:pPr>
    <w:rPr>
      <w:rFonts w:asciiTheme="majorHAnsi" w:eastAsiaTheme="majorEastAsia" w:hAnsiTheme="majorHAnsi" w:cstheme="majorBidi"/>
      <w:bCs w:val="0"/>
      <w:color w:val="005546" w:themeColor="accent1"/>
      <w:sz w:val="24"/>
      <w:lang w:eastAsia="zh-CN"/>
    </w:rPr>
  </w:style>
  <w:style w:type="paragraph" w:customStyle="1" w:styleId="Heading3NoNumber">
    <w:name w:val="Heading 3 No Number"/>
    <w:basedOn w:val="Heading3"/>
    <w:next w:val="Normal"/>
    <w:uiPriority w:val="1"/>
    <w:qFormat/>
    <w:rsid w:val="00C46877"/>
    <w:pPr>
      <w:numPr>
        <w:ilvl w:val="2"/>
        <w:numId w:val="7"/>
      </w:numPr>
      <w:tabs>
        <w:tab w:val="num" w:pos="360"/>
      </w:tabs>
      <w:suppressAutoHyphens/>
      <w:spacing w:before="320" w:after="30"/>
      <w:ind w:left="0" w:firstLine="0"/>
    </w:pPr>
    <w:rPr>
      <w:rFonts w:asciiTheme="minorHAnsi" w:eastAsiaTheme="minorEastAsia" w:hAnsiTheme="minorHAnsi" w:cstheme="minorBidi"/>
      <w:b w:val="0"/>
      <w:bCs w:val="0"/>
      <w:color w:val="005546" w:themeColor="accent1"/>
      <w:sz w:val="22"/>
      <w:lang w:eastAsia="zh-CN"/>
    </w:rPr>
  </w:style>
  <w:style w:type="paragraph" w:customStyle="1" w:styleId="Heading4NoNumber">
    <w:name w:val="Heading 4 No Number"/>
    <w:basedOn w:val="Heading4"/>
    <w:next w:val="Normal"/>
    <w:uiPriority w:val="1"/>
    <w:rsid w:val="00C46877"/>
    <w:pPr>
      <w:numPr>
        <w:ilvl w:val="3"/>
        <w:numId w:val="7"/>
      </w:numPr>
      <w:tabs>
        <w:tab w:val="num" w:pos="360"/>
      </w:tabs>
      <w:suppressAutoHyphens/>
      <w:spacing w:before="320" w:after="30"/>
      <w:ind w:left="0" w:firstLine="0"/>
    </w:pPr>
    <w:rPr>
      <w:rFonts w:asciiTheme="minorHAnsi" w:eastAsiaTheme="minorEastAsia" w:hAnsiTheme="minorHAnsi" w:cstheme="minorBidi"/>
      <w:b w:val="0"/>
      <w:bCs w:val="0"/>
      <w:i/>
      <w:color w:val="005546" w:themeColor="accent1"/>
      <w:sz w:val="22"/>
      <w:szCs w:val="20"/>
      <w:lang w:eastAsia="zh-CN"/>
    </w:rPr>
  </w:style>
  <w:style w:type="paragraph" w:customStyle="1" w:styleId="Heading5NoNumber">
    <w:name w:val="Heading 5 No Number"/>
    <w:basedOn w:val="Heading5"/>
    <w:next w:val="Normal"/>
    <w:uiPriority w:val="1"/>
    <w:qFormat/>
    <w:rsid w:val="00C46877"/>
    <w:pPr>
      <w:numPr>
        <w:ilvl w:val="4"/>
        <w:numId w:val="7"/>
      </w:numPr>
      <w:tabs>
        <w:tab w:val="num" w:pos="360"/>
      </w:tabs>
      <w:suppressAutoHyphens/>
      <w:spacing w:before="320" w:after="30" w:line="240" w:lineRule="atLeast"/>
    </w:pPr>
    <w:rPr>
      <w:rFonts w:asciiTheme="minorHAnsi" w:eastAsiaTheme="minorEastAsia" w:hAnsiTheme="minorHAnsi" w:cstheme="minorBidi"/>
      <w:b/>
      <w:i/>
      <w:color w:val="auto"/>
      <w:sz w:val="22"/>
      <w:szCs w:val="20"/>
      <w:lang w:eastAsia="zh-CN"/>
    </w:rPr>
  </w:style>
  <w:style w:type="paragraph" w:customStyle="1" w:styleId="Heading6NoNumber">
    <w:name w:val="Heading 6 No Number"/>
    <w:basedOn w:val="Heading6"/>
    <w:next w:val="Normal"/>
    <w:uiPriority w:val="1"/>
    <w:qFormat/>
    <w:rsid w:val="00C46877"/>
    <w:pPr>
      <w:numPr>
        <w:ilvl w:val="5"/>
        <w:numId w:val="7"/>
      </w:numPr>
      <w:tabs>
        <w:tab w:val="num" w:pos="360"/>
      </w:tabs>
      <w:suppressAutoHyphens/>
      <w:spacing w:before="320" w:after="30" w:line="240" w:lineRule="atLeast"/>
    </w:pPr>
    <w:rPr>
      <w:rFonts w:asciiTheme="minorHAnsi" w:eastAsiaTheme="minorEastAsia" w:hAnsiTheme="minorHAnsi" w:cstheme="minorBidi"/>
      <w:b/>
      <w:color w:val="auto"/>
      <w:sz w:val="22"/>
      <w:szCs w:val="20"/>
      <w:lang w:eastAsia="zh-CN"/>
    </w:rPr>
  </w:style>
  <w:style w:type="character" w:customStyle="1" w:styleId="Heading5Char">
    <w:name w:val="Heading 5 Char"/>
    <w:basedOn w:val="DefaultParagraphFont"/>
    <w:link w:val="Heading5"/>
    <w:semiHidden/>
    <w:rsid w:val="00C46877"/>
    <w:rPr>
      <w:rFonts w:asciiTheme="majorHAnsi" w:eastAsiaTheme="majorEastAsia" w:hAnsiTheme="majorHAnsi" w:cstheme="majorBidi"/>
      <w:color w:val="003F34" w:themeColor="accent1" w:themeShade="BF"/>
      <w:sz w:val="24"/>
      <w:szCs w:val="24"/>
    </w:rPr>
  </w:style>
  <w:style w:type="character" w:customStyle="1" w:styleId="Heading6Char">
    <w:name w:val="Heading 6 Char"/>
    <w:basedOn w:val="DefaultParagraphFont"/>
    <w:link w:val="Heading6"/>
    <w:semiHidden/>
    <w:rsid w:val="00C46877"/>
    <w:rPr>
      <w:rFonts w:asciiTheme="majorHAnsi" w:eastAsiaTheme="majorEastAsia" w:hAnsiTheme="majorHAnsi" w:cstheme="majorBidi"/>
      <w:color w:val="002A22" w:themeColor="accent1" w:themeShade="7F"/>
      <w:sz w:val="24"/>
      <w:szCs w:val="24"/>
    </w:rPr>
  </w:style>
  <w:style w:type="paragraph" w:customStyle="1" w:styleId="xmsonormal">
    <w:name w:val="x_msonormal"/>
    <w:basedOn w:val="Normal"/>
    <w:rsid w:val="003A7290"/>
    <w:rPr>
      <w:rFonts w:ascii="Calibri" w:eastAsiaTheme="minorHAnsi" w:hAnsi="Calibri" w:cs="Calibri"/>
      <w:sz w:val="22"/>
      <w:szCs w:val="22"/>
    </w:rPr>
  </w:style>
  <w:style w:type="paragraph" w:styleId="Caption">
    <w:name w:val="caption"/>
    <w:basedOn w:val="Normal"/>
    <w:next w:val="Normal"/>
    <w:unhideWhenUsed/>
    <w:qFormat/>
    <w:rsid w:val="00113DE7"/>
    <w:pPr>
      <w:spacing w:after="200"/>
    </w:pPr>
    <w:rPr>
      <w:i/>
      <w:iCs/>
      <w:color w:val="262626" w:themeColor="text2"/>
      <w:sz w:val="18"/>
      <w:szCs w:val="18"/>
    </w:rPr>
  </w:style>
  <w:style w:type="character" w:styleId="UnresolvedMention">
    <w:name w:val="Unresolved Mention"/>
    <w:basedOn w:val="DefaultParagraphFont"/>
    <w:uiPriority w:val="99"/>
    <w:semiHidden/>
    <w:unhideWhenUsed/>
    <w:rsid w:val="000613D4"/>
    <w:rPr>
      <w:color w:val="605E5C"/>
      <w:shd w:val="clear" w:color="auto" w:fill="E1DFDD"/>
    </w:rPr>
  </w:style>
  <w:style w:type="paragraph" w:styleId="Revision">
    <w:name w:val="Revision"/>
    <w:hidden/>
    <w:uiPriority w:val="99"/>
    <w:semiHidden/>
    <w:rsid w:val="00481EA9"/>
    <w:rPr>
      <w:rFonts w:ascii="Times New Roman" w:eastAsia="Calibri" w:hAnsi="Times New Roman"/>
      <w:sz w:val="24"/>
      <w:szCs w:val="24"/>
    </w:rPr>
  </w:style>
  <w:style w:type="character" w:customStyle="1" w:styleId="BulletsChar">
    <w:name w:val="Bullets Char"/>
    <w:basedOn w:val="DefaultParagraphFont"/>
    <w:link w:val="Bullets"/>
    <w:rsid w:val="006762B3"/>
    <w:rPr>
      <w:rFonts w:eastAsia="Calibri"/>
      <w:color w:val="000000"/>
      <w:sz w:val="24"/>
      <w:szCs w:val="24"/>
    </w:rPr>
  </w:style>
  <w:style w:type="paragraph" w:styleId="NormalWeb">
    <w:name w:val="Normal (Web)"/>
    <w:basedOn w:val="Normal"/>
    <w:uiPriority w:val="99"/>
    <w:unhideWhenUsed/>
    <w:rsid w:val="00E1647E"/>
    <w:pPr>
      <w:spacing w:before="100" w:beforeAutospacing="1" w:after="100" w:afterAutospacing="1"/>
    </w:pPr>
    <w:rPr>
      <w:rFonts w:eastAsia="Times New Roman"/>
    </w:rPr>
  </w:style>
  <w:style w:type="character" w:styleId="Mention">
    <w:name w:val="Mention"/>
    <w:basedOn w:val="DefaultParagraphFont"/>
    <w:uiPriority w:val="99"/>
    <w:unhideWhenUsed/>
    <w:rsid w:val="008E64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63392">
      <w:bodyDiv w:val="1"/>
      <w:marLeft w:val="0"/>
      <w:marRight w:val="0"/>
      <w:marTop w:val="0"/>
      <w:marBottom w:val="0"/>
      <w:divBdr>
        <w:top w:val="none" w:sz="0" w:space="0" w:color="auto"/>
        <w:left w:val="none" w:sz="0" w:space="0" w:color="auto"/>
        <w:bottom w:val="none" w:sz="0" w:space="0" w:color="auto"/>
        <w:right w:val="none" w:sz="0" w:space="0" w:color="auto"/>
      </w:divBdr>
    </w:div>
    <w:div w:id="1576041621">
      <w:bodyDiv w:val="1"/>
      <w:marLeft w:val="0"/>
      <w:marRight w:val="0"/>
      <w:marTop w:val="0"/>
      <w:marBottom w:val="0"/>
      <w:divBdr>
        <w:top w:val="none" w:sz="0" w:space="0" w:color="auto"/>
        <w:left w:val="none" w:sz="0" w:space="0" w:color="auto"/>
        <w:bottom w:val="none" w:sz="0" w:space="0" w:color="auto"/>
        <w:right w:val="none" w:sz="0" w:space="0" w:color="auto"/>
      </w:divBdr>
    </w:div>
    <w:div w:id="170166532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48215006">
      <w:bodyDiv w:val="1"/>
      <w:marLeft w:val="0"/>
      <w:marRight w:val="0"/>
      <w:marTop w:val="0"/>
      <w:marBottom w:val="0"/>
      <w:divBdr>
        <w:top w:val="none" w:sz="0" w:space="0" w:color="auto"/>
        <w:left w:val="none" w:sz="0" w:space="0" w:color="auto"/>
        <w:bottom w:val="none" w:sz="0" w:space="0" w:color="auto"/>
        <w:right w:val="none" w:sz="0" w:space="0" w:color="auto"/>
      </w:divBdr>
    </w:div>
    <w:div w:id="208938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naturalresources.wales/evidence-and-data/research-and-reports/marine-reports/marine-and-coastal-evidence-reports/?lang=en"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hyperlink" Target="https://naturalresources.wales/media/695175/the-blue-carbon-potential-of-the-marine-protected-area-network-in-wales.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wales/addressing-nature-emergency-through-planning-system-update-chapter-6-planning-policy-wal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sv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REGU-349699048-719</_dlc_DocId>
    <_dlc_DocIdUrl xmlns="9be56660-2c31-41ef-bc00-23e72f632f2a">
      <Url>https://cyfoethnaturiolcymru.sharepoint.com/teams/Regulatory/Permitting/ml/_layouts/15/DocIdRedir.aspx?ID=REGU-349699048-719</Url>
      <Description>REGU-349699048-719</Description>
    </_dlc_DocIdUrl>
    <Site_x0020_Name xmlns="859f7ad6-93f6-4205-b62b-a17f28acbbac">Rhymney Great Wharf Habitat Restoration Polders Enhancement Project</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2024-03-21T00:00:00+00:00</Document_x0020_Date>
    <Facility_x0020_Address xmlns="859f7ad6-93f6-4205-b62b-a17f28acbbac">Severn Estuary foreshore, Cardiff</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78FF5E-8577-4FEA-AC9B-4931DCCBB34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58930385-5D29-4067-8427-A6499AF9E2B3}">
  <ds:schemaRefs>
    <ds:schemaRef ds:uri="http://schemas.microsoft.com/sharepoint/events"/>
  </ds:schemaRefs>
</ds:datastoreItem>
</file>

<file path=customXml/itemProps3.xml><?xml version="1.0" encoding="utf-8"?>
<ds:datastoreItem xmlns:ds="http://schemas.openxmlformats.org/officeDocument/2006/customXml" ds:itemID="{9C6AAAA0-9A5E-4656-BE0C-AA31CD20BE67}">
  <ds:schemaRefs>
    <ds:schemaRef ds:uri="http://schemas.openxmlformats.org/officeDocument/2006/bibliography"/>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F63620B2-D59D-4B92-840F-3220C91B5CD9}"/>
</file>

<file path=customXml/itemProps6.xml><?xml version="1.0" encoding="utf-8"?>
<ds:datastoreItem xmlns:ds="http://schemas.openxmlformats.org/officeDocument/2006/customXml" ds:itemID="{A792F72E-6458-4792-AD71-CAA1F1D2B1A2}"/>
</file>

<file path=customXml/itemProps7.xml><?xml version="1.0" encoding="utf-8"?>
<ds:datastoreItem xmlns:ds="http://schemas.openxmlformats.org/officeDocument/2006/customXml" ds:itemID="{C65785AC-EF4C-42D7-B9B6-E5C1F5392661}">
  <ds:schemaRefs>
    <ds:schemaRef ds:uri="http://schemas.microsoft.com/sharepoint/v3/contenttype/forms"/>
  </ds:schemaRefs>
</ds:datastoreItem>
</file>

<file path=docMetadata/LabelInfo.xml><?xml version="1.0" encoding="utf-8"?>
<clbl:labelList xmlns:clbl="http://schemas.microsoft.com/office/2020/mipLabelMetadata">
  <clbl:label id="{82fa3fd3-029b-403d-91b4-1dc930cb0e60}" enabled="1" method="Standard" siteId="{4ae48b41-0137-4599-8661-fc641fe77bea}" removed="0"/>
</clbl:labelList>
</file>

<file path=docProps/app.xml><?xml version="1.0" encoding="utf-8"?>
<Properties xmlns="http://schemas.openxmlformats.org/officeDocument/2006/extended-properties" xmlns:vt="http://schemas.openxmlformats.org/officeDocument/2006/docPropsVTypes">
  <Template>Normal</Template>
  <TotalTime>1</TotalTime>
  <Pages>27</Pages>
  <Words>8316</Words>
  <Characters>48597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56800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Laura.Cotton</dc:creator>
  <cp:keywords/>
  <cp:lastModifiedBy>Pauls, Lily</cp:lastModifiedBy>
  <cp:revision>2</cp:revision>
  <cp:lastPrinted>2013-10-01T07:52:00Z</cp:lastPrinted>
  <dcterms:created xsi:type="dcterms:W3CDTF">2024-03-21T13:26:00Z</dcterms:created>
  <dcterms:modified xsi:type="dcterms:W3CDTF">2024-03-21T13:26:00Z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cb026889-e941-4be9-8fc2-8cfa6740dc1a</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0x01010067EB80C5FE939D4A9B3D8BA62129B7F501020068ADD3A693FD204A8C608C94A0597217</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Folder_Number">
    <vt:lpwstr/>
  </property>
  <property fmtid="{D5CDD505-2E9C-101B-9397-08002B2CF9AE}" pid="14" name="Folder_Code">
    <vt:lpwstr/>
  </property>
  <property fmtid="{D5CDD505-2E9C-101B-9397-08002B2CF9AE}" pid="15" name="Folder_Name">
    <vt:lpwstr/>
  </property>
  <property fmtid="{D5CDD505-2E9C-101B-9397-08002B2CF9AE}" pid="16" name="Folder_Description">
    <vt:lpwstr/>
  </property>
  <property fmtid="{D5CDD505-2E9C-101B-9397-08002B2CF9AE}" pid="17" name="/Folder_Name/">
    <vt:lpwstr/>
  </property>
  <property fmtid="{D5CDD505-2E9C-101B-9397-08002B2CF9AE}" pid="18" name="/Folder_Description/">
    <vt:lpwstr/>
  </property>
  <property fmtid="{D5CDD505-2E9C-101B-9397-08002B2CF9AE}" pid="19" name="Folder_Version">
    <vt:lpwstr/>
  </property>
  <property fmtid="{D5CDD505-2E9C-101B-9397-08002B2CF9AE}" pid="20" name="Folder_VersionSeq">
    <vt:lpwstr/>
  </property>
  <property fmtid="{D5CDD505-2E9C-101B-9397-08002B2CF9AE}" pid="21" name="Folder_Manager">
    <vt:lpwstr/>
  </property>
  <property fmtid="{D5CDD505-2E9C-101B-9397-08002B2CF9AE}" pid="22" name="Folder_ManagerDesc">
    <vt:lpwstr/>
  </property>
  <property fmtid="{D5CDD505-2E9C-101B-9397-08002B2CF9AE}" pid="23" name="Folder_Storage">
    <vt:lpwstr/>
  </property>
  <property fmtid="{D5CDD505-2E9C-101B-9397-08002B2CF9AE}" pid="24" name="Folder_StorageDesc">
    <vt:lpwstr/>
  </property>
  <property fmtid="{D5CDD505-2E9C-101B-9397-08002B2CF9AE}" pid="25" name="Folder_Creator">
    <vt:lpwstr/>
  </property>
  <property fmtid="{D5CDD505-2E9C-101B-9397-08002B2CF9AE}" pid="26" name="Folder_CreatorDesc">
    <vt:lpwstr/>
  </property>
  <property fmtid="{D5CDD505-2E9C-101B-9397-08002B2CF9AE}" pid="27" name="Folder_CreateDate">
    <vt:lpwstr/>
  </property>
  <property fmtid="{D5CDD505-2E9C-101B-9397-08002B2CF9AE}" pid="28" name="Folder_Updater">
    <vt:lpwstr/>
  </property>
  <property fmtid="{D5CDD505-2E9C-101B-9397-08002B2CF9AE}" pid="29" name="Folder_UpdaterDesc">
    <vt:lpwstr/>
  </property>
  <property fmtid="{D5CDD505-2E9C-101B-9397-08002B2CF9AE}" pid="30" name="Folder_UpdateDate">
    <vt:lpwstr/>
  </property>
  <property fmtid="{D5CDD505-2E9C-101B-9397-08002B2CF9AE}" pid="31" name="Document_Number">
    <vt:lpwstr/>
  </property>
  <property fmtid="{D5CDD505-2E9C-101B-9397-08002B2CF9AE}" pid="32" name="Document_Name">
    <vt:lpwstr/>
  </property>
  <property fmtid="{D5CDD505-2E9C-101B-9397-08002B2CF9AE}" pid="33" name="Document_FileName">
    <vt:lpwstr/>
  </property>
  <property fmtid="{D5CDD505-2E9C-101B-9397-08002B2CF9AE}" pid="34" name="Document_Version">
    <vt:lpwstr/>
  </property>
  <property fmtid="{D5CDD505-2E9C-101B-9397-08002B2CF9AE}" pid="35" name="Document_VersionSeq">
    <vt:lpwstr/>
  </property>
  <property fmtid="{D5CDD505-2E9C-101B-9397-08002B2CF9AE}" pid="36" name="Document_Creator">
    <vt:lpwstr/>
  </property>
  <property fmtid="{D5CDD505-2E9C-101B-9397-08002B2CF9AE}" pid="37" name="Document_CreatorDesc">
    <vt:lpwstr/>
  </property>
  <property fmtid="{D5CDD505-2E9C-101B-9397-08002B2CF9AE}" pid="38" name="Document_CreateDate">
    <vt:lpwstr/>
  </property>
  <property fmtid="{D5CDD505-2E9C-101B-9397-08002B2CF9AE}" pid="39" name="Document_Updater">
    <vt:lpwstr/>
  </property>
  <property fmtid="{D5CDD505-2E9C-101B-9397-08002B2CF9AE}" pid="40" name="Document_UpdaterDesc">
    <vt:lpwstr/>
  </property>
  <property fmtid="{D5CDD505-2E9C-101B-9397-08002B2CF9AE}" pid="41" name="Document_UpdateDate">
    <vt:lpwstr/>
  </property>
  <property fmtid="{D5CDD505-2E9C-101B-9397-08002B2CF9AE}" pid="42" name="Document_Size">
    <vt:lpwstr/>
  </property>
  <property fmtid="{D5CDD505-2E9C-101B-9397-08002B2CF9AE}" pid="43" name="Document_Storage">
    <vt:lpwstr/>
  </property>
  <property fmtid="{D5CDD505-2E9C-101B-9397-08002B2CF9AE}" pid="44" name="Document_StorageDesc">
    <vt:lpwstr/>
  </property>
  <property fmtid="{D5CDD505-2E9C-101B-9397-08002B2CF9AE}" pid="45" name="Document_Department">
    <vt:lpwstr/>
  </property>
  <property fmtid="{D5CDD505-2E9C-101B-9397-08002B2CF9AE}" pid="46" name="Document_DepartmentDesc">
    <vt:lpwstr/>
  </property>
  <property fmtid="{D5CDD505-2E9C-101B-9397-08002B2CF9AE}" pid="47" name="Order">
    <vt:r8>71900</vt:r8>
  </property>
  <property fmtid="{D5CDD505-2E9C-101B-9397-08002B2CF9AE}" pid="48" name="MediaServiceImageTags">
    <vt:lpwstr/>
  </property>
</Properties>
</file>