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B6F88" w14:textId="40AABCD5" w:rsidR="00A57C58" w:rsidRDefault="00B63A20" w:rsidP="00A57C58">
      <w:pPr>
        <w:pStyle w:val="Heading1"/>
      </w:pPr>
      <w:r w:rsidRPr="00A57C58">
        <w:t xml:space="preserve">Question 3a – Welsh Water response </w:t>
      </w:r>
    </w:p>
    <w:p w14:paraId="36B31A83" w14:textId="60C6B8F0" w:rsidR="00A57C58" w:rsidRPr="00A57C58" w:rsidRDefault="00A57C58" w:rsidP="00A57C58"/>
    <w:p w14:paraId="35556EEB" w14:textId="2FD96840" w:rsidR="00A57C58" w:rsidRDefault="00A57C58">
      <w:r w:rsidRPr="00A57C58">
        <w:t>Regarding the discharge permit for our new fish farm in Neath, we are unable to discharge the wastewater into the Welsh Water main sewer line. The reason for this is twofold</w:t>
      </w:r>
      <w:r>
        <w:t xml:space="preserve"> and can be seen in the email chain below.</w:t>
      </w:r>
      <w:r w:rsidRPr="00A57C58">
        <w:t xml:space="preserve"> </w:t>
      </w:r>
    </w:p>
    <w:p w14:paraId="58CC0235" w14:textId="14A7EDC9" w:rsidR="00B63A20" w:rsidRDefault="00A57C58">
      <w:r w:rsidRPr="00A57C58">
        <w:t>Upon consultation with Welsh Water, they have expressed concerns about the impact of saline water on their sewer system, exacerbating existing issues</w:t>
      </w:r>
      <w:r>
        <w:t xml:space="preserve">. </w:t>
      </w:r>
      <w:r w:rsidRPr="00A57C58">
        <w:t xml:space="preserve">As such, Welsh Water typically does not issue trade effluent consents for saltwater discharge into their network. This information has been confirmed by our structural engineer and Welsh Water directly. We are happy to provide </w:t>
      </w:r>
      <w:r>
        <w:t xml:space="preserve">contact details of the trade effluent officer if NRW need further clarification. </w:t>
      </w:r>
    </w:p>
    <w:p w14:paraId="1FB6BE2E" w14:textId="095A0127" w:rsidR="00A57C58" w:rsidRDefault="00A57C58">
      <w:r>
        <w:br w:type="page"/>
      </w:r>
    </w:p>
    <w:p w14:paraId="5CEAF36F" w14:textId="3C89C0FE" w:rsidR="00A57C58" w:rsidRDefault="00A57C58">
      <w:r w:rsidRPr="00A57C58">
        <w:rPr>
          <w:noProof/>
        </w:rPr>
        <w:lastRenderedPageBreak/>
        <w:drawing>
          <wp:anchor distT="0" distB="0" distL="114300" distR="114300" simplePos="0" relativeHeight="251659264" behindDoc="1" locked="0" layoutInCell="1" allowOverlap="1" wp14:anchorId="0BBD97AF" wp14:editId="0370CC06">
            <wp:simplePos x="0" y="0"/>
            <wp:positionH relativeFrom="margin">
              <wp:posOffset>0</wp:posOffset>
            </wp:positionH>
            <wp:positionV relativeFrom="paragraph">
              <wp:posOffset>286385</wp:posOffset>
            </wp:positionV>
            <wp:extent cx="5731510" cy="8041005"/>
            <wp:effectExtent l="0" t="0" r="2540" b="0"/>
            <wp:wrapTight wrapText="bothSides">
              <wp:wrapPolygon edited="0">
                <wp:start x="0" y="0"/>
                <wp:lineTo x="0" y="21544"/>
                <wp:lineTo x="21538" y="21544"/>
                <wp:lineTo x="21538" y="0"/>
                <wp:lineTo x="0" y="0"/>
              </wp:wrapPolygon>
            </wp:wrapTight>
            <wp:docPr id="1749357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57673"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8041005"/>
                    </a:xfrm>
                    <a:prstGeom prst="rect">
                      <a:avLst/>
                    </a:prstGeom>
                  </pic:spPr>
                </pic:pic>
              </a:graphicData>
            </a:graphic>
            <wp14:sizeRelH relativeFrom="page">
              <wp14:pctWidth>0</wp14:pctWidth>
            </wp14:sizeRelH>
            <wp14:sizeRelV relativeFrom="page">
              <wp14:pctHeight>0</wp14:pctHeight>
            </wp14:sizeRelV>
          </wp:anchor>
        </w:drawing>
      </w:r>
    </w:p>
    <w:sectPr w:rsidR="00A57C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A20"/>
    <w:rsid w:val="001F7697"/>
    <w:rsid w:val="008B65C8"/>
    <w:rsid w:val="00A57C58"/>
    <w:rsid w:val="00B63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6DBD6"/>
  <w15:chartTrackingRefBased/>
  <w15:docId w15:val="{5996F95F-7C27-4A92-ABDF-AE4165D1D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C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C5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360 Aquaculture Ltd</Site_x0020_Name>
    <Internal_x002f_External xmlns="859f7ad6-93f6-4205-b62b-a17f28acbbac">Incoming document</Internal_x002f_External>
    <Post_x0020_code xmlns="859f7ad6-93f6-4205-b62b-a17f28acbbac">SA11 1NJ</Post_x0020_code>
    <TaxCatchAll xmlns="859f7ad6-93f6-4205-b62b-a17f28acbbac" xsi:nil="true"/>
    <IconOverlay xmlns="http://schemas.microsoft.com/sharepoint/v4" xsi:nil="true"/>
    <Document_x0020_Type xmlns="859f7ad6-93f6-4205-b62b-a17f28acbbac">Memo</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37a Birmingham New Road, Wolverhampton, England, WV4 6BL</Addressee>
    <Process_x0020_Type xmlns="859f7ad6-93f6-4205-b62b-a17f28acbbac" xsi:nil="tru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2024-03-22T00:00:00+00:00</Document_x0020_Date>
    <Facility_x0020_Address xmlns="859f7ad6-93f6-4205-b62b-a17f28acbbac">Three Sixty Aquaculture, The Metal Box, Milland Road Industrial Estate, Neath</Facility_x0020_Address>
    <Environment_x0020_Sub_x0020_Folder xmlns="859f7ad6-93f6-4205-b62b-a17f28acbbac">Licences applications</Environment_x0020_Sub_x0020_Folder>
    <Customer_x0020_Name xmlns="859f7ad6-93f6-4205-b62b-a17f28acbbac">360 SHRIMP LIMITED</Customer_x0020_Name>
    <Surrendered_x002f_Expired_x0020_Date xmlns="859f7ad6-93f6-4205-b62b-a17f28acbbac" xsi:nil="true"/>
    <_dlc_DocId xmlns="9be56660-2c31-41ef-bc00-23e72f632f2a">REGU-193-13536064</_dlc_DocId>
    <_dlc_DocIdUrl xmlns="9be56660-2c31-41ef-bc00-23e72f632f2a">
      <Url>https://cyfoethnaturiolcymru.sharepoint.com/teams/Regulatory/Permitting/_layouts/15/DocIdRedir.aspx?ID=REGU-193-13536064</Url>
      <Description>REGU-193-13536064</Description>
    </_dlc_DocIdUrl>
  </documentManagement>
</p:properties>
</file>

<file path=customXml/itemProps1.xml><?xml version="1.0" encoding="utf-8"?>
<ds:datastoreItem xmlns:ds="http://schemas.openxmlformats.org/officeDocument/2006/customXml" ds:itemID="{75B4FB8E-11DD-4887-BCCB-09E9ADE841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380B49-9F6C-47EC-8013-BA27ECE202D4}">
  <ds:schemaRefs>
    <ds:schemaRef ds:uri="Microsoft.SharePoint.Taxonomy.ContentTypeSync"/>
  </ds:schemaRefs>
</ds:datastoreItem>
</file>

<file path=customXml/itemProps3.xml><?xml version="1.0" encoding="utf-8"?>
<ds:datastoreItem xmlns:ds="http://schemas.openxmlformats.org/officeDocument/2006/customXml" ds:itemID="{B59D3839-4D42-44CC-A5B0-DDBDA919F067}">
  <ds:schemaRefs>
    <ds:schemaRef ds:uri="http://schemas.microsoft.com/sharepoint/events"/>
  </ds:schemaRefs>
</ds:datastoreItem>
</file>

<file path=customXml/itemProps4.xml><?xml version="1.0" encoding="utf-8"?>
<ds:datastoreItem xmlns:ds="http://schemas.openxmlformats.org/officeDocument/2006/customXml" ds:itemID="{C02B6BE2-159B-452B-85B2-FBF8C46CCFF9}">
  <ds:schemaRefs>
    <ds:schemaRef ds:uri="http://schemas.microsoft.com/sharepoint/v3/contenttype/forms"/>
  </ds:schemaRefs>
</ds:datastoreItem>
</file>

<file path=customXml/itemProps5.xml><?xml version="1.0" encoding="utf-8"?>
<ds:datastoreItem xmlns:ds="http://schemas.openxmlformats.org/officeDocument/2006/customXml" ds:itemID="{A6FCFC30-6B50-4DFA-AE3E-C720EDBF3965}">
  <ds:schemaRef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005db27c-c37f-4c3b-898d-3fee1249b087"/>
    <ds:schemaRef ds:uri="http://schemas.microsoft.com/sharepoint/v4"/>
    <ds:schemaRef ds:uri="859f7ad6-93f6-4205-b62b-a17f28acbbac"/>
    <ds:schemaRef ds:uri="http://purl.org/dc/terms/"/>
    <ds:schemaRef ds:uri="6e121689-de5b-41b9-a751-bfeda7fa2b07"/>
    <ds:schemaRef ds:uri="976c396e-0f13-4de6-8381-592a969a477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107</Words>
  <Characters>611</Characters>
  <Application>Microsoft Office Word</Application>
  <DocSecurity>4</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Biddiscombe</dc:creator>
  <cp:keywords/>
  <dc:description/>
  <cp:lastModifiedBy>Jones, Sarah Patricia</cp:lastModifiedBy>
  <cp:revision>2</cp:revision>
  <dcterms:created xsi:type="dcterms:W3CDTF">2024-04-09T08:08:00Z</dcterms:created>
  <dcterms:modified xsi:type="dcterms:W3CDTF">2024-04-09T08:08:00Z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2d9765ad-a095-4b00-ba93-1467abdefa89</vt:lpwstr>
  </property>
</Properties>
</file>