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2C3482" w:rsidRDefault="009277B2" w:rsidP="009277B2">
      <w:pPr>
        <w:pStyle w:val="Heading1"/>
        <w:spacing w:before="0" w:after="0"/>
        <w:jc w:val="left"/>
        <w:rPr>
          <w:bCs/>
          <w:color w:val="auto"/>
          <w:sz w:val="24"/>
          <w:szCs w:val="24"/>
        </w:rPr>
      </w:pPr>
    </w:p>
    <w:p w14:paraId="2951BC34" w14:textId="77777777" w:rsidR="008A1FB1" w:rsidRPr="002C3482" w:rsidRDefault="008D78F4" w:rsidP="009277B2">
      <w:pPr>
        <w:pStyle w:val="Heading1"/>
        <w:spacing w:before="0" w:after="0"/>
        <w:jc w:val="left"/>
        <w:rPr>
          <w:bCs/>
          <w:color w:val="auto"/>
          <w:sz w:val="32"/>
        </w:rPr>
      </w:pPr>
      <w:r w:rsidRPr="002C3482">
        <w:rPr>
          <w:bCs/>
          <w:color w:val="auto"/>
          <w:sz w:val="32"/>
        </w:rPr>
        <w:t>Standard rule p</w:t>
      </w:r>
      <w:r w:rsidR="008D465D" w:rsidRPr="002C3482">
        <w:rPr>
          <w:bCs/>
          <w:color w:val="auto"/>
          <w:sz w:val="32"/>
        </w:rPr>
        <w:t>ermit</w:t>
      </w:r>
      <w:r w:rsidR="005F5552" w:rsidRPr="002C3482">
        <w:rPr>
          <w:bCs/>
          <w:color w:val="auto"/>
          <w:sz w:val="32"/>
        </w:rPr>
        <w:t xml:space="preserve"> </w:t>
      </w:r>
    </w:p>
    <w:p w14:paraId="2951BC3A" w14:textId="77777777" w:rsidR="00232CBA" w:rsidRPr="002C3482" w:rsidRDefault="00232CBA" w:rsidP="00053DA9">
      <w:pPr>
        <w:rPr>
          <w:rFonts w:ascii="Arial" w:hAnsi="Arial" w:cs="Arial"/>
          <w:szCs w:val="24"/>
        </w:rPr>
      </w:pPr>
    </w:p>
    <w:p w14:paraId="2951BC3B" w14:textId="46560D3A" w:rsidR="004D4608" w:rsidRPr="003870E2" w:rsidRDefault="00E450D5" w:rsidP="00C42E62">
      <w:pPr>
        <w:spacing w:after="120"/>
        <w:rPr>
          <w:rFonts w:ascii="Arial" w:hAnsi="Arial" w:cs="Arial"/>
          <w:szCs w:val="24"/>
        </w:rPr>
      </w:pPr>
      <w:r w:rsidRPr="003870E2">
        <w:rPr>
          <w:rFonts w:ascii="Arial" w:hAnsi="Arial" w:cs="Arial"/>
          <w:szCs w:val="24"/>
        </w:rPr>
        <w:t xml:space="preserve">We have decided to </w:t>
      </w:r>
      <w:r w:rsidR="008A1FB1" w:rsidRPr="003870E2">
        <w:rPr>
          <w:rFonts w:ascii="Arial" w:hAnsi="Arial" w:cs="Arial"/>
          <w:szCs w:val="24"/>
        </w:rPr>
        <w:t>grant</w:t>
      </w:r>
      <w:r w:rsidRPr="003870E2">
        <w:rPr>
          <w:rFonts w:ascii="Arial" w:hAnsi="Arial" w:cs="Arial"/>
          <w:szCs w:val="24"/>
        </w:rPr>
        <w:t xml:space="preserve"> the</w:t>
      </w:r>
      <w:r w:rsidR="008D465D" w:rsidRPr="003870E2">
        <w:rPr>
          <w:rFonts w:ascii="Arial" w:hAnsi="Arial" w:cs="Arial"/>
          <w:szCs w:val="24"/>
        </w:rPr>
        <w:t xml:space="preserve"> permit</w:t>
      </w:r>
      <w:r w:rsidR="004D6352" w:rsidRPr="003870E2">
        <w:rPr>
          <w:rFonts w:ascii="Arial" w:hAnsi="Arial" w:cs="Arial"/>
          <w:szCs w:val="24"/>
        </w:rPr>
        <w:t xml:space="preserve"> </w:t>
      </w:r>
      <w:r w:rsidRPr="003870E2">
        <w:rPr>
          <w:rFonts w:ascii="Arial" w:hAnsi="Arial" w:cs="Arial"/>
          <w:szCs w:val="24"/>
        </w:rPr>
        <w:t>for</w:t>
      </w:r>
      <w:r w:rsidR="002C3482" w:rsidRPr="003870E2">
        <w:rPr>
          <w:rFonts w:ascii="Arial" w:hAnsi="Arial" w:cs="Arial"/>
          <w:szCs w:val="24"/>
        </w:rPr>
        <w:t xml:space="preserve"> MJ Rubbish Removals Ltd</w:t>
      </w:r>
      <w:r w:rsidR="00D720DC" w:rsidRPr="003870E2">
        <w:rPr>
          <w:rFonts w:ascii="Arial" w:hAnsi="Arial" w:cs="Arial"/>
          <w:szCs w:val="24"/>
        </w:rPr>
        <w:t xml:space="preserve"> operated by </w:t>
      </w:r>
      <w:r w:rsidR="002C3482" w:rsidRPr="003870E2">
        <w:rPr>
          <w:rFonts w:ascii="Arial" w:hAnsi="Arial" w:cs="Arial"/>
          <w:szCs w:val="24"/>
        </w:rPr>
        <w:t>MJ Rubbish Removals Ltd</w:t>
      </w:r>
      <w:r w:rsidR="009277B2" w:rsidRPr="003870E2">
        <w:rPr>
          <w:rFonts w:ascii="Arial" w:hAnsi="Arial" w:cs="Arial"/>
          <w:szCs w:val="24"/>
        </w:rPr>
        <w:t>.</w:t>
      </w:r>
      <w:r w:rsidR="00351A0A" w:rsidRPr="003870E2">
        <w:rPr>
          <w:rFonts w:ascii="Arial" w:hAnsi="Arial" w:cs="Arial"/>
          <w:szCs w:val="24"/>
        </w:rPr>
        <w:t xml:space="preserve"> </w:t>
      </w:r>
    </w:p>
    <w:p w14:paraId="2951BC3C" w14:textId="354C6AE8" w:rsidR="00C44B7E" w:rsidRPr="002C3482" w:rsidRDefault="00E450D5" w:rsidP="00C42E62">
      <w:pPr>
        <w:spacing w:after="120"/>
        <w:rPr>
          <w:rFonts w:ascii="Arial" w:hAnsi="Arial"/>
        </w:rPr>
      </w:pPr>
      <w:r w:rsidRPr="003870E2">
        <w:rPr>
          <w:rFonts w:ascii="Arial" w:hAnsi="Arial"/>
          <w:kern w:val="28"/>
          <w:szCs w:val="24"/>
        </w:rPr>
        <w:t>The</w:t>
      </w:r>
      <w:r w:rsidRPr="003870E2">
        <w:rPr>
          <w:rFonts w:ascii="Arial" w:hAnsi="Arial"/>
          <w:b/>
          <w:kern w:val="28"/>
          <w:sz w:val="28"/>
        </w:rPr>
        <w:t xml:space="preserve"> </w:t>
      </w:r>
      <w:r w:rsidRPr="003870E2">
        <w:rPr>
          <w:rFonts w:ascii="Arial" w:hAnsi="Arial"/>
        </w:rPr>
        <w:t>p</w:t>
      </w:r>
      <w:r w:rsidR="00C44B7E" w:rsidRPr="003870E2">
        <w:rPr>
          <w:rFonts w:ascii="Arial" w:hAnsi="Arial"/>
        </w:rPr>
        <w:t xml:space="preserve">ermit number </w:t>
      </w:r>
      <w:r w:rsidRPr="003870E2">
        <w:rPr>
          <w:rFonts w:ascii="Arial" w:hAnsi="Arial"/>
        </w:rPr>
        <w:t xml:space="preserve">is </w:t>
      </w:r>
      <w:r w:rsidR="002C3482" w:rsidRPr="003870E2">
        <w:rPr>
          <w:rFonts w:ascii="Arial" w:hAnsi="Arial"/>
        </w:rPr>
        <w:t>EPR/</w:t>
      </w:r>
      <w:r w:rsidR="009D3A0D" w:rsidRPr="003870E2">
        <w:rPr>
          <w:rFonts w:ascii="Arial" w:hAnsi="Arial"/>
        </w:rPr>
        <w:t>DB3195CL</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Default="00C44B7E" w:rsidP="00053DA9">
      <w:pPr>
        <w:pStyle w:val="Heading8"/>
        <w:rPr>
          <w:caps w:val="0"/>
          <w:sz w:val="20"/>
        </w:rPr>
      </w:pPr>
    </w:p>
    <w:p w14:paraId="4432EB69" w14:textId="77777777" w:rsidR="002C3482" w:rsidRDefault="002C3482">
      <w:pPr>
        <w:rPr>
          <w:rFonts w:ascii="Arial" w:hAnsi="Arial"/>
          <w:b/>
          <w:bCs/>
          <w:color w:val="000000"/>
          <w:kern w:val="28"/>
        </w:rPr>
      </w:pPr>
      <w:r>
        <w:rPr>
          <w:bCs/>
        </w:rPr>
        <w:br w:type="page"/>
      </w:r>
    </w:p>
    <w:p w14:paraId="2951BC5C" w14:textId="35BD8F65"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23DB635F" w:rsidR="007D7D5E" w:rsidRPr="002C3482" w:rsidRDefault="00083731" w:rsidP="00053DA9">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183AA40" w:rsidR="008D2C13" w:rsidRPr="002C3482" w:rsidRDefault="008D2C13"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13273D22" w:rsidR="00655B34" w:rsidRPr="000141CC" w:rsidRDefault="00655B34" w:rsidP="002C3482">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665C01CC" w:rsidR="002C3482" w:rsidRPr="002C3482" w:rsidRDefault="00E9011B" w:rsidP="002C3482">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437FADBC"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0EE5378B" w:rsidR="00E9011B" w:rsidRPr="0072314B" w:rsidRDefault="00E9011B" w:rsidP="002C3482">
            <w:pPr>
              <w:rPr>
                <w:rFonts w:ascii="Arial" w:hAnsi="Arial" w:cs="Arial"/>
                <w:szCs w:val="24"/>
              </w:rPr>
            </w:pPr>
            <w:r w:rsidRPr="0072314B">
              <w:rPr>
                <w:rFonts w:ascii="Arial" w:hAnsi="Arial" w:cs="Arial"/>
                <w:szCs w:val="24"/>
              </w:rPr>
              <w:t xml:space="preserve">Extent of the site of the facility </w:t>
            </w:r>
          </w:p>
        </w:tc>
        <w:tc>
          <w:tcPr>
            <w:tcW w:w="6096" w:type="dxa"/>
          </w:tcPr>
          <w:p w14:paraId="47DBF975" w14:textId="77777777" w:rsidR="002C3482" w:rsidRPr="0072314B" w:rsidRDefault="00E9011B" w:rsidP="00E9011B">
            <w:pPr>
              <w:pStyle w:val="BodyText"/>
              <w:rPr>
                <w:rFonts w:ascii="Arial" w:hAnsi="Arial" w:cs="Arial"/>
                <w:color w:val="auto"/>
                <w:szCs w:val="24"/>
              </w:rPr>
            </w:pPr>
            <w:r w:rsidRPr="0072314B">
              <w:rPr>
                <w:rFonts w:ascii="Arial" w:hAnsi="Arial" w:cs="Arial"/>
                <w:color w:val="auto"/>
                <w:szCs w:val="24"/>
              </w:rPr>
              <w:t xml:space="preserve">The operator has provided a plan which we consider is satisfactory, showing the extent of the site of the facility. </w:t>
            </w:r>
          </w:p>
          <w:p w14:paraId="55D92E2A" w14:textId="77777777" w:rsidR="0072314B" w:rsidRPr="0072314B" w:rsidRDefault="0072314B" w:rsidP="00E9011B">
            <w:pPr>
              <w:pStyle w:val="BodyText"/>
              <w:rPr>
                <w:rFonts w:ascii="Arial" w:hAnsi="Arial" w:cs="Arial"/>
                <w:color w:val="auto"/>
                <w:szCs w:val="24"/>
              </w:rPr>
            </w:pPr>
          </w:p>
          <w:p w14:paraId="2951BC81" w14:textId="5CFDC7C2" w:rsidR="00E9011B" w:rsidRPr="0072314B" w:rsidRDefault="00E9011B" w:rsidP="002C3482">
            <w:pPr>
              <w:pStyle w:val="BodyText"/>
              <w:rPr>
                <w:rFonts w:ascii="Arial" w:hAnsi="Arial" w:cs="Arial"/>
                <w:color w:val="auto"/>
                <w:szCs w:val="24"/>
              </w:rPr>
            </w:pPr>
            <w:r w:rsidRPr="0072314B">
              <w:rPr>
                <w:rFonts w:ascii="Arial" w:hAnsi="Arial" w:cs="Arial"/>
                <w:color w:val="auto"/>
                <w:szCs w:val="24"/>
              </w:rPr>
              <w:t>A plan is included in the permit and the operator is required to carry on the permitted activities within the site boundary.</w:t>
            </w:r>
          </w:p>
        </w:tc>
        <w:tc>
          <w:tcPr>
            <w:tcW w:w="1134" w:type="dxa"/>
          </w:tcPr>
          <w:p w14:paraId="2951BC82" w14:textId="77777777" w:rsidR="00E9011B" w:rsidRPr="0072314B" w:rsidRDefault="00E9011B" w:rsidP="00E9011B">
            <w:pPr>
              <w:rPr>
                <w:rFonts w:ascii="Arial" w:hAnsi="Arial" w:cs="Arial"/>
                <w:szCs w:val="24"/>
              </w:rPr>
            </w:pPr>
            <w:r w:rsidRPr="0072314B">
              <w:rPr>
                <w:rFonts w:ascii="Arial" w:hAnsi="Arial" w:cs="Arial"/>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00D634B3" w:rsidR="00E9011B" w:rsidRPr="0072314B" w:rsidRDefault="00E9011B" w:rsidP="002C3482">
            <w:pPr>
              <w:rPr>
                <w:rFonts w:ascii="Arial" w:hAnsi="Arial" w:cs="Arial"/>
                <w:szCs w:val="24"/>
              </w:rPr>
            </w:pPr>
            <w:r w:rsidRPr="0072314B">
              <w:rPr>
                <w:rFonts w:ascii="Arial" w:hAnsi="Arial" w:cs="Arial"/>
                <w:szCs w:val="24"/>
              </w:rPr>
              <w:t>Technical competence</w:t>
            </w:r>
          </w:p>
        </w:tc>
        <w:tc>
          <w:tcPr>
            <w:tcW w:w="6096" w:type="dxa"/>
          </w:tcPr>
          <w:p w14:paraId="2951BC97" w14:textId="77777777" w:rsidR="00E9011B" w:rsidRPr="0072314B" w:rsidRDefault="00E9011B" w:rsidP="00E9011B">
            <w:pPr>
              <w:pStyle w:val="BodyText"/>
              <w:rPr>
                <w:rFonts w:ascii="Arial" w:hAnsi="Arial" w:cs="Arial"/>
                <w:color w:val="auto"/>
                <w:szCs w:val="24"/>
              </w:rPr>
            </w:pPr>
            <w:r w:rsidRPr="0072314B">
              <w:rPr>
                <w:rFonts w:ascii="Arial" w:hAnsi="Arial" w:cs="Arial"/>
                <w:color w:val="auto"/>
                <w:szCs w:val="24"/>
              </w:rPr>
              <w:t>Technical competency is required for activities permitted in the standard rule set.</w:t>
            </w:r>
          </w:p>
          <w:p w14:paraId="591ADE76" w14:textId="77777777" w:rsidR="0072314B" w:rsidRPr="0072314B" w:rsidRDefault="0072314B" w:rsidP="00E9011B">
            <w:pPr>
              <w:pStyle w:val="BodyText"/>
              <w:rPr>
                <w:rFonts w:ascii="Arial" w:hAnsi="Arial" w:cs="Arial"/>
                <w:color w:val="auto"/>
                <w:szCs w:val="24"/>
              </w:rPr>
            </w:pPr>
          </w:p>
          <w:p w14:paraId="134E99CE" w14:textId="77777777" w:rsidR="002C3482" w:rsidRPr="0072314B" w:rsidRDefault="00E9011B" w:rsidP="002C3482">
            <w:pPr>
              <w:pStyle w:val="BodyText"/>
              <w:rPr>
                <w:rFonts w:ascii="Arial" w:hAnsi="Arial" w:cs="Arial"/>
                <w:color w:val="auto"/>
                <w:szCs w:val="24"/>
              </w:rPr>
            </w:pPr>
            <w:r w:rsidRPr="0072314B">
              <w:rPr>
                <w:rFonts w:ascii="Arial" w:hAnsi="Arial" w:cs="Arial"/>
                <w:color w:val="auto"/>
                <w:szCs w:val="24"/>
              </w:rPr>
              <w:t>The operator is a member of an agreed scheme.</w:t>
            </w:r>
            <w:bookmarkStart w:id="0" w:name="OLE_LINK1"/>
            <w:bookmarkStart w:id="1" w:name="OLE_LINK2"/>
          </w:p>
          <w:p w14:paraId="6AEF2D1D" w14:textId="77777777" w:rsidR="0072314B" w:rsidRPr="0072314B" w:rsidRDefault="0072314B" w:rsidP="002C3482">
            <w:pPr>
              <w:pStyle w:val="BodyText"/>
              <w:rPr>
                <w:rFonts w:ascii="Arial" w:hAnsi="Arial" w:cs="Arial"/>
                <w:color w:val="auto"/>
                <w:szCs w:val="24"/>
              </w:rPr>
            </w:pPr>
          </w:p>
          <w:p w14:paraId="2951BC9C" w14:textId="2AC39EE3" w:rsidR="00E9011B" w:rsidRDefault="002C3482" w:rsidP="002C3482">
            <w:pPr>
              <w:pStyle w:val="BodyText"/>
              <w:rPr>
                <w:rFonts w:ascii="Arial" w:hAnsi="Arial" w:cs="Arial"/>
                <w:color w:val="auto"/>
                <w:szCs w:val="24"/>
              </w:rPr>
            </w:pPr>
            <w:r w:rsidRPr="0072314B">
              <w:rPr>
                <w:rFonts w:ascii="Arial" w:hAnsi="Arial" w:cs="Arial"/>
                <w:color w:val="auto"/>
                <w:szCs w:val="24"/>
              </w:rPr>
              <w:t>The p</w:t>
            </w:r>
            <w:r w:rsidRPr="002C3482">
              <w:rPr>
                <w:rFonts w:ascii="Arial" w:hAnsi="Arial" w:cs="Arial"/>
                <w:color w:val="auto"/>
                <w:szCs w:val="24"/>
              </w:rPr>
              <w:t>rimary qualification</w:t>
            </w:r>
            <w:r w:rsidRPr="0072314B">
              <w:rPr>
                <w:rFonts w:ascii="Arial" w:hAnsi="Arial" w:cs="Arial"/>
                <w:color w:val="auto"/>
                <w:szCs w:val="24"/>
              </w:rPr>
              <w:t xml:space="preserve"> for the rule set is </w:t>
            </w:r>
            <w:r w:rsidRPr="002C3482">
              <w:rPr>
                <w:rFonts w:ascii="Arial" w:hAnsi="Arial" w:cs="Arial"/>
                <w:color w:val="auto"/>
                <w:szCs w:val="24"/>
              </w:rPr>
              <w:t>MROC12</w:t>
            </w:r>
            <w:r w:rsidR="0072314B" w:rsidRPr="0072314B">
              <w:rPr>
                <w:rFonts w:ascii="Arial" w:hAnsi="Arial" w:cs="Arial"/>
                <w:color w:val="auto"/>
                <w:szCs w:val="24"/>
              </w:rPr>
              <w:t xml:space="preserve">. </w:t>
            </w:r>
            <w:r w:rsidRPr="002C3482">
              <w:rPr>
                <w:rFonts w:ascii="Arial" w:hAnsi="Arial" w:cs="Arial"/>
                <w:color w:val="auto"/>
                <w:szCs w:val="24"/>
              </w:rPr>
              <w:t>4TSH</w:t>
            </w:r>
            <w:r w:rsidRPr="0072314B">
              <w:rPr>
                <w:rFonts w:ascii="Arial" w:hAnsi="Arial" w:cs="Arial"/>
                <w:color w:val="auto"/>
                <w:szCs w:val="24"/>
              </w:rPr>
              <w:t xml:space="preserve"> (Managing Transfer Hazardous Waste)</w:t>
            </w:r>
            <w:r w:rsidRPr="002C3482">
              <w:rPr>
                <w:rFonts w:ascii="Arial" w:hAnsi="Arial" w:cs="Arial"/>
                <w:color w:val="auto"/>
                <w:szCs w:val="24"/>
              </w:rPr>
              <w:t xml:space="preserve"> </w:t>
            </w:r>
            <w:r w:rsidRPr="0072314B">
              <w:rPr>
                <w:rFonts w:ascii="Arial" w:hAnsi="Arial" w:cs="Arial"/>
                <w:color w:val="auto"/>
                <w:szCs w:val="24"/>
              </w:rPr>
              <w:t xml:space="preserve">is held and </w:t>
            </w:r>
            <w:r w:rsidRPr="002C3482">
              <w:rPr>
                <w:rFonts w:ascii="Arial" w:hAnsi="Arial" w:cs="Arial"/>
                <w:color w:val="auto"/>
                <w:szCs w:val="24"/>
              </w:rPr>
              <w:t>can be used in place of the primary award</w:t>
            </w:r>
            <w:r w:rsidRPr="0072314B">
              <w:rPr>
                <w:rFonts w:ascii="Arial" w:hAnsi="Arial" w:cs="Arial"/>
                <w:color w:val="auto"/>
                <w:szCs w:val="24"/>
              </w:rPr>
              <w:t xml:space="preserve">. The </w:t>
            </w:r>
            <w:r w:rsidR="0072314B" w:rsidRPr="0072314B">
              <w:rPr>
                <w:rFonts w:ascii="Arial" w:hAnsi="Arial" w:cs="Arial"/>
                <w:color w:val="auto"/>
                <w:szCs w:val="24"/>
              </w:rPr>
              <w:t>Technically</w:t>
            </w:r>
            <w:r w:rsidRPr="0072314B">
              <w:rPr>
                <w:rFonts w:ascii="Arial" w:hAnsi="Arial" w:cs="Arial"/>
                <w:color w:val="auto"/>
                <w:szCs w:val="24"/>
              </w:rPr>
              <w:t xml:space="preserve"> </w:t>
            </w:r>
            <w:r w:rsidR="0072314B" w:rsidRPr="0072314B">
              <w:rPr>
                <w:rFonts w:ascii="Arial" w:hAnsi="Arial" w:cs="Arial"/>
                <w:color w:val="auto"/>
                <w:szCs w:val="24"/>
              </w:rPr>
              <w:t>Competent</w:t>
            </w:r>
            <w:r w:rsidRPr="0072314B">
              <w:rPr>
                <w:rFonts w:ascii="Arial" w:hAnsi="Arial" w:cs="Arial"/>
                <w:color w:val="auto"/>
                <w:szCs w:val="24"/>
              </w:rPr>
              <w:t xml:space="preserve"> </w:t>
            </w:r>
            <w:r w:rsidR="0072314B" w:rsidRPr="0072314B">
              <w:rPr>
                <w:rFonts w:ascii="Arial" w:hAnsi="Arial" w:cs="Arial"/>
                <w:color w:val="auto"/>
                <w:szCs w:val="24"/>
              </w:rPr>
              <w:t>Manager</w:t>
            </w:r>
            <w:r w:rsidRPr="0072314B">
              <w:rPr>
                <w:rFonts w:ascii="Arial" w:hAnsi="Arial" w:cs="Arial"/>
                <w:color w:val="auto"/>
                <w:szCs w:val="24"/>
              </w:rPr>
              <w:t xml:space="preserve"> holds valid continuing </w:t>
            </w:r>
            <w:r w:rsidR="0072314B" w:rsidRPr="0072314B">
              <w:rPr>
                <w:rFonts w:ascii="Arial" w:hAnsi="Arial" w:cs="Arial"/>
                <w:color w:val="auto"/>
                <w:szCs w:val="24"/>
              </w:rPr>
              <w:t>competencies</w:t>
            </w:r>
            <w:r w:rsidRPr="0072314B">
              <w:rPr>
                <w:rFonts w:ascii="Arial" w:hAnsi="Arial" w:cs="Arial"/>
                <w:color w:val="auto"/>
                <w:szCs w:val="24"/>
              </w:rPr>
              <w:t xml:space="preserve"> in TSH (transfer- hazardous waste), TMH (treatment- hazardous waste) and LH (landfill- </w:t>
            </w:r>
            <w:r w:rsidRPr="0072314B">
              <w:rPr>
                <w:rFonts w:ascii="Arial" w:hAnsi="Arial" w:cs="Arial"/>
                <w:color w:val="auto"/>
                <w:szCs w:val="24"/>
              </w:rPr>
              <w:lastRenderedPageBreak/>
              <w:t>hazardous waste).</w:t>
            </w:r>
            <w:r w:rsidR="0072314B" w:rsidRPr="0072314B">
              <w:rPr>
                <w:rFonts w:ascii="Arial" w:hAnsi="Arial" w:cs="Arial"/>
                <w:color w:val="auto"/>
                <w:szCs w:val="24"/>
              </w:rPr>
              <w:t xml:space="preserve"> The operator has been informed that the Technically Competent Manager must obtain the correct </w:t>
            </w:r>
            <w:r w:rsidR="0072314B" w:rsidRPr="002C3482">
              <w:rPr>
                <w:rFonts w:ascii="Arial" w:hAnsi="Arial" w:cs="Arial"/>
                <w:color w:val="auto"/>
                <w:szCs w:val="24"/>
              </w:rPr>
              <w:t>Continuing Competence</w:t>
            </w:r>
            <w:r w:rsidR="0072314B" w:rsidRPr="0072314B">
              <w:rPr>
                <w:rFonts w:ascii="Arial" w:hAnsi="Arial" w:cs="Arial"/>
                <w:color w:val="auto"/>
                <w:szCs w:val="24"/>
              </w:rPr>
              <w:t xml:space="preserve"> qualification (</w:t>
            </w:r>
            <w:r w:rsidR="0072314B" w:rsidRPr="002C3482">
              <w:rPr>
                <w:rFonts w:ascii="Arial" w:hAnsi="Arial" w:cs="Arial"/>
                <w:color w:val="auto"/>
                <w:szCs w:val="24"/>
              </w:rPr>
              <w:t>TSNH (Transfer - Non - Hazardous Waste)</w:t>
            </w:r>
            <w:r w:rsidR="0072314B" w:rsidRPr="0072314B">
              <w:rPr>
                <w:rFonts w:ascii="Arial" w:hAnsi="Arial" w:cs="Arial"/>
                <w:color w:val="auto"/>
                <w:szCs w:val="24"/>
              </w:rPr>
              <w:t xml:space="preserve">) when their existing Continuing Competence becomes due </w:t>
            </w:r>
            <w:r w:rsidR="0072314B" w:rsidRPr="002C3482">
              <w:rPr>
                <w:rFonts w:ascii="Arial" w:hAnsi="Arial" w:cs="Arial"/>
                <w:color w:val="auto"/>
                <w:szCs w:val="24"/>
              </w:rPr>
              <w:t>in September 2025</w:t>
            </w:r>
            <w:r w:rsidR="0072314B" w:rsidRPr="0072314B">
              <w:rPr>
                <w:rFonts w:ascii="Arial" w:hAnsi="Arial" w:cs="Arial"/>
                <w:color w:val="auto"/>
                <w:szCs w:val="24"/>
              </w:rPr>
              <w:t xml:space="preserve"> as per current CIWM/WAMITAB guidance.</w:t>
            </w:r>
          </w:p>
          <w:p w14:paraId="17D0AE28" w14:textId="77777777" w:rsidR="00F11C7C" w:rsidRPr="0072314B" w:rsidRDefault="00F11C7C" w:rsidP="002C3482">
            <w:pPr>
              <w:pStyle w:val="BodyText"/>
              <w:rPr>
                <w:rFonts w:ascii="Arial" w:hAnsi="Arial" w:cs="Arial"/>
                <w:color w:val="auto"/>
                <w:szCs w:val="24"/>
              </w:rPr>
            </w:pPr>
          </w:p>
          <w:p w14:paraId="2951BC9D" w14:textId="77777777" w:rsidR="00E9011B" w:rsidRPr="0072314B" w:rsidRDefault="00E9011B" w:rsidP="00E9011B">
            <w:pPr>
              <w:rPr>
                <w:rFonts w:ascii="Arial" w:hAnsi="Arial" w:cs="Arial"/>
                <w:szCs w:val="24"/>
              </w:rPr>
            </w:pPr>
            <w:r w:rsidRPr="0072314B">
              <w:rPr>
                <w:rFonts w:ascii="Arial" w:hAnsi="Arial" w:cs="Arial"/>
                <w:szCs w:val="24"/>
              </w:rPr>
              <w:t>The operator satisfies the criteria in RGN 5 on Operator Competence.</w:t>
            </w:r>
            <w:bookmarkEnd w:id="0"/>
            <w:bookmarkEnd w:id="1"/>
          </w:p>
          <w:p w14:paraId="2951BC9E" w14:textId="77777777" w:rsidR="00E9011B" w:rsidRPr="0072314B" w:rsidRDefault="00E9011B" w:rsidP="00E9011B">
            <w:pPr>
              <w:rPr>
                <w:rFonts w:ascii="Arial" w:hAnsi="Arial" w:cs="Arial"/>
                <w:szCs w:val="24"/>
              </w:rPr>
            </w:pPr>
          </w:p>
        </w:tc>
        <w:tc>
          <w:tcPr>
            <w:tcW w:w="1134" w:type="dxa"/>
          </w:tcPr>
          <w:p w14:paraId="2951BC9F" w14:textId="77777777" w:rsidR="00E9011B" w:rsidRPr="0072314B" w:rsidRDefault="00E9011B" w:rsidP="00E9011B">
            <w:pPr>
              <w:rPr>
                <w:rFonts w:ascii="Arial" w:hAnsi="Arial" w:cs="Arial"/>
                <w:szCs w:val="24"/>
              </w:rPr>
            </w:pPr>
            <w:r w:rsidRPr="0072314B">
              <w:rPr>
                <w:rFonts w:ascii="Arial" w:hAnsi="Arial" w:cs="Arial"/>
                <w:szCs w:val="24"/>
              </w:rPr>
              <w:lastRenderedPageBreak/>
              <w:sym w:font="Wingdings" w:char="F0FC"/>
            </w:r>
          </w:p>
        </w:tc>
      </w:tr>
      <w:tr w:rsidR="00E9011B" w:rsidRPr="000141CC" w14:paraId="2951BCAC" w14:textId="77777777" w:rsidTr="00655B34">
        <w:tc>
          <w:tcPr>
            <w:tcW w:w="1951" w:type="dxa"/>
          </w:tcPr>
          <w:p w14:paraId="2951BCA2" w14:textId="2D74F8B3" w:rsidR="00E9011B" w:rsidRPr="00F11C7C" w:rsidRDefault="00E9011B" w:rsidP="0072314B">
            <w:pPr>
              <w:rPr>
                <w:rFonts w:ascii="Arial" w:hAnsi="Arial" w:cs="Arial"/>
                <w:szCs w:val="24"/>
              </w:rPr>
            </w:pPr>
            <w:r w:rsidRPr="00F11C7C">
              <w:rPr>
                <w:rFonts w:ascii="Arial" w:hAnsi="Arial" w:cs="Arial"/>
                <w:szCs w:val="24"/>
              </w:rPr>
              <w:t>Relevant Convictions</w:t>
            </w:r>
          </w:p>
        </w:tc>
        <w:tc>
          <w:tcPr>
            <w:tcW w:w="6096" w:type="dxa"/>
          </w:tcPr>
          <w:p w14:paraId="2951BCA3" w14:textId="432CEC6B" w:rsidR="00E9011B" w:rsidRPr="00F11C7C" w:rsidRDefault="00E9011B" w:rsidP="00E9011B">
            <w:pPr>
              <w:rPr>
                <w:rFonts w:ascii="Arial" w:hAnsi="Arial" w:cs="Arial"/>
                <w:szCs w:val="24"/>
              </w:rPr>
            </w:pPr>
            <w:r w:rsidRPr="00F11C7C">
              <w:rPr>
                <w:rFonts w:ascii="Arial" w:hAnsi="Arial" w:cs="Arial"/>
                <w:szCs w:val="24"/>
              </w:rPr>
              <w:t xml:space="preserve">Our Enforcement Database has been checked to ensure that all relevant convictions have been declared.  </w:t>
            </w:r>
          </w:p>
          <w:p w14:paraId="2951BCA4" w14:textId="77777777" w:rsidR="00E9011B" w:rsidRPr="00F11C7C" w:rsidRDefault="00E9011B" w:rsidP="00E9011B">
            <w:pPr>
              <w:rPr>
                <w:rFonts w:ascii="Arial" w:hAnsi="Arial" w:cs="Arial"/>
                <w:szCs w:val="24"/>
              </w:rPr>
            </w:pPr>
          </w:p>
          <w:p w14:paraId="2951BCA5" w14:textId="77777777" w:rsidR="00E9011B" w:rsidRPr="00F11C7C" w:rsidRDefault="00E9011B" w:rsidP="00E9011B">
            <w:pPr>
              <w:rPr>
                <w:rFonts w:ascii="Arial" w:hAnsi="Arial" w:cs="Arial"/>
                <w:szCs w:val="24"/>
              </w:rPr>
            </w:pPr>
            <w:r w:rsidRPr="00F11C7C">
              <w:rPr>
                <w:rFonts w:ascii="Arial" w:hAnsi="Arial" w:cs="Arial"/>
                <w:szCs w:val="24"/>
              </w:rPr>
              <w:t xml:space="preserve">No relevant convictions were found. </w:t>
            </w:r>
          </w:p>
          <w:p w14:paraId="2951BCA8" w14:textId="77777777" w:rsidR="00E9011B" w:rsidRPr="00F11C7C" w:rsidRDefault="00E9011B" w:rsidP="00E9011B">
            <w:pPr>
              <w:rPr>
                <w:rFonts w:ascii="Arial" w:hAnsi="Arial" w:cs="Arial"/>
                <w:szCs w:val="24"/>
              </w:rPr>
            </w:pPr>
          </w:p>
          <w:p w14:paraId="2951BCA9" w14:textId="77777777" w:rsidR="00E9011B" w:rsidRPr="00F11C7C" w:rsidRDefault="00E9011B" w:rsidP="00E9011B">
            <w:pPr>
              <w:rPr>
                <w:rFonts w:ascii="Arial" w:hAnsi="Arial" w:cs="Arial"/>
                <w:szCs w:val="24"/>
              </w:rPr>
            </w:pPr>
            <w:r w:rsidRPr="00F11C7C">
              <w:rPr>
                <w:rFonts w:ascii="Arial" w:hAnsi="Arial" w:cs="Arial"/>
                <w:szCs w:val="24"/>
              </w:rPr>
              <w:t>The operator satisfies the criteria in RGN 5 on Operator Competence.</w:t>
            </w:r>
          </w:p>
          <w:p w14:paraId="2951BCAA" w14:textId="77777777" w:rsidR="00E9011B" w:rsidRPr="00F11C7C" w:rsidRDefault="00E9011B" w:rsidP="00E9011B">
            <w:pPr>
              <w:rPr>
                <w:rFonts w:ascii="Arial" w:hAnsi="Arial" w:cs="Arial"/>
                <w:szCs w:val="24"/>
              </w:rPr>
            </w:pPr>
          </w:p>
        </w:tc>
        <w:tc>
          <w:tcPr>
            <w:tcW w:w="1134" w:type="dxa"/>
          </w:tcPr>
          <w:p w14:paraId="2951BCAB" w14:textId="77777777" w:rsidR="00E9011B" w:rsidRPr="00F11C7C" w:rsidRDefault="00E9011B" w:rsidP="00E9011B">
            <w:pPr>
              <w:rPr>
                <w:rFonts w:ascii="Arial" w:hAnsi="Arial" w:cs="Arial"/>
                <w:szCs w:val="24"/>
              </w:rPr>
            </w:pPr>
            <w:r w:rsidRPr="00F11C7C">
              <w:rPr>
                <w:rFonts w:ascii="Arial" w:hAnsi="Arial" w:cs="Arial"/>
                <w:szCs w:val="24"/>
              </w:rPr>
              <w:sym w:font="Wingdings" w:char="F0FC"/>
            </w:r>
          </w:p>
        </w:tc>
      </w:tr>
      <w:tr w:rsidR="00E9011B" w:rsidRPr="000141CC" w14:paraId="2951BCB1" w14:textId="77777777" w:rsidTr="00655B34">
        <w:tc>
          <w:tcPr>
            <w:tcW w:w="1951" w:type="dxa"/>
          </w:tcPr>
          <w:p w14:paraId="2951BCAE" w14:textId="3BB5F8CB" w:rsidR="00E9011B" w:rsidRPr="00F11C7C" w:rsidRDefault="00E9011B" w:rsidP="00F11C7C">
            <w:pPr>
              <w:pStyle w:val="Heading3"/>
              <w:rPr>
                <w:rFonts w:ascii="Arial" w:hAnsi="Arial" w:cs="Arial"/>
                <w:szCs w:val="24"/>
              </w:rPr>
            </w:pPr>
            <w:r w:rsidRPr="00F11C7C">
              <w:rPr>
                <w:rFonts w:ascii="Arial" w:hAnsi="Arial" w:cs="Arial"/>
                <w:b w:val="0"/>
                <w:szCs w:val="24"/>
              </w:rPr>
              <w:t>Financial competence</w:t>
            </w:r>
          </w:p>
        </w:tc>
        <w:tc>
          <w:tcPr>
            <w:tcW w:w="6096" w:type="dxa"/>
          </w:tcPr>
          <w:p w14:paraId="49B5C029" w14:textId="77777777" w:rsidR="00E9011B" w:rsidRPr="00F11C7C" w:rsidRDefault="00E9011B" w:rsidP="00E9011B">
            <w:pPr>
              <w:rPr>
                <w:rFonts w:ascii="Arial" w:hAnsi="Arial" w:cs="Arial"/>
                <w:szCs w:val="24"/>
              </w:rPr>
            </w:pPr>
            <w:r w:rsidRPr="00F11C7C">
              <w:rPr>
                <w:rFonts w:ascii="Arial" w:hAnsi="Arial" w:cs="Arial"/>
                <w:szCs w:val="24"/>
              </w:rPr>
              <w:t xml:space="preserve">There is no known reason to consider that the operator will not be financially able to comply with the standard rules.  </w:t>
            </w:r>
          </w:p>
          <w:p w14:paraId="1109060B" w14:textId="77777777" w:rsidR="00E9011B" w:rsidRPr="00F11C7C" w:rsidRDefault="00E9011B" w:rsidP="00E9011B">
            <w:pPr>
              <w:rPr>
                <w:rFonts w:ascii="Arial" w:hAnsi="Arial" w:cs="Arial"/>
                <w:szCs w:val="24"/>
              </w:rPr>
            </w:pPr>
          </w:p>
          <w:p w14:paraId="2951BCAF" w14:textId="5C99BD89" w:rsidR="00E9011B" w:rsidRPr="00F11C7C" w:rsidRDefault="00E9011B" w:rsidP="00E9011B">
            <w:pPr>
              <w:rPr>
                <w:rFonts w:ascii="Arial" w:hAnsi="Arial" w:cs="Arial"/>
                <w:szCs w:val="24"/>
              </w:rPr>
            </w:pPr>
            <w:r w:rsidRPr="00F11C7C">
              <w:rPr>
                <w:rFonts w:ascii="Arial" w:hAnsi="Arial" w:cs="Arial"/>
                <w:szCs w:val="24"/>
              </w:rPr>
              <w:t>The decision was taken in accordance with RGN 5 on Operator Competence.</w:t>
            </w:r>
          </w:p>
        </w:tc>
        <w:tc>
          <w:tcPr>
            <w:tcW w:w="1134" w:type="dxa"/>
          </w:tcPr>
          <w:p w14:paraId="2951BCB0" w14:textId="77777777" w:rsidR="00E9011B" w:rsidRPr="00F11C7C" w:rsidRDefault="00E9011B" w:rsidP="00E9011B">
            <w:pPr>
              <w:rPr>
                <w:rFonts w:ascii="Arial" w:hAnsi="Arial" w:cs="Arial"/>
                <w:szCs w:val="24"/>
              </w:rPr>
            </w:pPr>
            <w:r w:rsidRPr="00F11C7C">
              <w:rPr>
                <w:rFonts w:ascii="Arial" w:hAnsi="Arial" w:cs="Arial"/>
                <w:szCs w:val="24"/>
              </w:rPr>
              <w:sym w:font="Wingdings" w:char="F0FC"/>
            </w:r>
          </w:p>
        </w:tc>
      </w:tr>
    </w:tbl>
    <w:p w14:paraId="2951BCB2" w14:textId="77777777" w:rsidR="00AC66F9" w:rsidRDefault="00AC66F9" w:rsidP="00053DA9">
      <w:pPr>
        <w:rPr>
          <w:rFonts w:ascii="Arial" w:hAnsi="Arial"/>
        </w:rPr>
      </w:pPr>
    </w:p>
    <w:sectPr w:rsidR="00AC66F9"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3482"/>
    <w:rsid w:val="002C41CA"/>
    <w:rsid w:val="002D0A0C"/>
    <w:rsid w:val="002D694D"/>
    <w:rsid w:val="002F2FAB"/>
    <w:rsid w:val="002F41D1"/>
    <w:rsid w:val="00331115"/>
    <w:rsid w:val="00346CF0"/>
    <w:rsid w:val="00351A0A"/>
    <w:rsid w:val="0038174A"/>
    <w:rsid w:val="00382F62"/>
    <w:rsid w:val="003869DE"/>
    <w:rsid w:val="003870E2"/>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14B"/>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7411"/>
    <w:rsid w:val="009C6E2B"/>
    <w:rsid w:val="009D3A0D"/>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11C7C"/>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774137303">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19</cp:revision>
  <cp:lastPrinted>2010-03-19T12:06:00Z</cp:lastPrinted>
  <dcterms:created xsi:type="dcterms:W3CDTF">2013-03-28T11:14:00Z</dcterms:created>
  <dcterms:modified xsi:type="dcterms:W3CDTF">2024-04-12T14:16:00Z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