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A7F3" w14:textId="44CDC886" w:rsidR="00FD1903" w:rsidRPr="001E67F0" w:rsidRDefault="00FD1903" w:rsidP="00FD1903">
      <w:pPr>
        <w:rPr>
          <w:rFonts w:cstheme="minorHAnsi"/>
          <w:b/>
          <w:bCs/>
        </w:rPr>
      </w:pPr>
      <w:r w:rsidRPr="001E67F0">
        <w:rPr>
          <w:rFonts w:cstheme="minorHAnsi"/>
          <w:b/>
          <w:bCs/>
        </w:rPr>
        <w:t xml:space="preserve">Request for changes to licence </w:t>
      </w:r>
      <w:r w:rsidR="00DC69CA" w:rsidRPr="001E67F0">
        <w:rPr>
          <w:rFonts w:cstheme="minorHAnsi"/>
          <w:b/>
          <w:bCs/>
        </w:rPr>
        <w:t xml:space="preserve">DEML2248 </w:t>
      </w:r>
      <w:r w:rsidRPr="001E67F0">
        <w:rPr>
          <w:rFonts w:cstheme="minorHAnsi"/>
          <w:b/>
          <w:bCs/>
        </w:rPr>
        <w:t>‘</w:t>
      </w:r>
      <w:r w:rsidR="001E67F0">
        <w:rPr>
          <w:rFonts w:cstheme="minorHAnsi"/>
          <w:b/>
          <w:bCs/>
        </w:rPr>
        <w:t>Seagrass Ocean Rescue’</w:t>
      </w:r>
    </w:p>
    <w:p w14:paraId="247AE42E" w14:textId="6E23B07E" w:rsidR="00FD1903" w:rsidRPr="001E67F0" w:rsidRDefault="00FD1903" w:rsidP="000B0576">
      <w:pPr>
        <w:pStyle w:val="NoSpacing"/>
        <w:numPr>
          <w:ilvl w:val="0"/>
          <w:numId w:val="8"/>
        </w:numPr>
      </w:pPr>
      <w:r w:rsidRPr="001E67F0">
        <w:t xml:space="preserve">Originator: </w:t>
      </w:r>
      <w:r w:rsidR="00DC69CA" w:rsidRPr="001E67F0">
        <w:t xml:space="preserve">Stijn den </w:t>
      </w:r>
      <w:proofErr w:type="spellStart"/>
      <w:r w:rsidR="00DC69CA" w:rsidRPr="001E67F0">
        <w:t>Haan</w:t>
      </w:r>
      <w:proofErr w:type="spellEnd"/>
      <w:r w:rsidR="00DC69CA" w:rsidRPr="001E67F0">
        <w:t xml:space="preserve"> &amp; </w:t>
      </w:r>
      <w:proofErr w:type="spellStart"/>
      <w:r w:rsidR="007A5DB8">
        <w:t>Dr.</w:t>
      </w:r>
      <w:proofErr w:type="spellEnd"/>
      <w:r w:rsidR="007A5DB8">
        <w:t xml:space="preserve"> </w:t>
      </w:r>
      <w:r w:rsidR="00DC69CA" w:rsidRPr="001E67F0">
        <w:t>Richard Unsworth</w:t>
      </w:r>
    </w:p>
    <w:p w14:paraId="19907674" w14:textId="514417CB" w:rsidR="00FD1903" w:rsidRPr="001E67F0" w:rsidRDefault="00FD1903" w:rsidP="000B0576">
      <w:pPr>
        <w:pStyle w:val="NoSpacing"/>
        <w:numPr>
          <w:ilvl w:val="0"/>
          <w:numId w:val="8"/>
        </w:numPr>
      </w:pPr>
      <w:r w:rsidRPr="001E67F0">
        <w:t xml:space="preserve">Changes requested by: </w:t>
      </w:r>
      <w:r w:rsidR="00DC69CA" w:rsidRPr="001E67F0">
        <w:t>Stijn den Haan</w:t>
      </w:r>
    </w:p>
    <w:p w14:paraId="5289D665" w14:textId="73A8E427" w:rsidR="00DC69CA" w:rsidRPr="001E67F0" w:rsidRDefault="00DC69CA" w:rsidP="000B0576">
      <w:pPr>
        <w:pStyle w:val="NoSpacing"/>
        <w:numPr>
          <w:ilvl w:val="0"/>
          <w:numId w:val="8"/>
        </w:numPr>
      </w:pPr>
      <w:r w:rsidRPr="001E67F0">
        <w:t xml:space="preserve">Licence holder: </w:t>
      </w:r>
      <w:proofErr w:type="spellStart"/>
      <w:r w:rsidR="00082DE0">
        <w:t>Dr.</w:t>
      </w:r>
      <w:proofErr w:type="spellEnd"/>
      <w:r w:rsidR="00082DE0">
        <w:t xml:space="preserve"> </w:t>
      </w:r>
      <w:r w:rsidRPr="001E67F0">
        <w:t>Richard Unsworth, Project Seagrass</w:t>
      </w:r>
    </w:p>
    <w:p w14:paraId="4FE22C12" w14:textId="77777777" w:rsidR="00DC69CA" w:rsidRPr="001E67F0" w:rsidRDefault="00FD1903" w:rsidP="000B0576">
      <w:pPr>
        <w:pStyle w:val="NoSpacing"/>
        <w:numPr>
          <w:ilvl w:val="0"/>
          <w:numId w:val="8"/>
        </w:numPr>
      </w:pPr>
      <w:r w:rsidRPr="001E67F0">
        <w:t>Contact Details:</w:t>
      </w:r>
      <w:r w:rsidR="00DC69CA" w:rsidRPr="001E67F0">
        <w:t xml:space="preserve"> </w:t>
      </w:r>
    </w:p>
    <w:p w14:paraId="7B0B214C" w14:textId="7529B6D6" w:rsidR="00DC69CA" w:rsidRPr="001E67F0" w:rsidRDefault="00DC69CA" w:rsidP="000B0576">
      <w:pPr>
        <w:pStyle w:val="NoSpacing"/>
        <w:numPr>
          <w:ilvl w:val="1"/>
          <w:numId w:val="8"/>
        </w:numPr>
      </w:pPr>
      <w:r w:rsidRPr="001E67F0">
        <w:t xml:space="preserve">Stijn: </w:t>
      </w:r>
      <w:hyperlink r:id="rId5" w:history="1">
        <w:r w:rsidRPr="001E67F0">
          <w:rPr>
            <w:rStyle w:val="Hyperlink"/>
            <w:rFonts w:cstheme="minorHAnsi"/>
          </w:rPr>
          <w:t>Stijn.denhaan@swansea.ac.uk</w:t>
        </w:r>
      </w:hyperlink>
      <w:r w:rsidRPr="001E67F0">
        <w:t xml:space="preserve">, 07888829291 </w:t>
      </w:r>
    </w:p>
    <w:p w14:paraId="561D0D64" w14:textId="4A898D31" w:rsidR="00FD1903" w:rsidRPr="001E67F0" w:rsidRDefault="00DC69CA" w:rsidP="000B0576">
      <w:pPr>
        <w:pStyle w:val="NoSpacing"/>
        <w:numPr>
          <w:ilvl w:val="1"/>
          <w:numId w:val="8"/>
        </w:numPr>
      </w:pPr>
      <w:r w:rsidRPr="001E67F0">
        <w:t xml:space="preserve">Richard: </w:t>
      </w:r>
      <w:hyperlink r:id="rId6" w:history="1">
        <w:r w:rsidRPr="001E67F0">
          <w:rPr>
            <w:rStyle w:val="Hyperlink"/>
            <w:rFonts w:cstheme="minorHAnsi"/>
          </w:rPr>
          <w:t>Richard@projectseagrass.org</w:t>
        </w:r>
      </w:hyperlink>
    </w:p>
    <w:p w14:paraId="33979995" w14:textId="63ECA469" w:rsidR="00FD1903" w:rsidRPr="001E67F0" w:rsidRDefault="001E67F0" w:rsidP="00FD1903">
      <w:pPr>
        <w:rPr>
          <w:rFonts w:cstheme="minorHAnsi"/>
          <w:b/>
          <w:bCs/>
        </w:rPr>
      </w:pPr>
      <w:r>
        <w:rPr>
          <w:rFonts w:cstheme="minorHAnsi"/>
          <w:b/>
          <w:bCs/>
        </w:rPr>
        <w:br/>
      </w:r>
      <w:r w:rsidR="00FD1903" w:rsidRPr="001E67F0">
        <w:rPr>
          <w:rFonts w:cstheme="minorHAnsi"/>
          <w:b/>
          <w:bCs/>
        </w:rPr>
        <w:t>Request</w:t>
      </w:r>
    </w:p>
    <w:p w14:paraId="5C47AF26" w14:textId="0493D342" w:rsidR="001E67F0" w:rsidRPr="001E67F0" w:rsidRDefault="008363C5" w:rsidP="001E67F0">
      <w:pPr>
        <w:rPr>
          <w:rFonts w:cstheme="minorHAnsi"/>
        </w:rPr>
      </w:pPr>
      <w:r w:rsidRPr="001E67F0">
        <w:rPr>
          <w:rFonts w:cstheme="minorHAnsi"/>
        </w:rPr>
        <w:t>To amend methods described in DEML2248 with the following:</w:t>
      </w:r>
      <w:r w:rsidR="001E67F0" w:rsidRPr="001E67F0">
        <w:rPr>
          <w:rFonts w:cstheme="minorHAnsi"/>
        </w:rPr>
        <w:t xml:space="preserve"> </w:t>
      </w:r>
    </w:p>
    <w:p w14:paraId="2491F683" w14:textId="72643199" w:rsidR="001E67F0" w:rsidRPr="00E6630C" w:rsidRDefault="001E67F0" w:rsidP="00E6630C">
      <w:pPr>
        <w:pStyle w:val="ListParagraph"/>
        <w:numPr>
          <w:ilvl w:val="0"/>
          <w:numId w:val="4"/>
        </w:numPr>
        <w:spacing w:after="0" w:line="240" w:lineRule="auto"/>
        <w:rPr>
          <w:rFonts w:eastAsia="Times New Roman" w:cstheme="minorHAnsi"/>
        </w:rPr>
      </w:pPr>
      <w:r w:rsidRPr="00E6630C">
        <w:rPr>
          <w:rFonts w:eastAsia="Times New Roman" w:cstheme="minorHAnsi"/>
        </w:rPr>
        <w:t xml:space="preserve">Use our boat </w:t>
      </w:r>
      <w:proofErr w:type="spellStart"/>
      <w:r w:rsidRPr="00E6630C">
        <w:rPr>
          <w:rFonts w:eastAsia="Times New Roman" w:cstheme="minorHAnsi"/>
        </w:rPr>
        <w:t>Gwenhidw</w:t>
      </w:r>
      <w:proofErr w:type="spellEnd"/>
      <w:r w:rsidRPr="00E6630C">
        <w:rPr>
          <w:rFonts w:eastAsia="Times New Roman" w:cstheme="minorHAnsi"/>
        </w:rPr>
        <w:t xml:space="preserve"> to tow a sled over the seabed that injects seagrass seeds through a peristaltic pump into the sediment.</w:t>
      </w:r>
      <w:r w:rsidR="0074207E">
        <w:rPr>
          <w:rFonts w:eastAsia="Times New Roman" w:cstheme="minorHAnsi"/>
        </w:rPr>
        <w:t xml:space="preserve"> </w:t>
      </w:r>
      <w:r w:rsidR="0074207E">
        <w:rPr>
          <w:rFonts w:cstheme="minorHAnsi"/>
        </w:rPr>
        <w:t>Details are explained below.</w:t>
      </w:r>
    </w:p>
    <w:p w14:paraId="40547A8A" w14:textId="4B121F9B" w:rsidR="00093F45" w:rsidRPr="0074207E" w:rsidRDefault="001E67F0" w:rsidP="00FD1903">
      <w:pPr>
        <w:pStyle w:val="ListParagraph"/>
        <w:numPr>
          <w:ilvl w:val="0"/>
          <w:numId w:val="4"/>
        </w:numPr>
        <w:spacing w:after="0" w:line="240" w:lineRule="auto"/>
        <w:contextualSpacing w:val="0"/>
        <w:rPr>
          <w:rFonts w:eastAsia="Times New Roman" w:cstheme="minorHAnsi"/>
        </w:rPr>
      </w:pPr>
      <w:r w:rsidRPr="001E67F0">
        <w:rPr>
          <w:rFonts w:eastAsia="Times New Roman" w:cstheme="minorHAnsi"/>
        </w:rPr>
        <w:t xml:space="preserve">Use our boat </w:t>
      </w:r>
      <w:proofErr w:type="spellStart"/>
      <w:r w:rsidRPr="001E67F0">
        <w:rPr>
          <w:rFonts w:eastAsia="Times New Roman" w:cstheme="minorHAnsi"/>
        </w:rPr>
        <w:t>Gwenhidw</w:t>
      </w:r>
      <w:proofErr w:type="spellEnd"/>
      <w:r w:rsidRPr="001E67F0">
        <w:rPr>
          <w:rFonts w:eastAsia="Times New Roman" w:cstheme="minorHAnsi"/>
        </w:rPr>
        <w:t xml:space="preserve"> to tow a sled over the seabed that opens a shallow furrow of a few </w:t>
      </w:r>
      <w:proofErr w:type="gramStart"/>
      <w:r w:rsidRPr="001E67F0">
        <w:rPr>
          <w:rFonts w:eastAsia="Times New Roman" w:cstheme="minorHAnsi"/>
        </w:rPr>
        <w:t>centimetres</w:t>
      </w:r>
      <w:proofErr w:type="gramEnd"/>
      <w:r w:rsidRPr="001E67F0">
        <w:rPr>
          <w:rFonts w:eastAsia="Times New Roman" w:cstheme="minorHAnsi"/>
        </w:rPr>
        <w:t xml:space="preserve"> depth, in which we deploy</w:t>
      </w:r>
      <w:r w:rsidR="00E6630C">
        <w:rPr>
          <w:rFonts w:eastAsia="Times New Roman" w:cstheme="minorHAnsi"/>
        </w:rPr>
        <w:t xml:space="preserve"> biodegradable bags with seeds and/or seed balls with seagrass seeds.</w:t>
      </w:r>
      <w:r w:rsidR="0074207E">
        <w:rPr>
          <w:rFonts w:eastAsia="Times New Roman" w:cstheme="minorHAnsi"/>
        </w:rPr>
        <w:t xml:space="preserve"> </w:t>
      </w:r>
      <w:r w:rsidR="0074207E">
        <w:rPr>
          <w:rFonts w:cstheme="minorHAnsi"/>
        </w:rPr>
        <w:t>Details are explained below.</w:t>
      </w:r>
      <w:r w:rsidR="0074207E">
        <w:rPr>
          <w:rFonts w:cstheme="minorHAnsi"/>
        </w:rPr>
        <w:br/>
      </w:r>
    </w:p>
    <w:p w14:paraId="44D73370" w14:textId="77777777" w:rsidR="00FD1903" w:rsidRPr="001E67F0" w:rsidRDefault="00FD1903" w:rsidP="00FD1903">
      <w:pPr>
        <w:rPr>
          <w:rFonts w:cstheme="minorHAnsi"/>
          <w:b/>
          <w:bCs/>
        </w:rPr>
      </w:pPr>
      <w:r w:rsidRPr="001E67F0">
        <w:rPr>
          <w:rFonts w:cstheme="minorHAnsi"/>
          <w:b/>
          <w:bCs/>
        </w:rPr>
        <w:t>Background</w:t>
      </w:r>
    </w:p>
    <w:p w14:paraId="2580FA4A" w14:textId="6FA922F3" w:rsidR="00E05EC8" w:rsidRPr="0074207E" w:rsidRDefault="00E6630C" w:rsidP="00FD1903">
      <w:pPr>
        <w:rPr>
          <w:rFonts w:cstheme="minorHAnsi"/>
        </w:rPr>
      </w:pPr>
      <w:r>
        <w:rPr>
          <w:rFonts w:cstheme="minorHAnsi"/>
        </w:rPr>
        <w:t xml:space="preserve">The Seagrass Ocean Rescue North Wales project aims to plant seagrass over an area of 10 hectares across North Wales, for which we obtained marine licence DEML2248. Since the start of our licence in November 2022, we have conducted </w:t>
      </w:r>
      <w:r w:rsidR="00E05EC8">
        <w:rPr>
          <w:rFonts w:cstheme="minorHAnsi"/>
        </w:rPr>
        <w:t xml:space="preserve">field-based </w:t>
      </w:r>
      <w:r>
        <w:rPr>
          <w:rFonts w:cstheme="minorHAnsi"/>
        </w:rPr>
        <w:t xml:space="preserve">manual (hand-held) scientific planting trials </w:t>
      </w:r>
      <w:r w:rsidR="00E05EC8">
        <w:rPr>
          <w:rFonts w:cstheme="minorHAnsi"/>
        </w:rPr>
        <w:t xml:space="preserve">at Carreg y </w:t>
      </w:r>
      <w:proofErr w:type="spellStart"/>
      <w:r w:rsidR="00E05EC8">
        <w:rPr>
          <w:rFonts w:cstheme="minorHAnsi"/>
        </w:rPr>
        <w:t>Defaid</w:t>
      </w:r>
      <w:proofErr w:type="spellEnd"/>
      <w:r w:rsidR="00E05EC8">
        <w:rPr>
          <w:rFonts w:cstheme="minorHAnsi"/>
        </w:rPr>
        <w:t xml:space="preserve"> (Y </w:t>
      </w:r>
      <w:proofErr w:type="spellStart"/>
      <w:r w:rsidR="00E05EC8">
        <w:rPr>
          <w:rFonts w:cstheme="minorHAnsi"/>
        </w:rPr>
        <w:t>Gamlas</w:t>
      </w:r>
      <w:proofErr w:type="spellEnd"/>
      <w:r w:rsidR="00E05EC8">
        <w:rPr>
          <w:rFonts w:cstheme="minorHAnsi"/>
        </w:rPr>
        <w:t xml:space="preserve">) and Pen-y-Chain 1 </w:t>
      </w:r>
      <w:r>
        <w:rPr>
          <w:rFonts w:cstheme="minorHAnsi"/>
        </w:rPr>
        <w:t>in February and April 2023</w:t>
      </w:r>
      <w:r w:rsidR="00E05EC8">
        <w:rPr>
          <w:rFonts w:cstheme="minorHAnsi"/>
        </w:rPr>
        <w:t xml:space="preserve"> by </w:t>
      </w:r>
      <w:r>
        <w:rPr>
          <w:rFonts w:cstheme="minorHAnsi"/>
        </w:rPr>
        <w:t>planting 200,000 seagrass</w:t>
      </w:r>
      <w:r w:rsidR="00E05EC8">
        <w:rPr>
          <w:rFonts w:cstheme="minorHAnsi"/>
        </w:rPr>
        <w:t xml:space="preserve">. Moreover, we have conducted </w:t>
      </w:r>
      <w:r>
        <w:rPr>
          <w:rFonts w:cstheme="minorHAnsi"/>
        </w:rPr>
        <w:t xml:space="preserve">experiments in controlled </w:t>
      </w:r>
      <w:r w:rsidR="00E05EC8">
        <w:rPr>
          <w:rFonts w:cstheme="minorHAnsi"/>
        </w:rPr>
        <w:t xml:space="preserve">aquariums </w:t>
      </w:r>
      <w:r>
        <w:rPr>
          <w:rFonts w:cstheme="minorHAnsi"/>
        </w:rPr>
        <w:t xml:space="preserve">at Swansea University. </w:t>
      </w:r>
      <w:r w:rsidR="00C141F3">
        <w:rPr>
          <w:rFonts w:cstheme="minorHAnsi"/>
        </w:rPr>
        <w:t>Our f</w:t>
      </w:r>
      <w:r w:rsidR="00E05EC8">
        <w:rPr>
          <w:rFonts w:cstheme="minorHAnsi"/>
        </w:rPr>
        <w:t xml:space="preserve">ield-based results show that </w:t>
      </w:r>
      <w:r>
        <w:rPr>
          <w:rFonts w:cstheme="minorHAnsi"/>
        </w:rPr>
        <w:t>seed injection</w:t>
      </w:r>
      <w:r w:rsidR="00A20DE7">
        <w:rPr>
          <w:rFonts w:cstheme="minorHAnsi"/>
        </w:rPr>
        <w:t xml:space="preserve"> techniques</w:t>
      </w:r>
      <w:r w:rsidR="00DA0934">
        <w:rPr>
          <w:rFonts w:cstheme="minorHAnsi"/>
        </w:rPr>
        <w:t xml:space="preserve"> –</w:t>
      </w:r>
      <w:r w:rsidR="00A20DE7">
        <w:rPr>
          <w:rFonts w:cstheme="minorHAnsi"/>
        </w:rPr>
        <w:t xml:space="preserve"> built on decades of research </w:t>
      </w:r>
      <w:r w:rsidR="001C2F92">
        <w:rPr>
          <w:rFonts w:cstheme="minorHAnsi"/>
        </w:rPr>
        <w:t xml:space="preserve">in the United States </w:t>
      </w:r>
      <w:r w:rsidR="001C2F92">
        <w:rPr>
          <w:rFonts w:cstheme="minorHAnsi"/>
        </w:rPr>
        <w:fldChar w:fldCharType="begin"/>
      </w:r>
      <w:r w:rsidR="00CF6710">
        <w:rPr>
          <w:rFonts w:cstheme="minorHAnsi"/>
        </w:rPr>
        <w:instrText xml:space="preserve"> ADDIN ZOTERO_ITEM CSL_CITATION {"citationID":"TCZzrWlx","properties":{"formattedCitation":"(Traber, Granger, and Nixon 2003; Orth et al. 2008; Marion and Orth 2010)","plainCitation":"(Traber, Granger, and Nixon 2003; Orth et al. 2008; Marion and Orth 2010)","noteIndex":0},"citationItems":[{"id":646,"uris":["http://zotero.org/users/7222876/items/Q25LVRJB"],"itemData":{"id":646,"type":"article-journal","container-title":"Ecological Restoration","page":"213-214","title":"Mechanical seeder provides alternative method for restoring eelgrass habitat (Rhode Island)","volume":"21","author":[{"family":"Traber","given":"Michael"},{"family":"Granger","given":"Steven"},{"family":"Nixon","given":"S"}],"issued":{"date-parts":[["2003"]]}}},{"id":645,"uris":["http://zotero.org/users/7222876/items/IW6HHVFL"],"itemData":{"id":645,"type":"report","abstract":"Few seagrass transplant projects worldwide have relied on seeds, and those projects using Zostera marina (eelgrass) seeds have generally found low rates of seedling establishment (&lt;10%). We compared seedling establishment achieved by a mechanical seed planter with seeds broadcast on the sediment surface by hand. The planter injected seeds into the sediment by pumping the seeds, suspended in a gelatin-based matrix, to a benthic sled with eight planting nozzles. As a control for the gel, seeds were also injected into the sediment without gel using a hand-held pipette. Seeds were planted at a density of 300 mÀ2 into six replicate plots at each of three sites in the Chesapeake Bay region in September 2005, with seedling establishment measured in April 2006. Burying seeds, either with or without gel, had an overall positive effect on seedling establishment, but the effectiveness and the best method varied among sites. Mean seedling establishment for machine-planted seeds was signiﬁcantly greater than for broadcast seeds at the Piankatank River site (4% vs. 1%), but not at the York (1.2% vs. 1.4%) or Spider Crab Bay (10.1% vs. 7.4%) sites. The effect of the gel was inconsistent among sites, with the highest seedling establishment (18.8%), resulting from seeds injected by pipette without gel at the Spider Crab site. Seed burial shows promise for increasing seedling establishment relative to seed broadcasting in the Chesapeake region, but further investigation of seed–sediment interactions at speciﬁc restoration sites is necessary. Low seedling establishment rates remain a bottleneck for seed-based eelgrass restoration.","event-place":"Fort Belvoir, VA","language":"en","note":"DOI: 10.21236/ADA478894","publisher":"Defense Technical Information Center","publisher-place":"Fort Belvoir, VA","source":"DOI.org (Crossref)","title":"Restoring Eelgrass (Zostera marina) from Seed: A Comparison of Planting Methods for Large-Scale Projects:","title-short":"Restoring Eelgrass (Zostera marina) from Seed","URL":"http://www.dtic.mil/docs/citations/ADA478894","author":[{"family":"Orth","given":"Robert"},{"family":"Marion","given":"Scott"},{"family":"Granger","given":"Steven"},{"family":"Traber","given":"Michael"}],"accessed":{"date-parts":[["2023",12,11]]},"issued":{"date-parts":[["2008",3,1]]}}},{"id":649,"uris":["http://zotero.org/users/7222876/items/PH8SY5IQ"],"itemData":{"id":649,"type":"article-journal","container-title":"Restoration Ecology","DOI":"10.1111/j.1526-100X.2010.00692.x","ISSN":"10612971, 1526100X","issue":"4","language":"en","page":"514-526","source":"DOI.org (Crossref)","title":"Innovative Techniques for Large-scale Seagrass Restoration Using Zostera marina (eelgrass) Seeds","volume":"18","author":[{"family":"Marion","given":"Scott R."},{"family":"Orth","given":"Robert J."}],"issued":{"date-parts":[["2010"]]}}}],"schema":"https://github.com/citation-style-language/schema/raw/master/csl-citation.json"} </w:instrText>
      </w:r>
      <w:r w:rsidR="001C2F92">
        <w:rPr>
          <w:rFonts w:cstheme="minorHAnsi"/>
        </w:rPr>
        <w:fldChar w:fldCharType="separate"/>
      </w:r>
      <w:r w:rsidR="00CF6710" w:rsidRPr="00CF6710">
        <w:rPr>
          <w:rFonts w:ascii="Calibri" w:hAnsi="Calibri" w:cs="Calibri"/>
        </w:rPr>
        <w:t>(Traber, Granger, and Nixon 2003; Orth et al. 2008; Marion and Orth 2010)</w:t>
      </w:r>
      <w:r w:rsidR="001C2F92">
        <w:rPr>
          <w:rFonts w:cstheme="minorHAnsi"/>
        </w:rPr>
        <w:fldChar w:fldCharType="end"/>
      </w:r>
      <w:r w:rsidR="001C2F92">
        <w:rPr>
          <w:rFonts w:cstheme="minorHAnsi"/>
        </w:rPr>
        <w:t xml:space="preserve"> </w:t>
      </w:r>
      <w:r w:rsidR="00A20DE7">
        <w:rPr>
          <w:rFonts w:cstheme="minorHAnsi"/>
        </w:rPr>
        <w:t xml:space="preserve">and more recently in </w:t>
      </w:r>
      <w:r w:rsidR="001C2F92">
        <w:rPr>
          <w:rFonts w:cstheme="minorHAnsi"/>
        </w:rPr>
        <w:t>T</w:t>
      </w:r>
      <w:r w:rsidR="00A20DE7">
        <w:rPr>
          <w:rFonts w:cstheme="minorHAnsi"/>
        </w:rPr>
        <w:t>he Netherlands</w:t>
      </w:r>
      <w:r w:rsidR="00027A42">
        <w:rPr>
          <w:rFonts w:cstheme="minorHAnsi"/>
        </w:rPr>
        <w:t xml:space="preserve"> </w:t>
      </w:r>
      <w:r w:rsidR="00027A42">
        <w:rPr>
          <w:rFonts w:cstheme="minorHAnsi"/>
        </w:rPr>
        <w:fldChar w:fldCharType="begin"/>
      </w:r>
      <w:r w:rsidR="00CF6710">
        <w:rPr>
          <w:rFonts w:cstheme="minorHAnsi"/>
        </w:rPr>
        <w:instrText xml:space="preserve"> ADDIN ZOTERO_ITEM CSL_CITATION {"citationID":"cyIZllmu","properties":{"formattedCitation":"(Govers et al. 2022; Gr\\uc0\\u228{}fnings et al. 2023)","plainCitation":"(Govers et al. 2022; Gräfnings et al. 2023)","noteIndex":0},"citationItems":[{"id":586,"uris":["http://zotero.org/users/7222876/items/ELLA77B6"],"itemData":{"id":586,"type":"article-journal","abstract":"Seagrasses form the foundation of many coastal ecosystems but are rapidly declining on a global scale. The Dutch Wadden Sea once supported extensive subtidal seagrass meadows that have all disappeared. Here, we report on the setbacks and successes of intertidal seed-based restoration experiments in the Dutch Wadden Sea between 2014–2017. Our main goals were to 1) optimize plant densities, and 2) reduce seed losses. To achieve our goals, we conducted research-based, adaptive seagrass (Zostera marina) restoration, adjusting methods yearly based on previous results. We applied various seeding methods in three subsequent years–from Buoy Deployed Seeding (BuDS), and ‘BuDS-in-frame’ in fall, to a newly developed ‘Dispenser Injection Seeding’ (DIS) method. Our adaptive experimental approach revealed high seed losses between seeding and seedling establishment of the BuDS methods (&gt;99.9%), which we mitigated by controlled harvest and storage of seeds throughout fall and winter, followed by DIS-seeding in spring. These iterative innovations resulted in 83 times higher plant densities in the field (0.012 to 1.00 plants m-2) and a small reduction in seed loss (99.94 to 99.75%) between 2015–2017. Although these developments have not yet resulted in self-sustaining seagrass populations, we are one step closer towards upscaling seagrass restoration in the Dutch Wadden Sea. Our outcomes suggest that an iterative, research-based restoration approach that focuses on technological advancement of precision-seeding may result in advancing knowledge and improved seed-based seagrass restoration successes.","container-title":"PLOS ONE","DOI":"10.1371/journal.pone.0262845","ISSN":"1932-6203","issue":"2","journalAbbreviation":"PLoS ONE","language":"en","page":"e0262845","source":"DOI.org (Crossref)","title":"Adaptive intertidal seed-based seagrass restoration in the Dutch Wadden Sea","volume":"17","author":[{"family":"Govers","given":"Laura L."},{"family":"Heusinkveld","given":"Jannes H. T."},{"family":"Gräfnings","given":"Max L. E."},{"family":"Smeele","given":"Quirin"},{"family":"Heide","given":"Tjisse","non-dropping-particle":"van der"}],"editor":[{"family":"Chapman","given":"Maura (Gee) Geraldine"}],"issued":{"date-parts":[["2022",2,9]]}}},{"id":643,"uris":["http://zotero.org/users/7222876/items/XS9TKCJS"],"itemData":{"id":643,"type":"article-journal","abstract":"Due to the major declines of seagrasses worldwide, there is an urgent need for effective restoration methods and strategies. In the Dutch Wadden Sea, intertidal seagrass restoration has proven very challenging, despite numerous restoration trials with different restoration methods. Recently, however, the ﬁrst ﬁeld trial performed with a newly developed “dispenser injection seeding” method (DIS) resulted in record-high plant densities and seed recruitment. Here, we present the further development of the methodology and consequently improved restoration results. During two consecutive growing seasons, we honed the seeding technique and experimentally investigated how seeding depth (2/4 cm), injection density (25/100 injects/m2), and seed amount (2/20 seeds/inject) affected restoration of intertidal annual Zostera marina. We found that all variables had a signiﬁcant impact on plant establishment. Seeding deeper (4 cm) had the largest positive effect on restored plant densities, while lowered seed densities (2 seeds/inject) had the largest positive impact on seed recruitment. The optimized DIS method, combined with an altered placement of the seeding hole, resulted in a 50-fold increase in restored plant densities (from approximately 1 to 57 plants/m2) and a simultaneous increase in seed recruitment (from 0.3 to 11.4%). These improvements stem from the method’s ability to counteract a recruitment bottleneck, where seeds are lost through hydrodynamic forcing. The methodological improvements described here are important steps toward restoring self-sustaining seagrass populations in the future and our study demonstrates the high potential of the seed-based DIS method for seagrass restoration.","container-title":"Restoration Ecology","DOI":"10.1111/rec.13851","ISSN":"1061-2971, 1526-100X","issue":"3","journalAbbreviation":"Restoration Ecology","language":"en","page":"e13851","source":"DOI.org (Crossref)","title":"Optimizing seed injection as a seagrass restoration method","volume":"31","author":[{"family":"Gräfnings","given":"Max L. E."},{"family":"Heusinkveld","given":"Jannes H. T."},{"family":"Hoeijmakers","given":"Dieuwke J. J."},{"family":"Smeele","given":"Quirin"},{"family":"Wiersema","given":"Henk"},{"family":"Zwarts","given":"Maarten"},{"family":"Heide","given":"Tjisse","non-dropping-particle":"van der"},{"family":"Govers","given":"Laura L."}],"issued":{"date-parts":[["2023",3]]}}}],"schema":"https://github.com/citation-style-language/schema/raw/master/csl-citation.json"} </w:instrText>
      </w:r>
      <w:r w:rsidR="00027A42">
        <w:rPr>
          <w:rFonts w:cstheme="minorHAnsi"/>
        </w:rPr>
        <w:fldChar w:fldCharType="separate"/>
      </w:r>
      <w:r w:rsidR="00CF6710" w:rsidRPr="00CF6710">
        <w:rPr>
          <w:rFonts w:ascii="Calibri" w:hAnsi="Calibri" w:cs="Calibri"/>
          <w:szCs w:val="24"/>
        </w:rPr>
        <w:t>(Govers et al. 2022; Gräfnings et al. 2023)</w:t>
      </w:r>
      <w:r w:rsidR="00027A42">
        <w:rPr>
          <w:rFonts w:cstheme="minorHAnsi"/>
        </w:rPr>
        <w:fldChar w:fldCharType="end"/>
      </w:r>
      <w:r>
        <w:rPr>
          <w:rFonts w:cstheme="minorHAnsi"/>
        </w:rPr>
        <w:t xml:space="preserve"> </w:t>
      </w:r>
      <w:r w:rsidR="00DA0934">
        <w:rPr>
          <w:rFonts w:cstheme="minorHAnsi"/>
        </w:rPr>
        <w:t xml:space="preserve">– </w:t>
      </w:r>
      <w:r w:rsidR="001C2F92">
        <w:rPr>
          <w:rFonts w:cstheme="minorHAnsi"/>
        </w:rPr>
        <w:t xml:space="preserve">are </w:t>
      </w:r>
      <w:r w:rsidR="00027A42">
        <w:rPr>
          <w:rFonts w:cstheme="minorHAnsi"/>
        </w:rPr>
        <w:t xml:space="preserve">very effective </w:t>
      </w:r>
      <w:r w:rsidR="00E05EC8">
        <w:rPr>
          <w:rFonts w:cstheme="minorHAnsi"/>
        </w:rPr>
        <w:t xml:space="preserve">seagrass planting </w:t>
      </w:r>
      <w:r w:rsidR="00027A42">
        <w:rPr>
          <w:rFonts w:cstheme="minorHAnsi"/>
        </w:rPr>
        <w:t>technique</w:t>
      </w:r>
      <w:r w:rsidR="001C2F92">
        <w:rPr>
          <w:rFonts w:cstheme="minorHAnsi"/>
        </w:rPr>
        <w:t>s</w:t>
      </w:r>
      <w:r w:rsidR="00DA0934">
        <w:rPr>
          <w:rFonts w:cstheme="minorHAnsi"/>
        </w:rPr>
        <w:t xml:space="preserve"> </w:t>
      </w:r>
      <w:r w:rsidR="00E05EC8">
        <w:rPr>
          <w:rFonts w:cstheme="minorHAnsi"/>
        </w:rPr>
        <w:t xml:space="preserve">in addition to </w:t>
      </w:r>
      <w:r>
        <w:rPr>
          <w:rFonts w:cstheme="minorHAnsi"/>
        </w:rPr>
        <w:t>planting biodegradable bags</w:t>
      </w:r>
      <w:r w:rsidR="00027A42">
        <w:rPr>
          <w:rFonts w:cstheme="minorHAnsi"/>
        </w:rPr>
        <w:t xml:space="preserve">. Furthermore, </w:t>
      </w:r>
      <w:r w:rsidR="00E05EC8">
        <w:rPr>
          <w:rFonts w:cstheme="minorHAnsi"/>
        </w:rPr>
        <w:t xml:space="preserve">through our aquarium-based </w:t>
      </w:r>
      <w:r w:rsidR="0068122B">
        <w:rPr>
          <w:rFonts w:cstheme="minorHAnsi"/>
        </w:rPr>
        <w:t>research</w:t>
      </w:r>
      <w:r w:rsidR="00E05EC8">
        <w:rPr>
          <w:rFonts w:cstheme="minorHAnsi"/>
        </w:rPr>
        <w:t xml:space="preserve"> </w:t>
      </w:r>
      <w:r w:rsidR="00027A42">
        <w:rPr>
          <w:rFonts w:cstheme="minorHAnsi"/>
        </w:rPr>
        <w:t xml:space="preserve">we are developing a promising </w:t>
      </w:r>
      <w:r>
        <w:rPr>
          <w:rFonts w:cstheme="minorHAnsi"/>
        </w:rPr>
        <w:t>technique</w:t>
      </w:r>
      <w:r w:rsidR="0068122B">
        <w:rPr>
          <w:rFonts w:cstheme="minorHAnsi"/>
        </w:rPr>
        <w:t xml:space="preserve"> to plant seagrass seeds with the use of seed balls</w:t>
      </w:r>
      <w:r>
        <w:rPr>
          <w:rFonts w:cstheme="minorHAnsi"/>
        </w:rPr>
        <w:t xml:space="preserve"> </w:t>
      </w:r>
      <w:r w:rsidR="00E05EC8">
        <w:rPr>
          <w:rFonts w:cstheme="minorHAnsi"/>
        </w:rPr>
        <w:fldChar w:fldCharType="begin"/>
      </w:r>
      <w:r w:rsidR="00E05EC8">
        <w:rPr>
          <w:rFonts w:cstheme="minorHAnsi"/>
        </w:rPr>
        <w:instrText xml:space="preserve"> ADDIN ZOTERO_ITEM CSL_CITATION {"citationID":"v9R2Vyem","properties":{"formattedCitation":"(based on previous work, including Xu et al. 2022)","plainCitation":"(based on previous work, including Xu et al. 2022)","noteIndex":0},"citationItems":[{"id":587,"uris":["http://zotero.org/users/7222876/items/MVS2MHA8"],"itemData":{"id":587,"type":"article-journal","abstract":"As seagrass bed restoration by seeding becomes more common, it is necessary to develop a simple and reliable method to improve the efﬁciency of seed-based restoration. In this study, we describe a novel method using seed ball burial for eelgrass restoration. Using this method, seeds were wrapped in a wet mud ball, which represented a transplant unit, and the balls were then buried in the sediment. Three experiments (proof of concept study, main study, and large-scale restoration) were conducted to test this method at three degraded sites (Rizhao, Qingdao, and Tangshan) with different environmental conditions. The density of seedlings and seedling shoots was 54 and 110 per m2, respectively, in Rizhao, a site with coarser sediment and higher temperatures. Seedling survival in Qingdao reached 46.67 Æ 9.46%. Relatively low seedling survival (26.67 Æ 7.03%) in Tangshan was induced by local waves and currents. Seedling survival was also low (ca. 15% in April and 2% in July) at the large-scale restoration site , reﬂecting a mismatch between the environment at this site and the seed ball restoration method. In conclusion, our study provides evidence of the effectiveness of a novel seagrass seed planting method referred to as seed balls.","container-title":"Restoration Ecology","DOI":"10.1111/rec.13691","ISSN":"1061-2971, 1526-100X","journalAbbreviation":"Restoration Ecology","language":"en","source":"DOI.org (Crossref)","title":"Seagrass restoration using seed ball burial in northern China","URL":"https://onlinelibrary.wiley.com/doi/10.1111/rec.13691","author":[{"family":"Xu","given":"Shaochun"},{"family":"Zhou","given":"Yi"},{"family":"Qiao","given":"Yongliang"},{"family":"Yue","given":"Shidong"},{"family":"Zhang","given":"Xiaomei"},{"family":"Zhang","given":"Yu"},{"family":"Liu","given":"Mingjie"},{"family":"Zhang","given":"Yunling"},{"family":"Zhang","given":"Zhenhai"}],"accessed":{"date-parts":[["2022",11,26]]},"issued":{"date-parts":[["2022",4,12]]}},"label":"page","prefix":"based on previous work, including"}],"schema":"https://github.com/citation-style-language/schema/raw/master/csl-citation.json"} </w:instrText>
      </w:r>
      <w:r w:rsidR="00E05EC8">
        <w:rPr>
          <w:rFonts w:cstheme="minorHAnsi"/>
        </w:rPr>
        <w:fldChar w:fldCharType="separate"/>
      </w:r>
      <w:r w:rsidR="00E05EC8" w:rsidRPr="00E05EC8">
        <w:rPr>
          <w:rFonts w:ascii="Calibri" w:hAnsi="Calibri" w:cs="Calibri"/>
        </w:rPr>
        <w:t>(based on previous work, including Xu et al. 2022)</w:t>
      </w:r>
      <w:r w:rsidR="00E05EC8">
        <w:rPr>
          <w:rFonts w:cstheme="minorHAnsi"/>
        </w:rPr>
        <w:fldChar w:fldCharType="end"/>
      </w:r>
      <w:r w:rsidR="0068122B">
        <w:rPr>
          <w:rFonts w:cstheme="minorHAnsi"/>
        </w:rPr>
        <w:t>;</w:t>
      </w:r>
      <w:r w:rsidR="00E05EC8">
        <w:rPr>
          <w:rFonts w:cstheme="minorHAnsi"/>
        </w:rPr>
        <w:t xml:space="preserve"> these have shown success in the aquarium-based and small-scale field-based trials</w:t>
      </w:r>
      <w:r>
        <w:rPr>
          <w:rFonts w:cstheme="minorHAnsi"/>
        </w:rPr>
        <w:t xml:space="preserve">. Hence, </w:t>
      </w:r>
      <w:r w:rsidR="00027A42">
        <w:rPr>
          <w:rFonts w:cstheme="minorHAnsi"/>
        </w:rPr>
        <w:t>through this amendment, we would like to make it possible to use these techniques at scale</w:t>
      </w:r>
      <w:r w:rsidR="00861FB0">
        <w:rPr>
          <w:rFonts w:cstheme="minorHAnsi"/>
        </w:rPr>
        <w:t xml:space="preserve"> and </w:t>
      </w:r>
      <w:r w:rsidR="005614D8">
        <w:rPr>
          <w:rFonts w:cstheme="minorHAnsi"/>
        </w:rPr>
        <w:t xml:space="preserve">thereby </w:t>
      </w:r>
      <w:r w:rsidR="00861FB0">
        <w:rPr>
          <w:rFonts w:cstheme="minorHAnsi"/>
        </w:rPr>
        <w:t xml:space="preserve">increase our effectiveness in </w:t>
      </w:r>
      <w:r w:rsidR="00DC37FC">
        <w:rPr>
          <w:rFonts w:cstheme="minorHAnsi"/>
        </w:rPr>
        <w:t xml:space="preserve">restoring </w:t>
      </w:r>
      <w:r w:rsidR="00861FB0">
        <w:rPr>
          <w:rFonts w:cstheme="minorHAnsi"/>
        </w:rPr>
        <w:t>seagrass meadows</w:t>
      </w:r>
      <w:r w:rsidR="00680B34">
        <w:rPr>
          <w:rFonts w:cstheme="minorHAnsi"/>
        </w:rPr>
        <w:t xml:space="preserve"> in North Wales</w:t>
      </w:r>
      <w:r w:rsidR="00027A42">
        <w:rPr>
          <w:rFonts w:cstheme="minorHAnsi"/>
        </w:rPr>
        <w:t>.</w:t>
      </w:r>
      <w:r w:rsidR="0074207E">
        <w:rPr>
          <w:rFonts w:cstheme="minorHAnsi"/>
        </w:rPr>
        <w:br/>
      </w:r>
      <w:r w:rsidR="0074207E">
        <w:rPr>
          <w:rFonts w:cstheme="minorHAnsi"/>
        </w:rPr>
        <w:br/>
      </w:r>
      <w:r w:rsidR="00E05EC8" w:rsidRPr="00E05EC8">
        <w:rPr>
          <w:rFonts w:cstheme="minorHAnsi"/>
          <w:b/>
          <w:bCs/>
        </w:rPr>
        <w:t>Detail</w:t>
      </w:r>
      <w:r w:rsidR="007674C2">
        <w:rPr>
          <w:rFonts w:cstheme="minorHAnsi"/>
          <w:b/>
          <w:bCs/>
        </w:rPr>
        <w:t>ed request</w:t>
      </w:r>
      <w:r w:rsidR="00E05EC8">
        <w:rPr>
          <w:rFonts w:cstheme="minorHAnsi"/>
          <w:b/>
          <w:bCs/>
        </w:rPr>
        <w:t>: sled for seed injection</w:t>
      </w:r>
    </w:p>
    <w:p w14:paraId="571D6FD0" w14:textId="0803FC5A" w:rsidR="00DE4E76" w:rsidRDefault="00E05EC8" w:rsidP="00E42C72">
      <w:pPr>
        <w:spacing w:after="0" w:line="240" w:lineRule="auto"/>
        <w:rPr>
          <w:rFonts w:eastAsia="Times New Roman" w:cstheme="minorHAnsi"/>
        </w:rPr>
      </w:pPr>
      <w:r>
        <w:rPr>
          <w:rFonts w:eastAsia="Times New Roman" w:cstheme="minorHAnsi"/>
        </w:rPr>
        <w:t>We obtained this sled from the</w:t>
      </w:r>
      <w:r w:rsidR="003119B9" w:rsidRPr="003119B9">
        <w:t xml:space="preserve"> </w:t>
      </w:r>
      <w:r w:rsidR="003119B9" w:rsidRPr="003119B9">
        <w:rPr>
          <w:rFonts w:eastAsia="Times New Roman" w:cstheme="minorHAnsi"/>
        </w:rPr>
        <w:t>University of Rhode Island</w:t>
      </w:r>
      <w:r w:rsidR="0098091D">
        <w:rPr>
          <w:rFonts w:eastAsia="Times New Roman" w:cstheme="minorHAnsi"/>
        </w:rPr>
        <w:t xml:space="preserve">; this sled has been </w:t>
      </w:r>
      <w:r w:rsidR="00584205">
        <w:rPr>
          <w:rFonts w:eastAsia="Times New Roman" w:cstheme="minorHAnsi"/>
        </w:rPr>
        <w:t xml:space="preserve">thoroughly </w:t>
      </w:r>
      <w:r w:rsidR="0098091D">
        <w:rPr>
          <w:rFonts w:eastAsia="Times New Roman" w:cstheme="minorHAnsi"/>
        </w:rPr>
        <w:t>tested, used, and</w:t>
      </w:r>
      <w:r w:rsidR="00AF42D3">
        <w:rPr>
          <w:rFonts w:eastAsia="Times New Roman" w:cstheme="minorHAnsi"/>
        </w:rPr>
        <w:t xml:space="preserve"> its method has been</w:t>
      </w:r>
      <w:r w:rsidR="0098091D">
        <w:rPr>
          <w:rFonts w:eastAsia="Times New Roman" w:cstheme="minorHAnsi"/>
        </w:rPr>
        <w:t xml:space="preserve"> published </w:t>
      </w:r>
      <w:r w:rsidR="0098091D">
        <w:rPr>
          <w:rFonts w:eastAsia="Times New Roman" w:cstheme="minorHAnsi"/>
        </w:rPr>
        <w:fldChar w:fldCharType="begin"/>
      </w:r>
      <w:r w:rsidR="00877216">
        <w:rPr>
          <w:rFonts w:eastAsia="Times New Roman" w:cstheme="minorHAnsi"/>
        </w:rPr>
        <w:instrText xml:space="preserve"> ADDIN ZOTERO_ITEM CSL_CITATION {"citationID":"16xh5g0S","properties":{"formattedCitation":"(Orth et al. 2008; Traber, Granger, and Nixon 2003)","plainCitation":"(Orth et al. 2008; Traber, Granger, and Nixon 2003)","noteIndex":0},"citationItems":[{"id":645,"uris":["http://zotero.org/users/7222876/items/IW6HHVFL"],"itemData":{"id":645,"type":"report","abstract":"Few seagrass transplant projects worldwide have relied on seeds, and those projects using Zostera marina (eelgrass) seeds have generally found low rates of seedling establishment (&lt;10%). We compared seedling establishment achieved by a mechanical seed planter with seeds broadcast on the sediment surface by hand. The planter injected seeds into the sediment by pumping the seeds, suspended in a gelatin-based matrix, to a benthic sled with eight planting nozzles. As a control for the gel, seeds were also injected into the sediment without gel using a hand-held pipette. Seeds were planted at a density of 300 mÀ2 into six replicate plots at each of three sites in the Chesapeake Bay region in September 2005, with seedling establishment measured in April 2006. Burying seeds, either with or without gel, had an overall positive effect on seedling establishment, but the effectiveness and the best method varied among sites. Mean seedling establishment for machine-planted seeds was signiﬁcantly greater than for broadcast seeds at the Piankatank River site (4% vs. 1%), but not at the York (1.2% vs. 1.4%) or Spider Crab Bay (10.1% vs. 7.4%) sites. The effect of the gel was inconsistent among sites, with the highest seedling establishment (18.8%), resulting from seeds injected by pipette without gel at the Spider Crab site. Seed burial shows promise for increasing seedling establishment relative to seed broadcasting in the Chesapeake region, but further investigation of seed–sediment interactions at speciﬁc restoration sites is necessary. Low seedling establishment rates remain a bottleneck for seed-based eelgrass restoration.","event-place":"Fort Belvoir, VA","language":"en","note":"DOI: 10.21236/ADA478894","publisher":"Defense Technical Information Center","publisher-place":"Fort Belvoir, VA","source":"DOI.org (Crossref)","title":"Restoring Eelgrass (Zostera marina) from Seed: A Comparison of Planting Methods for Large-Scale Projects:","title-short":"Restoring Eelgrass (Zostera marina) from Seed","URL":"http://www.dtic.mil/docs/citations/ADA478894","author":[{"family":"Orth","given":"Robert"},{"family":"Marion","given":"Scott"},{"family":"Granger","given":"Steven"},{"family":"Traber","given":"Michael"}],"accessed":{"date-parts":[["2023",12,11]]},"issued":{"date-parts":[["2008",3,1]]}}},{"id":646,"uris":["http://zotero.org/users/7222876/items/Q25LVRJB"],"itemData":{"id":646,"type":"article-journal","container-title":"Ecological Restoration","page":"213-214","title":"Mechanical seeder provides alternative method for restoring eelgrass habitat (Rhode Island)","volume":"21","author":[{"family":"Traber","given":"Michael"},{"family":"Granger","given":"Steven"},{"family":"Nixon","given":"S"}],"issued":{"date-parts":[["2003"]]}}}],"schema":"https://github.com/citation-style-language/schema/raw/master/csl-citation.json"} </w:instrText>
      </w:r>
      <w:r w:rsidR="0098091D">
        <w:rPr>
          <w:rFonts w:eastAsia="Times New Roman" w:cstheme="minorHAnsi"/>
        </w:rPr>
        <w:fldChar w:fldCharType="separate"/>
      </w:r>
      <w:r w:rsidR="00877216" w:rsidRPr="00877216">
        <w:rPr>
          <w:rFonts w:ascii="Calibri" w:hAnsi="Calibri" w:cs="Calibri"/>
        </w:rPr>
        <w:t>(Orth et al. 2008; Traber, Granger, and Nixon 2003)</w:t>
      </w:r>
      <w:r w:rsidR="0098091D">
        <w:rPr>
          <w:rFonts w:eastAsia="Times New Roman" w:cstheme="minorHAnsi"/>
        </w:rPr>
        <w:fldChar w:fldCharType="end"/>
      </w:r>
      <w:r w:rsidR="0098091D">
        <w:rPr>
          <w:rFonts w:eastAsia="Times New Roman" w:cstheme="minorHAnsi"/>
        </w:rPr>
        <w:t xml:space="preserve"> </w:t>
      </w:r>
      <w:r w:rsidR="003119B9">
        <w:rPr>
          <w:rFonts w:eastAsia="Times New Roman" w:cstheme="minorHAnsi"/>
        </w:rPr>
        <w:t>to</w:t>
      </w:r>
      <w:r w:rsidR="0068122B">
        <w:rPr>
          <w:rFonts w:eastAsia="Times New Roman" w:cstheme="minorHAnsi"/>
        </w:rPr>
        <w:t xml:space="preserve"> inject a mixture of </w:t>
      </w:r>
      <w:proofErr w:type="spellStart"/>
      <w:r w:rsidR="0068122B">
        <w:rPr>
          <w:rFonts w:eastAsia="Times New Roman" w:cstheme="minorHAnsi"/>
        </w:rPr>
        <w:t>gelatin</w:t>
      </w:r>
      <w:proofErr w:type="spellEnd"/>
      <w:r w:rsidR="0068122B">
        <w:rPr>
          <w:rFonts w:eastAsia="Times New Roman" w:cstheme="minorHAnsi"/>
        </w:rPr>
        <w:t xml:space="preserve"> and seagrass seeds into the seabed and</w:t>
      </w:r>
      <w:r w:rsidR="003119B9">
        <w:rPr>
          <w:rFonts w:eastAsia="Times New Roman" w:cstheme="minorHAnsi"/>
        </w:rPr>
        <w:t xml:space="preserve"> successfully restore seagrass meadows</w:t>
      </w:r>
      <w:r w:rsidR="0098091D">
        <w:rPr>
          <w:rFonts w:eastAsia="Times New Roman" w:cstheme="minorHAnsi"/>
        </w:rPr>
        <w:t xml:space="preserve"> in the United States</w:t>
      </w:r>
      <w:r w:rsidR="00E42C72">
        <w:rPr>
          <w:rFonts w:eastAsia="Times New Roman" w:cstheme="minorHAnsi"/>
        </w:rPr>
        <w:t>.</w:t>
      </w:r>
      <w:r>
        <w:rPr>
          <w:rFonts w:eastAsia="Times New Roman" w:cstheme="minorHAnsi"/>
        </w:rPr>
        <w:t xml:space="preserve"> </w:t>
      </w:r>
      <w:r w:rsidR="0098091D">
        <w:rPr>
          <w:rFonts w:eastAsia="Times New Roman" w:cstheme="minorHAnsi"/>
        </w:rPr>
        <w:t xml:space="preserve">When </w:t>
      </w:r>
      <w:r w:rsidR="0068122B">
        <w:rPr>
          <w:rFonts w:eastAsia="Times New Roman" w:cstheme="minorHAnsi"/>
        </w:rPr>
        <w:t xml:space="preserve">it is towed, the sled opens shallow furrows (the depth can be adjusted based on local sediment conditions), into which the abovementioned mixture is injected </w:t>
      </w:r>
      <w:r w:rsidR="0098091D">
        <w:rPr>
          <w:rFonts w:eastAsia="Times New Roman" w:cstheme="minorHAnsi"/>
        </w:rPr>
        <w:t>through a peristaltic pump operated from the boat</w:t>
      </w:r>
      <w:r w:rsidR="0068122B">
        <w:rPr>
          <w:rFonts w:eastAsia="Times New Roman" w:cstheme="minorHAnsi"/>
        </w:rPr>
        <w:t>, and the furrow is closed again afterwards.</w:t>
      </w:r>
      <w:r w:rsidR="00DE4E76">
        <w:rPr>
          <w:rFonts w:eastAsia="Times New Roman" w:cstheme="minorHAnsi"/>
        </w:rPr>
        <w:t xml:space="preserve"> </w:t>
      </w:r>
      <w:r w:rsidR="00196EA6">
        <w:rPr>
          <w:rFonts w:eastAsia="Times New Roman" w:cstheme="minorHAnsi"/>
        </w:rPr>
        <w:t>The sled is 1 metre in width.</w:t>
      </w:r>
      <w:r w:rsidR="00196EA6">
        <w:t xml:space="preserve"> </w:t>
      </w:r>
      <w:r w:rsidR="00196EA6" w:rsidRPr="00196EA6">
        <w:rPr>
          <w:rFonts w:eastAsia="Times New Roman" w:cstheme="minorHAnsi"/>
        </w:rPr>
        <w:t>The planting depth is a few centimetres and can be adjusted based on local sediment conditions.</w:t>
      </w:r>
    </w:p>
    <w:p w14:paraId="74E5C930" w14:textId="77777777" w:rsidR="00DE4E76" w:rsidRDefault="00DE4E76" w:rsidP="00E42C72">
      <w:pPr>
        <w:spacing w:after="0" w:line="240" w:lineRule="auto"/>
        <w:rPr>
          <w:rFonts w:eastAsia="Times New Roman" w:cstheme="minorHAnsi"/>
        </w:rPr>
      </w:pPr>
    </w:p>
    <w:p w14:paraId="56547A88" w14:textId="4A735237" w:rsidR="00DE4E76" w:rsidRDefault="00DE4E76" w:rsidP="00E42C72">
      <w:pPr>
        <w:spacing w:after="0" w:line="240" w:lineRule="auto"/>
        <w:rPr>
          <w:rFonts w:eastAsia="Times New Roman" w:cstheme="minorHAnsi"/>
        </w:rPr>
      </w:pPr>
      <w:r>
        <w:rPr>
          <w:rFonts w:eastAsia="Times New Roman" w:cstheme="minorHAnsi"/>
        </w:rPr>
        <w:t>Our aim with this sled</w:t>
      </w:r>
      <w:r w:rsidR="002D723E">
        <w:rPr>
          <w:rFonts w:eastAsia="Times New Roman" w:cstheme="minorHAnsi"/>
        </w:rPr>
        <w:t>, or an adapted version with the</w:t>
      </w:r>
      <w:r>
        <w:rPr>
          <w:rFonts w:eastAsia="Times New Roman" w:cstheme="minorHAnsi"/>
        </w:rPr>
        <w:t xml:space="preserve"> </w:t>
      </w:r>
      <w:r w:rsidR="002D723E">
        <w:rPr>
          <w:rFonts w:eastAsia="Times New Roman" w:cstheme="minorHAnsi"/>
        </w:rPr>
        <w:t>same functionality, is to</w:t>
      </w:r>
      <w:r>
        <w:rPr>
          <w:rFonts w:eastAsia="Times New Roman" w:cstheme="minorHAnsi"/>
        </w:rPr>
        <w:t>:</w:t>
      </w:r>
    </w:p>
    <w:p w14:paraId="35DA59B1" w14:textId="31EE8F32" w:rsidR="00DE4E76" w:rsidRDefault="00DE4E76" w:rsidP="00DE4E76">
      <w:pPr>
        <w:pStyle w:val="ListParagraph"/>
        <w:numPr>
          <w:ilvl w:val="0"/>
          <w:numId w:val="6"/>
        </w:numPr>
        <w:spacing w:after="0" w:line="240" w:lineRule="auto"/>
        <w:rPr>
          <w:rFonts w:eastAsia="Times New Roman" w:cstheme="minorHAnsi"/>
        </w:rPr>
      </w:pPr>
      <w:r>
        <w:rPr>
          <w:rFonts w:eastAsia="Times New Roman" w:cstheme="minorHAnsi"/>
        </w:rPr>
        <w:t xml:space="preserve">Use it </w:t>
      </w:r>
      <w:r w:rsidR="00E12EBD">
        <w:rPr>
          <w:rFonts w:eastAsia="Times New Roman" w:cstheme="minorHAnsi"/>
        </w:rPr>
        <w:t xml:space="preserve">within the boundaries of </w:t>
      </w:r>
      <w:r>
        <w:rPr>
          <w:rFonts w:eastAsia="Times New Roman" w:cstheme="minorHAnsi"/>
        </w:rPr>
        <w:t xml:space="preserve">the marine licence areas </w:t>
      </w:r>
      <w:r w:rsidR="00E12EBD">
        <w:rPr>
          <w:rFonts w:eastAsia="Times New Roman" w:cstheme="minorHAnsi"/>
        </w:rPr>
        <w:t>d</w:t>
      </w:r>
      <w:r>
        <w:rPr>
          <w:rFonts w:eastAsia="Times New Roman" w:cstheme="minorHAnsi"/>
        </w:rPr>
        <w:t xml:space="preserve">escribed in </w:t>
      </w:r>
      <w:proofErr w:type="gramStart"/>
      <w:r>
        <w:rPr>
          <w:rFonts w:eastAsia="Times New Roman" w:cstheme="minorHAnsi"/>
        </w:rPr>
        <w:t>DEML2248;</w:t>
      </w:r>
      <w:proofErr w:type="gramEnd"/>
    </w:p>
    <w:p w14:paraId="5B129E6E" w14:textId="34F9BEE7" w:rsidR="00DE4E76" w:rsidRDefault="00DE4E76" w:rsidP="00DE4E76">
      <w:pPr>
        <w:pStyle w:val="ListParagraph"/>
        <w:numPr>
          <w:ilvl w:val="0"/>
          <w:numId w:val="6"/>
        </w:numPr>
        <w:spacing w:after="0" w:line="240" w:lineRule="auto"/>
        <w:rPr>
          <w:rFonts w:eastAsia="Times New Roman" w:cstheme="minorHAnsi"/>
        </w:rPr>
      </w:pPr>
      <w:r>
        <w:rPr>
          <w:rFonts w:eastAsia="Times New Roman" w:cstheme="minorHAnsi"/>
        </w:rPr>
        <w:t xml:space="preserve">Tow it with our boat </w:t>
      </w:r>
      <w:proofErr w:type="spellStart"/>
      <w:proofErr w:type="gramStart"/>
      <w:r>
        <w:rPr>
          <w:rFonts w:eastAsia="Times New Roman" w:cstheme="minorHAnsi"/>
        </w:rPr>
        <w:t>Gwenhidw</w:t>
      </w:r>
      <w:proofErr w:type="spellEnd"/>
      <w:r>
        <w:rPr>
          <w:rFonts w:eastAsia="Times New Roman" w:cstheme="minorHAnsi"/>
        </w:rPr>
        <w:t>;</w:t>
      </w:r>
      <w:proofErr w:type="gramEnd"/>
    </w:p>
    <w:p w14:paraId="4E95274C" w14:textId="044496B2" w:rsidR="001866C8" w:rsidRDefault="00DE4E76" w:rsidP="001866C8">
      <w:pPr>
        <w:pStyle w:val="ListParagraph"/>
        <w:numPr>
          <w:ilvl w:val="0"/>
          <w:numId w:val="6"/>
        </w:numPr>
        <w:spacing w:after="0" w:line="240" w:lineRule="auto"/>
        <w:rPr>
          <w:rFonts w:eastAsia="Times New Roman" w:cstheme="minorHAnsi"/>
        </w:rPr>
      </w:pPr>
      <w:r>
        <w:rPr>
          <w:rFonts w:eastAsia="Times New Roman" w:cstheme="minorHAnsi"/>
        </w:rPr>
        <w:lastRenderedPageBreak/>
        <w:t>U</w:t>
      </w:r>
      <w:r w:rsidRPr="00DE4E76">
        <w:rPr>
          <w:rFonts w:eastAsia="Times New Roman" w:cstheme="minorHAnsi"/>
        </w:rPr>
        <w:t xml:space="preserve">se a mixture of </w:t>
      </w:r>
      <w:r w:rsidR="00E6630C" w:rsidRPr="00DE4E76">
        <w:rPr>
          <w:rFonts w:eastAsia="Times New Roman" w:cstheme="minorHAnsi"/>
          <w:i/>
          <w:iCs/>
        </w:rPr>
        <w:t>Zostera marina</w:t>
      </w:r>
      <w:r w:rsidR="00E6630C" w:rsidRPr="00DE4E76">
        <w:rPr>
          <w:rFonts w:eastAsia="Times New Roman" w:cstheme="minorHAnsi"/>
        </w:rPr>
        <w:t xml:space="preserve"> seeds, </w:t>
      </w:r>
      <w:r w:rsidR="00AD69ED">
        <w:rPr>
          <w:rFonts w:eastAsia="Times New Roman" w:cstheme="minorHAnsi"/>
        </w:rPr>
        <w:t xml:space="preserve">inert </w:t>
      </w:r>
      <w:r w:rsidR="00E6630C" w:rsidRPr="00DE4E76">
        <w:rPr>
          <w:rFonts w:eastAsia="Times New Roman" w:cstheme="minorHAnsi"/>
        </w:rPr>
        <w:t xml:space="preserve">clay powder, </w:t>
      </w:r>
      <w:proofErr w:type="spellStart"/>
      <w:r w:rsidR="00E6630C" w:rsidRPr="00DE4E76">
        <w:rPr>
          <w:rFonts w:eastAsia="Times New Roman" w:cstheme="minorHAnsi"/>
        </w:rPr>
        <w:t>gelatin</w:t>
      </w:r>
      <w:proofErr w:type="spellEnd"/>
      <w:r w:rsidR="00E6630C" w:rsidRPr="00DE4E76">
        <w:rPr>
          <w:rFonts w:eastAsia="Times New Roman" w:cstheme="minorHAnsi"/>
        </w:rPr>
        <w:t xml:space="preserve"> powder, and/or water</w:t>
      </w:r>
      <w:r w:rsidRPr="00DE4E76">
        <w:rPr>
          <w:rFonts w:eastAsia="Times New Roman" w:cstheme="minorHAnsi"/>
        </w:rPr>
        <w:t xml:space="preserve"> to inject into the seabed</w:t>
      </w:r>
      <w:r>
        <w:rPr>
          <w:rFonts w:eastAsia="Times New Roman" w:cstheme="minorHAnsi"/>
        </w:rPr>
        <w:t>;</w:t>
      </w:r>
      <w:r w:rsidR="000B0576">
        <w:rPr>
          <w:rFonts w:eastAsia="Times New Roman" w:cstheme="minorHAnsi"/>
        </w:rPr>
        <w:t xml:space="preserve"> the volume of this mixture </w:t>
      </w:r>
      <w:r w:rsidR="0074207E">
        <w:rPr>
          <w:rFonts w:eastAsia="Times New Roman" w:cstheme="minorHAnsi"/>
        </w:rPr>
        <w:t>that would be injected is</w:t>
      </w:r>
      <w:r w:rsidR="000B0576">
        <w:rPr>
          <w:rFonts w:eastAsia="Times New Roman" w:cstheme="minorHAnsi"/>
        </w:rPr>
        <w:t xml:space="preserve"> </w:t>
      </w:r>
      <w:r w:rsidR="000B0576">
        <w:rPr>
          <w:rFonts w:eastAsia="Times New Roman" w:cstheme="minorHAnsi"/>
          <w:i/>
          <w:iCs/>
        </w:rPr>
        <w:t xml:space="preserve">c. </w:t>
      </w:r>
      <w:r w:rsidR="000B0576">
        <w:rPr>
          <w:rFonts w:eastAsia="Times New Roman" w:cstheme="minorHAnsi"/>
        </w:rPr>
        <w:t>300-400 mL / m</w:t>
      </w:r>
      <w:r w:rsidR="000B0576">
        <w:rPr>
          <w:rFonts w:eastAsia="Times New Roman" w:cstheme="minorHAnsi"/>
          <w:vertAlign w:val="superscript"/>
        </w:rPr>
        <w:t>2</w:t>
      </w:r>
      <w:r w:rsidR="001866C8">
        <w:rPr>
          <w:rFonts w:eastAsia="Times New Roman" w:cstheme="minorHAnsi"/>
        </w:rPr>
        <w:t xml:space="preserve"> along with</w:t>
      </w:r>
      <w:r w:rsidR="00F83D20">
        <w:rPr>
          <w:rFonts w:eastAsia="Times New Roman" w:cstheme="minorHAnsi"/>
        </w:rPr>
        <w:t xml:space="preserve"> </w:t>
      </w:r>
      <w:r w:rsidR="00F83D20">
        <w:rPr>
          <w:rFonts w:eastAsia="Times New Roman" w:cstheme="minorHAnsi"/>
          <w:i/>
          <w:iCs/>
        </w:rPr>
        <w:t xml:space="preserve">c. </w:t>
      </w:r>
      <w:r w:rsidR="00F83D20">
        <w:rPr>
          <w:rFonts w:eastAsia="Times New Roman" w:cstheme="minorHAnsi"/>
        </w:rPr>
        <w:t xml:space="preserve">300-350 </w:t>
      </w:r>
      <w:r w:rsidR="00F83D20" w:rsidRPr="00F83D20">
        <w:rPr>
          <w:rFonts w:eastAsia="Times New Roman" w:cstheme="minorHAnsi"/>
          <w:i/>
          <w:iCs/>
        </w:rPr>
        <w:t>Zostera marina</w:t>
      </w:r>
      <w:r w:rsidR="00F83D20">
        <w:rPr>
          <w:rFonts w:eastAsia="Times New Roman" w:cstheme="minorHAnsi"/>
        </w:rPr>
        <w:t xml:space="preserve"> seeds.</w:t>
      </w:r>
    </w:p>
    <w:p w14:paraId="7F98D2B3" w14:textId="1DC42D9B" w:rsidR="001866C8" w:rsidRPr="001866C8" w:rsidRDefault="001866C8" w:rsidP="001866C8">
      <w:pPr>
        <w:pStyle w:val="ListParagraph"/>
        <w:numPr>
          <w:ilvl w:val="0"/>
          <w:numId w:val="6"/>
        </w:numPr>
        <w:spacing w:after="0" w:line="240" w:lineRule="auto"/>
        <w:rPr>
          <w:rFonts w:eastAsia="Times New Roman" w:cstheme="minorHAnsi"/>
        </w:rPr>
      </w:pPr>
      <w:r>
        <w:rPr>
          <w:rFonts w:eastAsia="Times New Roman" w:cstheme="minorHAnsi"/>
        </w:rPr>
        <w:t>While our aim is to plant seagrass over an area of 10 hectares, we will not spread seagrass seeds homogeneously across 10 hectares</w:t>
      </w:r>
      <w:r w:rsidR="00E179B4">
        <w:rPr>
          <w:rFonts w:eastAsia="Times New Roman" w:cstheme="minorHAnsi"/>
        </w:rPr>
        <w:t xml:space="preserve">. Instead, we will </w:t>
      </w:r>
      <w:r>
        <w:rPr>
          <w:rFonts w:eastAsia="Times New Roman" w:cstheme="minorHAnsi"/>
        </w:rPr>
        <w:t xml:space="preserve">concentrate our seeds in high-density plots, using mechanised and manual planting methods, to establish </w:t>
      </w:r>
      <w:r w:rsidR="00FB57A8">
        <w:rPr>
          <w:rFonts w:eastAsia="Times New Roman" w:cstheme="minorHAnsi"/>
        </w:rPr>
        <w:t xml:space="preserve">dense </w:t>
      </w:r>
      <w:r>
        <w:rPr>
          <w:rFonts w:eastAsia="Times New Roman" w:cstheme="minorHAnsi"/>
        </w:rPr>
        <w:t>seagrass patches</w:t>
      </w:r>
      <w:r w:rsidR="00FB57A8">
        <w:rPr>
          <w:rFonts w:eastAsia="Times New Roman" w:cstheme="minorHAnsi"/>
        </w:rPr>
        <w:t xml:space="preserve"> as density is important to survival success </w:t>
      </w:r>
      <w:r w:rsidR="00FB57A8">
        <w:rPr>
          <w:rFonts w:eastAsia="Times New Roman" w:cstheme="minorHAnsi"/>
        </w:rPr>
        <w:fldChar w:fldCharType="begin"/>
      </w:r>
      <w:r w:rsidR="00CF6710">
        <w:rPr>
          <w:rFonts w:eastAsia="Times New Roman" w:cstheme="minorHAnsi"/>
        </w:rPr>
        <w:instrText xml:space="preserve"> ADDIN ZOTERO_ITEM CSL_CITATION {"citationID":"28fQ62qN","properties":{"formattedCitation":"(Van Katwijk et al. 2016; Maxwell et al. 2017; Dalby et al. 2023)","plainCitation":"(Van Katwijk et al. 2016; Maxwell et al. 2017; Dalby et al. 2023)","noteIndex":0},"citationItems":[{"id":669,"uris":["http://zotero.org/users/7222876/items/YJDS9SWI"],"itemData":{"id":669,"type":"article-journal","abstract":"Summary\n            \n              \n                \n                  In coastal and estuarine systems, foundation species like seagrasses, mangroves, saltmarshes or corals provide important ecosystem services. Seagrasses are globally declining and their reintroduction has been shown to restore ecosystem functions. However, seagrass restoration is often challenging, given the dynamic and stressful environment that seagrasses often grow in.\n                \n                \n                  From our world‐wide meta‐analysis of seagrass restoration trials (1786 trials), we describe general features and best practice for seagrass restoration. We confirm that removal of threats is important prior to replanting. Reduced water quality (mainly eutrophication), and construction activities led to poorer restoration success than, for instance, dredging, local direct impact and natural causes. Proximity to and recovery of donor beds were positively correlated with trial performance. Planting techniques can influence restoration success.\n                \n                \n                  The meta‐analysis shows that both trial survival and seagrass population growth rate in trials that survived are positively affected by the number of plants or seeds initially transplanted. This relationship between restoration scale and restoration success was not related to trial characteristics of the initial restoration. The majority of the seagrass restoration trials have been very small, which may explain the low overall trial survival rate (i.e. estimated 37%).\n                \n                \n                  Successful regrowth of the foundation seagrass species appears to require crossing a minimum threshold of reintroduced individuals. Our study provides the first global field evidence for the requirement of a critical mass for recovery, which may also hold for other foundation species showing strong positive feedback to a dynamic environment.\n                \n                \n                  \n                    Synthesis and applications\n                    . For effective restoration of seagrass foundation species in its typically dynamic, stressful environment, introduction of large numbers is seen to be beneficial and probably serves two purposes. First, a large‐scale planting increases trial survival – large numbers ensure the spread of risks, which is needed to overcome high natural variability. Secondly, a large‐scale trial increases population growth rate by enhancing self‐sustaining feedback, which is generally found in foundation species in stressful environments such as seagrass beds. Thus, by careful site selection and applying appropriate techniques, spreading of risks and enhancing self‐sustaining feedback in concert increase success of seagrass restoration.\n                  \n                \n              \n            \n          , \n            For effective restoration of seagrass foundation species in its typically dynamic, stressful environment, introduction of large numbers is seen to be beneficial and probably serves two purposes. First, a large‐scale planting increases trial survival – large numbers ensure the spread of risks, which is needed to overcome high natural variability. Secondly, a large‐scale trial increases population growth rate by enhancing self‐sustaining feedback, which is generally found in foundation species in stressful environments such as seagrass beds. Thus, by careful site selection and applying appropriate techniques, spreading of risks and enhancing self‐sustaining feedback in concert increase success of seagrass restoration.","container-title":"Journal of Applied Ecology","DOI":"10.1111/1365-2664.12562","ISSN":"0021-8901, 1365-2664","issue":"2","journalAbbreviation":"Journal of Applied Ecology","language":"en","page":"567-578","source":"DOI.org (Crossref)","title":"Global analysis of seagrass restoration: the importance of large‐scale planting","title-short":"Global analysis of seagrass restoration","volume":"53","author":[{"family":"Van Katwijk","given":"Marieke M."},{"family":"Thorhaug","given":"Anitra"},{"family":"Marbà","given":"Núria"},{"family":"Orth","given":"Robert J."},{"family":"Duarte","given":"Carlos M."},{"family":"Kendrick","given":"Gary A."},{"family":"Althuizen","given":"Inge H. J."},{"family":"Balestri","given":"Elena"},{"family":"Bernard","given":"Guillaume"},{"family":"Cambridge","given":"Marion L."},{"family":"Cunha","given":"Alexandra"},{"family":"Durance","given":"Cynthia"},{"family":"Giesen","given":"Wim"},{"family":"Han","given":"Qiuying"},{"family":"Hosokawa","given":"Shinya"},{"family":"Kiswara","given":"Wawan"},{"family":"Komatsu","given":"Teruhisa"},{"family":"Lardicci","given":"Claudio"},{"family":"Lee","given":"Kun‐Seop"},{"family":"Meinesz","given":"Alexandre"},{"family":"Nakaoka","given":"Masahiro"},{"family":"O'Brien","given":"Katherine R."},{"family":"Paling","given":"Erik I."},{"family":"Pickerell","given":"Chris"},{"family":"Ransijn","given":"Aryan M. A."},{"family":"Verduin","given":"Jennifer J."}],"editor":[{"family":"Österblom","given":"Henrik"}],"issued":{"date-parts":[["2016",4]]}}},{"id":651,"uris":["http://zotero.org/users/7222876/items/JD3I9CDT"],"itemData":{"id":651,"type":"article-journal","abstract":"Seagrass meadows are vital ecosystems in coastal zones worldwide, but are also under global threat. One of the major hurdles restricting the success of seagrass conservation and restoration is our limited understanding of ecological feedback mechanisms. In these ecosystems, multiple, self-reinforcing feedbacks can undermine conservation efforts by masking environmental impacts until the decline is precipitous, or alternatively they can inhibit seagrass recovery in spite of restoration efforts. However, no clear framework yet exists for identifying or dealing with feedbacks to improve the management of seagrass ecosystems. Here we review the causes and consequences of multiple feedbacks between seagrass and biotic and/or abiotic processes. We demonstrate how feedbacks have the potential to impose or reinforce regimes of either seagrass dominance or unvegetated substrate, and how the strength and importance of these feedbacks vary across environmental gradients. Although a myriad of feedbacks have now been identiﬁed, the co-occurrence and likely interaction among feedbacks has largely been overlooked to date due to difﬁculties in analysis and detection. Here we take a fundamental step forward by modelling the interactions among two distinct above- and belowground feedbacks to demonstrate that interacting feedbacks are likely to be important for ecosystem resilience. On this basis, we propose a ﬁve-step adaptive management plan to address feedback dynamics for effective conservation and restoration strategies. The management plan provides guidance to aid in the identiﬁcation and prioritisation of likely feedbacks in different seagrass ecosystems.","container-title":"Biological Reviews","DOI":"10.1111/brv.12294","ISSN":"1464-7931, 1469-185X","issue":"3","journalAbbreviation":"Biological Reviews","language":"en","page":"1521-1538","source":"DOI.org (Crossref)","title":"The fundamental role of ecological feedback mechanisms for the adaptive management of seagrass ecosystems – a review","volume":"92","author":[{"family":"Maxwell","given":"Paul S."},{"family":"Eklöf","given":"Johan S."},{"family":"Van Katwijk","given":"Marieke M."},{"family":"O'Brien","given":"Katherine R."},{"family":"De La Torre‐Castro","given":"Maricela"},{"family":"Boström","given":"Christoffer"},{"family":"Bouma","given":"Tjeerd J."},{"family":"Krause‐Jensen","given":"Dorte"},{"family":"Unsworth","given":"Richard K. F."},{"family":"Van Tussenbroek","given":"Brigitta I."},{"family":"Van Der Heide","given":"Tjisse"}],"issued":{"date-parts":[["2017",8]]}}},{"id":654,"uris":["http://zotero.org/users/7222876/items/SCR5MLVK"],"itemData":{"id":654,"type":"article-journal","abstract":"Seagrass ecosystems are ecologically important but are declining worldwide, prompting restoration efforts. However, restoration success is partially reliant on ensuring that donor material and planting methods are suitable under the environmental conditions expected within restoration sites. This may require planting at critical densities needed to initiate favorable environmental feedbacks, ensuring plants are pre‐adapted to local conditions, and setting realistic restoration goals. An understanding of the relationship between local environmental conditions (e.g. the local light environment and seagrass structural complexity) can be particularly important in guiding restoration decision‐making. Here, we investigate how sediment‐light conditions interact with seagrass structural complexity (density and above‐ground morphology) to guide restoration planting approaches for the intertidal seagrass\n              Zostera muelleri\n              . Using generalized additive models and empirical data, we identified significant relationships between the local sediment‐light environment and the structural complexity of\n              Z. muelleri\n              meadows present in Western Port, Victoria, southeast Australia. We found a decrease in shoot density and leaf length with decreasing light availability, potentially reflective of an adaptive change in the species morphology in response to low‐light environments. We also found a decrease in sediment sorting and increased fine particles with increasing meadow structural complexity, suggesting that seagrass structural complexity increases sediment stability, and accretion, and may contribute to local water clarity via ecological feedbacks. These findings suggest that understanding both environmental drivers and the potential for ecological feedbacks to occur is needed before large‐scale planting begins and that restoration targets should reflect the meadow form most likely to occur under the environmental conditions present.","container-title":"Restoration Ecology","DOI":"10.1111/rec.14044","ISSN":"1061-2971, 1526-100X","issue":"8","journalAbbreviation":"Restoration Ecology","language":"en","page":"e14044","source":"DOI.org (Crossref)","title":"Understanding the seagrass‐sediment‐light feedback to guide restoration planning: a case study using &lt;i&gt;Zostera muelleri&lt;/i&gt;","title-short":"Understanding the seagrass‐sediment‐light feedback to guide restoration planning","volume":"31","author":[{"family":"Dalby","given":"Oliver"},{"family":"Coleman","given":"Rhys A."},{"family":"Tan","given":"Yi Mei"},{"family":"Jennings","given":"Geordie"},{"family":"Cook","given":"Perran L. M."},{"family":"Jackson","given":"Emma L."},{"family":"Macreadie","given":"Peter I."},{"family":"Sherman","given":"Craig D. H."}],"issued":{"date-parts":[["2023",11]]}}}],"schema":"https://github.com/citation-style-language/schema/raw/master/csl-citation.json"} </w:instrText>
      </w:r>
      <w:r w:rsidR="00FB57A8">
        <w:rPr>
          <w:rFonts w:eastAsia="Times New Roman" w:cstheme="minorHAnsi"/>
        </w:rPr>
        <w:fldChar w:fldCharType="separate"/>
      </w:r>
      <w:r w:rsidR="00CF6710" w:rsidRPr="00CF6710">
        <w:rPr>
          <w:rFonts w:ascii="Calibri" w:hAnsi="Calibri" w:cs="Calibri"/>
        </w:rPr>
        <w:t>(Van Katwijk et al. 2016; Maxwell et al. 2017; Dalby et al. 2023)</w:t>
      </w:r>
      <w:r w:rsidR="00FB57A8">
        <w:rPr>
          <w:rFonts w:eastAsia="Times New Roman" w:cstheme="minorHAnsi"/>
        </w:rPr>
        <w:fldChar w:fldCharType="end"/>
      </w:r>
      <w:r>
        <w:rPr>
          <w:rFonts w:eastAsia="Times New Roman" w:cstheme="minorHAnsi"/>
        </w:rPr>
        <w:t xml:space="preserve">. </w:t>
      </w:r>
      <w:r w:rsidR="00E179B4">
        <w:rPr>
          <w:rFonts w:eastAsia="Times New Roman" w:cstheme="minorHAnsi"/>
        </w:rPr>
        <w:t xml:space="preserve">Therefore, when injecting seagrass seeds with the abovementioned mixture, the amount of deposited material </w:t>
      </w:r>
      <w:r w:rsidR="00C62F5E">
        <w:rPr>
          <w:rFonts w:eastAsia="Times New Roman" w:cstheme="minorHAnsi"/>
        </w:rPr>
        <w:t xml:space="preserve">(excl. water) </w:t>
      </w:r>
      <w:r w:rsidR="00E179B4">
        <w:rPr>
          <w:rFonts w:eastAsia="Times New Roman" w:cstheme="minorHAnsi"/>
        </w:rPr>
        <w:t xml:space="preserve">per hectare </w:t>
      </w:r>
      <w:r>
        <w:rPr>
          <w:rFonts w:eastAsia="Times New Roman" w:cstheme="minorHAnsi"/>
        </w:rPr>
        <w:t>equate</w:t>
      </w:r>
      <w:r w:rsidR="00E179B4">
        <w:rPr>
          <w:rFonts w:eastAsia="Times New Roman" w:cstheme="minorHAnsi"/>
        </w:rPr>
        <w:t>s</w:t>
      </w:r>
      <w:r>
        <w:rPr>
          <w:rFonts w:eastAsia="Times New Roman" w:cstheme="minorHAnsi"/>
        </w:rPr>
        <w:t xml:space="preserve"> to </w:t>
      </w:r>
      <w:r>
        <w:rPr>
          <w:rFonts w:eastAsia="Times New Roman" w:cstheme="minorHAnsi"/>
          <w:i/>
          <w:iCs/>
        </w:rPr>
        <w:t xml:space="preserve">c. </w:t>
      </w:r>
      <w:r w:rsidR="00E179B4">
        <w:rPr>
          <w:rFonts w:eastAsia="Times New Roman" w:cstheme="minorHAnsi"/>
        </w:rPr>
        <w:t>75</w:t>
      </w:r>
      <w:r>
        <w:rPr>
          <w:rFonts w:eastAsia="Times New Roman" w:cstheme="minorHAnsi"/>
        </w:rPr>
        <w:t>0 kg.</w:t>
      </w:r>
    </w:p>
    <w:p w14:paraId="0EB7E2F5" w14:textId="77777777" w:rsidR="001866C8" w:rsidRPr="001866C8" w:rsidRDefault="001866C8" w:rsidP="001866C8">
      <w:pPr>
        <w:spacing w:after="0" w:line="240" w:lineRule="auto"/>
        <w:rPr>
          <w:rFonts w:eastAsia="Times New Roman" w:cstheme="minorHAnsi"/>
        </w:rPr>
      </w:pPr>
    </w:p>
    <w:p w14:paraId="3030A68A" w14:textId="575F5C9F" w:rsidR="00FA1C0D" w:rsidRDefault="000B0576" w:rsidP="000B0576">
      <w:pPr>
        <w:spacing w:after="0" w:line="240" w:lineRule="auto"/>
        <w:rPr>
          <w:rFonts w:cstheme="minorHAnsi"/>
        </w:rPr>
      </w:pPr>
      <w:r>
        <w:rPr>
          <w:noProof/>
        </w:rPr>
        <mc:AlternateContent>
          <mc:Choice Requires="wps">
            <w:drawing>
              <wp:anchor distT="0" distB="0" distL="114300" distR="114300" simplePos="0" relativeHeight="251660288" behindDoc="0" locked="0" layoutInCell="1" allowOverlap="1" wp14:anchorId="5D6B5D8D" wp14:editId="7B544564">
                <wp:simplePos x="0" y="0"/>
                <wp:positionH relativeFrom="margin">
                  <wp:posOffset>844550</wp:posOffset>
                </wp:positionH>
                <wp:positionV relativeFrom="paragraph">
                  <wp:posOffset>1905</wp:posOffset>
                </wp:positionV>
                <wp:extent cx="4282440" cy="335280"/>
                <wp:effectExtent l="0" t="0" r="3810" b="7620"/>
                <wp:wrapTopAndBottom/>
                <wp:docPr id="877086064" name="Text Box 1"/>
                <wp:cNvGraphicFramePr/>
                <a:graphic xmlns:a="http://schemas.openxmlformats.org/drawingml/2006/main">
                  <a:graphicData uri="http://schemas.microsoft.com/office/word/2010/wordprocessingShape">
                    <wps:wsp>
                      <wps:cNvSpPr txBox="1"/>
                      <wps:spPr>
                        <a:xfrm>
                          <a:off x="0" y="0"/>
                          <a:ext cx="4282440" cy="335280"/>
                        </a:xfrm>
                        <a:prstGeom prst="rect">
                          <a:avLst/>
                        </a:prstGeom>
                        <a:solidFill>
                          <a:prstClr val="white"/>
                        </a:solidFill>
                        <a:ln>
                          <a:noFill/>
                        </a:ln>
                      </wps:spPr>
                      <wps:txbx>
                        <w:txbxContent>
                          <w:p w14:paraId="5E4B278E" w14:textId="2A46BA00" w:rsidR="00FA1C0D" w:rsidRPr="00FA1C0D" w:rsidRDefault="00FA1C0D" w:rsidP="00FA1C0D">
                            <w:pPr>
                              <w:pStyle w:val="Caption"/>
                              <w:rPr>
                                <w:rFonts w:cstheme="minorHAnsi"/>
                                <w:noProof/>
                                <w:sz w:val="22"/>
                                <w:szCs w:val="22"/>
                              </w:rPr>
                            </w:pPr>
                            <w:r w:rsidRPr="00FA1C0D">
                              <w:rPr>
                                <w:sz w:val="22"/>
                                <w:szCs w:val="22"/>
                              </w:rPr>
                              <w:t xml:space="preserve">Figure </w:t>
                            </w:r>
                            <w:r w:rsidRPr="00FA1C0D">
                              <w:rPr>
                                <w:sz w:val="22"/>
                                <w:szCs w:val="22"/>
                              </w:rPr>
                              <w:fldChar w:fldCharType="begin"/>
                            </w:r>
                            <w:r w:rsidRPr="00FA1C0D">
                              <w:rPr>
                                <w:sz w:val="22"/>
                                <w:szCs w:val="22"/>
                              </w:rPr>
                              <w:instrText xml:space="preserve"> SEQ Figure \* ARABIC </w:instrText>
                            </w:r>
                            <w:r w:rsidRPr="00FA1C0D">
                              <w:rPr>
                                <w:sz w:val="22"/>
                                <w:szCs w:val="22"/>
                              </w:rPr>
                              <w:fldChar w:fldCharType="separate"/>
                            </w:r>
                            <w:r w:rsidR="00DB25A4">
                              <w:rPr>
                                <w:noProof/>
                                <w:sz w:val="22"/>
                                <w:szCs w:val="22"/>
                              </w:rPr>
                              <w:t>1</w:t>
                            </w:r>
                            <w:r w:rsidRPr="00FA1C0D">
                              <w:rPr>
                                <w:sz w:val="22"/>
                                <w:szCs w:val="22"/>
                              </w:rPr>
                              <w:fldChar w:fldCharType="end"/>
                            </w:r>
                            <w:r w:rsidRPr="00FA1C0D">
                              <w:rPr>
                                <w:sz w:val="22"/>
                                <w:szCs w:val="22"/>
                              </w:rPr>
                              <w:t xml:space="preserve"> Pictures of the sled </w:t>
                            </w:r>
                            <w:r w:rsidR="009A27D1">
                              <w:rPr>
                                <w:sz w:val="22"/>
                                <w:szCs w:val="22"/>
                              </w:rPr>
                              <w:t xml:space="preserve">for seagrass seed injection; pictures adapted from </w:t>
                            </w:r>
                            <w:r w:rsidRPr="00FA1C0D">
                              <w:rPr>
                                <w:sz w:val="22"/>
                                <w:szCs w:val="22"/>
                              </w:rPr>
                              <w:t>Orth et al. 2008.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6B5D8D" id="_x0000_t202" coordsize="21600,21600" o:spt="202" path="m,l,21600r21600,l21600,xe">
                <v:stroke joinstyle="miter"/>
                <v:path gradientshapeok="t" o:connecttype="rect"/>
              </v:shapetype>
              <v:shape id="Text Box 1" o:spid="_x0000_s1026" type="#_x0000_t202" style="position:absolute;margin-left:66.5pt;margin-top:.15pt;width:337.2pt;height:26.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" stroked="f">
                <v:textbox inset="0,0,0,0">
                  <w:txbxContent>
                    <w:p w14:paraId="5E4B278E" w14:textId="2A46BA00" w:rsidR="00FA1C0D" w:rsidRPr="00FA1C0D" w:rsidRDefault="00FA1C0D" w:rsidP="00FA1C0D">
                      <w:pPr>
                        <w:pStyle w:val="Caption"/>
                        <w:rPr>
                          <w:rFonts w:cstheme="minorHAnsi"/>
                          <w:noProof/>
                          <w:sz w:val="22"/>
                          <w:szCs w:val="22"/>
                        </w:rPr>
                      </w:pPr>
                      <w:r w:rsidRPr="00FA1C0D">
                        <w:rPr>
                          <w:sz w:val="22"/>
                          <w:szCs w:val="22"/>
                        </w:rPr>
                        <w:t xml:space="preserve">Figure </w:t>
                      </w:r>
                      <w:r w:rsidRPr="00FA1C0D">
                        <w:rPr>
                          <w:sz w:val="22"/>
                          <w:szCs w:val="22"/>
                        </w:rPr>
                        <w:fldChar w:fldCharType="begin"/>
                      </w:r>
                      <w:r w:rsidRPr="00FA1C0D">
                        <w:rPr>
                          <w:sz w:val="22"/>
                          <w:szCs w:val="22"/>
                        </w:rPr>
                        <w:instrText xml:space="preserve"> SEQ Figure \* ARABIC </w:instrText>
                      </w:r>
                      <w:r w:rsidRPr="00FA1C0D">
                        <w:rPr>
                          <w:sz w:val="22"/>
                          <w:szCs w:val="22"/>
                        </w:rPr>
                        <w:fldChar w:fldCharType="separate"/>
                      </w:r>
                      <w:r w:rsidR="00DB25A4">
                        <w:rPr>
                          <w:noProof/>
                          <w:sz w:val="22"/>
                          <w:szCs w:val="22"/>
                        </w:rPr>
                        <w:t>1</w:t>
                      </w:r>
                      <w:r w:rsidRPr="00FA1C0D">
                        <w:rPr>
                          <w:sz w:val="22"/>
                          <w:szCs w:val="22"/>
                        </w:rPr>
                        <w:fldChar w:fldCharType="end"/>
                      </w:r>
                      <w:r w:rsidRPr="00FA1C0D">
                        <w:rPr>
                          <w:sz w:val="22"/>
                          <w:szCs w:val="22"/>
                        </w:rPr>
                        <w:t xml:space="preserve"> Pictures of the sled </w:t>
                      </w:r>
                      <w:r w:rsidR="009A27D1">
                        <w:rPr>
                          <w:sz w:val="22"/>
                          <w:szCs w:val="22"/>
                        </w:rPr>
                        <w:t xml:space="preserve">for seagrass seed injection; pictures adapted from </w:t>
                      </w:r>
                      <w:r w:rsidRPr="00FA1C0D">
                        <w:rPr>
                          <w:sz w:val="22"/>
                          <w:szCs w:val="22"/>
                        </w:rPr>
                        <w:t>Orth et al. 2008.</w:t>
                      </w:r>
                    </w:p>
                  </w:txbxContent>
                </v:textbox>
                <w10:wrap type="topAndBottom" anchorx="margin"/>
              </v:shape>
            </w:pict>
          </mc:Fallback>
        </mc:AlternateContent>
      </w:r>
      <w:r>
        <w:rPr>
          <w:noProof/>
        </w:rPr>
        <w:drawing>
          <wp:anchor distT="0" distB="0" distL="114300" distR="114300" simplePos="0" relativeHeight="251658240" behindDoc="0" locked="0" layoutInCell="1" allowOverlap="1" wp14:anchorId="037C52A6" wp14:editId="249D1418">
            <wp:simplePos x="0" y="0"/>
            <wp:positionH relativeFrom="margin">
              <wp:align>center</wp:align>
            </wp:positionH>
            <wp:positionV relativeFrom="paragraph">
              <wp:posOffset>337185</wp:posOffset>
            </wp:positionV>
            <wp:extent cx="4754880" cy="4869180"/>
            <wp:effectExtent l="0" t="0" r="7620" b="7620"/>
            <wp:wrapTopAndBottom/>
            <wp:docPr id="1388967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4880" cy="4869180"/>
                    </a:xfrm>
                    <a:prstGeom prst="rect">
                      <a:avLst/>
                    </a:prstGeom>
                    <a:noFill/>
                    <a:ln>
                      <a:noFill/>
                    </a:ln>
                  </pic:spPr>
                </pic:pic>
              </a:graphicData>
            </a:graphic>
          </wp:anchor>
        </w:drawing>
      </w:r>
    </w:p>
    <w:p w14:paraId="3FF1FEF9" w14:textId="77777777" w:rsidR="00DB25A4" w:rsidRDefault="00DB25A4">
      <w:pPr>
        <w:rPr>
          <w:rFonts w:cstheme="minorHAnsi"/>
          <w:b/>
          <w:bCs/>
        </w:rPr>
      </w:pPr>
      <w:r>
        <w:rPr>
          <w:rFonts w:cstheme="minorHAnsi"/>
          <w:b/>
          <w:bCs/>
        </w:rPr>
        <w:br w:type="page"/>
      </w:r>
    </w:p>
    <w:p w14:paraId="2B67F422" w14:textId="4C38F3E9" w:rsidR="00E05EC8" w:rsidRPr="00E05EC8" w:rsidRDefault="00E05EC8" w:rsidP="00FD1903">
      <w:pPr>
        <w:rPr>
          <w:rFonts w:cstheme="minorHAnsi"/>
          <w:b/>
          <w:bCs/>
        </w:rPr>
      </w:pPr>
      <w:r w:rsidRPr="00E05EC8">
        <w:rPr>
          <w:rFonts w:cstheme="minorHAnsi"/>
          <w:b/>
          <w:bCs/>
        </w:rPr>
        <w:lastRenderedPageBreak/>
        <w:t>Detail</w:t>
      </w:r>
      <w:r w:rsidR="007674C2">
        <w:rPr>
          <w:rFonts w:cstheme="minorHAnsi"/>
          <w:b/>
          <w:bCs/>
        </w:rPr>
        <w:t>ed request</w:t>
      </w:r>
      <w:r>
        <w:rPr>
          <w:rFonts w:cstheme="minorHAnsi"/>
          <w:b/>
          <w:bCs/>
        </w:rPr>
        <w:t>: sled to plant seed balls and bags</w:t>
      </w:r>
    </w:p>
    <w:p w14:paraId="5C930D74" w14:textId="5D2D0CDA" w:rsidR="00DE4E76" w:rsidRDefault="00DB25A4" w:rsidP="00E42C72">
      <w:pPr>
        <w:spacing w:after="0" w:line="240" w:lineRule="auto"/>
        <w:rPr>
          <w:rFonts w:eastAsia="Times New Roman" w:cstheme="minorHAnsi"/>
        </w:rPr>
      </w:pPr>
      <w:r>
        <w:rPr>
          <w:noProof/>
        </w:rPr>
        <mc:AlternateContent>
          <mc:Choice Requires="wps">
            <w:drawing>
              <wp:anchor distT="0" distB="0" distL="114300" distR="114300" simplePos="0" relativeHeight="251663360" behindDoc="0" locked="0" layoutInCell="1" allowOverlap="1" wp14:anchorId="0BE309CD" wp14:editId="7B6E569D">
                <wp:simplePos x="0" y="0"/>
                <wp:positionH relativeFrom="column">
                  <wp:posOffset>800100</wp:posOffset>
                </wp:positionH>
                <wp:positionV relativeFrom="paragraph">
                  <wp:posOffset>1180465</wp:posOffset>
                </wp:positionV>
                <wp:extent cx="3352165" cy="752475"/>
                <wp:effectExtent l="0" t="0" r="635" b="9525"/>
                <wp:wrapTopAndBottom/>
                <wp:docPr id="1875671426" name="Text Box 1"/>
                <wp:cNvGraphicFramePr/>
                <a:graphic xmlns:a="http://schemas.openxmlformats.org/drawingml/2006/main">
                  <a:graphicData uri="http://schemas.microsoft.com/office/word/2010/wordprocessingShape">
                    <wps:wsp>
                      <wps:cNvSpPr txBox="1"/>
                      <wps:spPr>
                        <a:xfrm>
                          <a:off x="0" y="0"/>
                          <a:ext cx="3352165" cy="752475"/>
                        </a:xfrm>
                        <a:prstGeom prst="rect">
                          <a:avLst/>
                        </a:prstGeom>
                        <a:solidFill>
                          <a:prstClr val="white"/>
                        </a:solidFill>
                        <a:ln>
                          <a:noFill/>
                        </a:ln>
                      </wps:spPr>
                      <wps:txbx>
                        <w:txbxContent>
                          <w:p w14:paraId="4F097CDA" w14:textId="1A43F497" w:rsidR="00DB25A4" w:rsidRPr="00DB25A4" w:rsidRDefault="00DB25A4" w:rsidP="00DB25A4">
                            <w:pPr>
                              <w:pStyle w:val="Caption"/>
                              <w:rPr>
                                <w:rFonts w:cstheme="minorHAnsi"/>
                                <w:noProof/>
                                <w:sz w:val="22"/>
                                <w:szCs w:val="22"/>
                              </w:rPr>
                            </w:pPr>
                            <w:r w:rsidRPr="00DB25A4">
                              <w:rPr>
                                <w:sz w:val="22"/>
                                <w:szCs w:val="22"/>
                              </w:rPr>
                              <w:t xml:space="preserve">Figure </w:t>
                            </w:r>
                            <w:r w:rsidRPr="00DB25A4">
                              <w:rPr>
                                <w:sz w:val="22"/>
                                <w:szCs w:val="22"/>
                              </w:rPr>
                              <w:fldChar w:fldCharType="begin"/>
                            </w:r>
                            <w:r w:rsidRPr="00DB25A4">
                              <w:rPr>
                                <w:sz w:val="22"/>
                                <w:szCs w:val="22"/>
                              </w:rPr>
                              <w:instrText xml:space="preserve"> SEQ Figure \* ARABIC </w:instrText>
                            </w:r>
                            <w:r w:rsidRPr="00DB25A4">
                              <w:rPr>
                                <w:sz w:val="22"/>
                                <w:szCs w:val="22"/>
                              </w:rPr>
                              <w:fldChar w:fldCharType="separate"/>
                            </w:r>
                            <w:r w:rsidRPr="00DB25A4">
                              <w:rPr>
                                <w:noProof/>
                                <w:sz w:val="22"/>
                                <w:szCs w:val="22"/>
                              </w:rPr>
                              <w:t>2</w:t>
                            </w:r>
                            <w:r w:rsidRPr="00DB25A4">
                              <w:rPr>
                                <w:sz w:val="22"/>
                                <w:szCs w:val="22"/>
                              </w:rPr>
                              <w:fldChar w:fldCharType="end"/>
                            </w:r>
                            <w:r w:rsidRPr="00DB25A4">
                              <w:rPr>
                                <w:sz w:val="22"/>
                                <w:szCs w:val="22"/>
                              </w:rPr>
                              <w:t xml:space="preserve"> The sled (red in colour) to plant seed balls and bags. Note that it is located on a pallet for storage only. Through the black flexible coupling, bags and/or seed balls would be fed to the sled for burial.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309CD" id="_x0000_s1027" type="#_x0000_t202" style="position:absolute;margin-left:63pt;margin-top:92.95pt;width:263.95pt;height:5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" stroked="f">
                <v:textbox inset="0,0,0,0">
                  <w:txbxContent>
                    <w:p w14:paraId="4F097CDA" w14:textId="1A43F497" w:rsidR="00DB25A4" w:rsidRPr="00DB25A4" w:rsidRDefault="00DB25A4" w:rsidP="00DB25A4">
                      <w:pPr>
                        <w:pStyle w:val="Caption"/>
                        <w:rPr>
                          <w:rFonts w:cstheme="minorHAnsi"/>
                          <w:noProof/>
                          <w:sz w:val="22"/>
                          <w:szCs w:val="22"/>
                        </w:rPr>
                      </w:pPr>
                      <w:r w:rsidRPr="00DB25A4">
                        <w:rPr>
                          <w:sz w:val="22"/>
                          <w:szCs w:val="22"/>
                        </w:rPr>
                        <w:t xml:space="preserve">Figure </w:t>
                      </w:r>
                      <w:r w:rsidRPr="00DB25A4">
                        <w:rPr>
                          <w:sz w:val="22"/>
                          <w:szCs w:val="22"/>
                        </w:rPr>
                        <w:fldChar w:fldCharType="begin"/>
                      </w:r>
                      <w:r w:rsidRPr="00DB25A4">
                        <w:rPr>
                          <w:sz w:val="22"/>
                          <w:szCs w:val="22"/>
                        </w:rPr>
                        <w:instrText xml:space="preserve"> SEQ Figure \* ARABIC </w:instrText>
                      </w:r>
                      <w:r w:rsidRPr="00DB25A4">
                        <w:rPr>
                          <w:sz w:val="22"/>
                          <w:szCs w:val="22"/>
                        </w:rPr>
                        <w:fldChar w:fldCharType="separate"/>
                      </w:r>
                      <w:r w:rsidRPr="00DB25A4">
                        <w:rPr>
                          <w:noProof/>
                          <w:sz w:val="22"/>
                          <w:szCs w:val="22"/>
                        </w:rPr>
                        <w:t>2</w:t>
                      </w:r>
                      <w:r w:rsidRPr="00DB25A4">
                        <w:rPr>
                          <w:sz w:val="22"/>
                          <w:szCs w:val="22"/>
                        </w:rPr>
                        <w:fldChar w:fldCharType="end"/>
                      </w:r>
                      <w:r w:rsidRPr="00DB25A4">
                        <w:rPr>
                          <w:sz w:val="22"/>
                          <w:szCs w:val="22"/>
                        </w:rPr>
                        <w:t xml:space="preserve"> The sled (red in colour) to plant seed balls and bags. Note that it is located on a pallet for storage only. Through the black flexible coupling, bags and/or seed balls would be fed to the sled for burial.</w:t>
                      </w:r>
                    </w:p>
                  </w:txbxContent>
                </v:textbox>
                <w10:wrap type="topAndBottom"/>
              </v:shape>
            </w:pict>
          </mc:Fallback>
        </mc:AlternateContent>
      </w:r>
      <w:r>
        <w:rPr>
          <w:rFonts w:cstheme="minorHAnsi"/>
          <w:noProof/>
        </w:rPr>
        <w:drawing>
          <wp:anchor distT="0" distB="0" distL="114300" distR="114300" simplePos="0" relativeHeight="251661312" behindDoc="0" locked="0" layoutInCell="1" allowOverlap="1" wp14:anchorId="68148F73" wp14:editId="22DF0411">
            <wp:simplePos x="0" y="0"/>
            <wp:positionH relativeFrom="column">
              <wp:posOffset>819150</wp:posOffset>
            </wp:positionH>
            <wp:positionV relativeFrom="paragraph">
              <wp:posOffset>1775460</wp:posOffset>
            </wp:positionV>
            <wp:extent cx="3314065" cy="3857625"/>
            <wp:effectExtent l="0" t="0" r="635" b="9525"/>
            <wp:wrapTopAndBottom/>
            <wp:docPr id="878398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t="29231" b="5356"/>
                    <a:stretch/>
                  </pic:blipFill>
                  <pic:spPr bwMode="auto">
                    <a:xfrm>
                      <a:off x="0" y="0"/>
                      <a:ext cx="3314065" cy="3857625"/>
                    </a:xfrm>
                    <a:prstGeom prst="rect">
                      <a:avLst/>
                    </a:prstGeom>
                    <a:noFill/>
                    <a:ln>
                      <a:noFill/>
                    </a:ln>
                    <a:extLst>
                      <a:ext uri="{53640926-AAD7-44D8-BBD7-CCE9431645EC}">
                        <a14:shadowObscured xmlns:a14="http://schemas.microsoft.com/office/drawing/2010/main"/>
                      </a:ext>
                    </a:extLst>
                  </pic:spPr>
                </pic:pic>
              </a:graphicData>
            </a:graphic>
          </wp:anchor>
        </w:drawing>
      </w:r>
      <w:r w:rsidR="00E42C72">
        <w:rPr>
          <w:rFonts w:eastAsia="Times New Roman" w:cstheme="minorHAnsi"/>
        </w:rPr>
        <w:t>This</w:t>
      </w:r>
      <w:r w:rsidR="002D723E">
        <w:rPr>
          <w:rFonts w:eastAsia="Times New Roman" w:cstheme="minorHAnsi"/>
        </w:rPr>
        <w:t xml:space="preserve"> prototype</w:t>
      </w:r>
      <w:r w:rsidR="00E42C72">
        <w:rPr>
          <w:rFonts w:eastAsia="Times New Roman" w:cstheme="minorHAnsi"/>
        </w:rPr>
        <w:t xml:space="preserve"> sled was constructed by Sam Rees at Swansea University</w:t>
      </w:r>
      <w:r w:rsidR="00DE4E76">
        <w:rPr>
          <w:rFonts w:eastAsia="Times New Roman" w:cstheme="minorHAnsi"/>
        </w:rPr>
        <w:t>.</w:t>
      </w:r>
      <w:r w:rsidR="00E42C72">
        <w:rPr>
          <w:rFonts w:eastAsia="Times New Roman" w:cstheme="minorHAnsi"/>
        </w:rPr>
        <w:t xml:space="preserve"> </w:t>
      </w:r>
      <w:r w:rsidR="001E304D">
        <w:rPr>
          <w:rFonts w:eastAsia="Times New Roman" w:cstheme="minorHAnsi"/>
        </w:rPr>
        <w:t xml:space="preserve">When it </w:t>
      </w:r>
      <w:r w:rsidR="00E42C72">
        <w:rPr>
          <w:rFonts w:eastAsia="Times New Roman" w:cstheme="minorHAnsi"/>
        </w:rPr>
        <w:t>is towed</w:t>
      </w:r>
      <w:r w:rsidR="00DE4E76">
        <w:rPr>
          <w:rFonts w:eastAsia="Times New Roman" w:cstheme="minorHAnsi"/>
        </w:rPr>
        <w:t xml:space="preserve"> by a boat</w:t>
      </w:r>
      <w:r w:rsidR="00E42C72">
        <w:rPr>
          <w:rFonts w:eastAsia="Times New Roman" w:cstheme="minorHAnsi"/>
        </w:rPr>
        <w:t xml:space="preserve">, it opens a furrow in which biodegradable bags with seagrass seeds and/or seedballs with seagrass seeds can be deposited, after which the sled automatically closes the furrow again. </w:t>
      </w:r>
      <w:r w:rsidR="00DE4E76">
        <w:rPr>
          <w:rFonts w:eastAsia="Times New Roman" w:cstheme="minorHAnsi"/>
        </w:rPr>
        <w:t xml:space="preserve">The sled </w:t>
      </w:r>
      <w:r w:rsidR="00DE4E76" w:rsidRPr="00DE4E76">
        <w:rPr>
          <w:rFonts w:eastAsia="Times New Roman" w:cstheme="minorHAnsi"/>
        </w:rPr>
        <w:t>has one moving part which is a leve</w:t>
      </w:r>
      <w:r w:rsidR="00977BAD">
        <w:rPr>
          <w:rFonts w:eastAsia="Times New Roman" w:cstheme="minorHAnsi"/>
        </w:rPr>
        <w:t>r</w:t>
      </w:r>
      <w:r w:rsidR="00DE4E76" w:rsidRPr="00DE4E76">
        <w:rPr>
          <w:rFonts w:eastAsia="Times New Roman" w:cstheme="minorHAnsi"/>
        </w:rPr>
        <w:t xml:space="preserve"> to increase or decrease the depth at which </w:t>
      </w:r>
      <w:r w:rsidR="00DE4E76">
        <w:rPr>
          <w:rFonts w:eastAsia="Times New Roman" w:cstheme="minorHAnsi"/>
        </w:rPr>
        <w:t xml:space="preserve">the </w:t>
      </w:r>
      <w:r w:rsidR="00DE4E76" w:rsidRPr="00DE4E76">
        <w:rPr>
          <w:rFonts w:eastAsia="Times New Roman" w:cstheme="minorHAnsi"/>
        </w:rPr>
        <w:t xml:space="preserve">furrow </w:t>
      </w:r>
      <w:r w:rsidR="00DE4E76">
        <w:rPr>
          <w:rFonts w:eastAsia="Times New Roman" w:cstheme="minorHAnsi"/>
        </w:rPr>
        <w:t>is created (</w:t>
      </w:r>
      <w:r w:rsidR="00977BAD">
        <w:rPr>
          <w:rFonts w:eastAsia="Times New Roman" w:cstheme="minorHAnsi"/>
        </w:rPr>
        <w:t xml:space="preserve">thereby </w:t>
      </w:r>
      <w:r w:rsidR="00DE4E76">
        <w:rPr>
          <w:rFonts w:eastAsia="Times New Roman" w:cstheme="minorHAnsi"/>
        </w:rPr>
        <w:t>adjust</w:t>
      </w:r>
      <w:r w:rsidR="00977BAD">
        <w:rPr>
          <w:rFonts w:eastAsia="Times New Roman" w:cstheme="minorHAnsi"/>
        </w:rPr>
        <w:t>ing</w:t>
      </w:r>
      <w:r w:rsidR="00DE4E76">
        <w:rPr>
          <w:rFonts w:eastAsia="Times New Roman" w:cstheme="minorHAnsi"/>
        </w:rPr>
        <w:t xml:space="preserve"> for local sediment conditions).</w:t>
      </w:r>
      <w:r w:rsidR="000219B4">
        <w:rPr>
          <w:rFonts w:eastAsia="Times New Roman" w:cstheme="minorHAnsi"/>
        </w:rPr>
        <w:t xml:space="preserve"> This sled has been trialled in the Swansea Bay with bags filled with </w:t>
      </w:r>
      <w:r w:rsidR="00FC1BD9">
        <w:rPr>
          <w:rFonts w:eastAsia="Times New Roman" w:cstheme="minorHAnsi"/>
        </w:rPr>
        <w:t xml:space="preserve">only </w:t>
      </w:r>
      <w:r w:rsidR="000219B4">
        <w:rPr>
          <w:rFonts w:eastAsia="Times New Roman" w:cstheme="minorHAnsi"/>
        </w:rPr>
        <w:t xml:space="preserve">sediment thus far, </w:t>
      </w:r>
      <w:r w:rsidR="00FC1BD9">
        <w:rPr>
          <w:rFonts w:eastAsia="Times New Roman" w:cstheme="minorHAnsi"/>
        </w:rPr>
        <w:t>which demonstrated its proper functioning.</w:t>
      </w:r>
    </w:p>
    <w:p w14:paraId="2D71353E" w14:textId="2A0628ED" w:rsidR="00DE4E76" w:rsidRDefault="00DE4E76" w:rsidP="00DE4E76">
      <w:pPr>
        <w:spacing w:after="0" w:line="240" w:lineRule="auto"/>
        <w:rPr>
          <w:rFonts w:eastAsia="Times New Roman" w:cstheme="minorHAnsi"/>
        </w:rPr>
      </w:pPr>
    </w:p>
    <w:p w14:paraId="2B94D922" w14:textId="1BC79053" w:rsidR="00DE4E76" w:rsidRDefault="00DE4E76" w:rsidP="00DE4E76">
      <w:pPr>
        <w:spacing w:after="0" w:line="240" w:lineRule="auto"/>
        <w:rPr>
          <w:rFonts w:eastAsia="Times New Roman" w:cstheme="minorHAnsi"/>
        </w:rPr>
      </w:pPr>
      <w:r>
        <w:rPr>
          <w:rFonts w:eastAsia="Times New Roman" w:cstheme="minorHAnsi"/>
        </w:rPr>
        <w:t>Our aim with this sled</w:t>
      </w:r>
      <w:r w:rsidR="000324FC">
        <w:rPr>
          <w:rFonts w:eastAsia="Times New Roman" w:cstheme="minorHAnsi"/>
        </w:rPr>
        <w:t>,</w:t>
      </w:r>
      <w:r>
        <w:rPr>
          <w:rFonts w:eastAsia="Times New Roman" w:cstheme="minorHAnsi"/>
        </w:rPr>
        <w:t xml:space="preserve"> </w:t>
      </w:r>
      <w:r w:rsidR="002D723E">
        <w:rPr>
          <w:rFonts w:eastAsia="Times New Roman" w:cstheme="minorHAnsi"/>
        </w:rPr>
        <w:t>or an adapted version with the same functionality</w:t>
      </w:r>
      <w:r w:rsidR="000324FC">
        <w:rPr>
          <w:rFonts w:eastAsia="Times New Roman" w:cstheme="minorHAnsi"/>
        </w:rPr>
        <w:t>,</w:t>
      </w:r>
      <w:r w:rsidR="002D723E">
        <w:rPr>
          <w:rFonts w:eastAsia="Times New Roman" w:cstheme="minorHAnsi"/>
        </w:rPr>
        <w:t xml:space="preserve"> </w:t>
      </w:r>
      <w:r>
        <w:rPr>
          <w:rFonts w:eastAsia="Times New Roman" w:cstheme="minorHAnsi"/>
        </w:rPr>
        <w:t>is to:</w:t>
      </w:r>
    </w:p>
    <w:p w14:paraId="05F23001" w14:textId="3B93E984" w:rsidR="00E12EBD" w:rsidRDefault="00E12EBD" w:rsidP="00E12EBD">
      <w:pPr>
        <w:pStyle w:val="ListParagraph"/>
        <w:numPr>
          <w:ilvl w:val="0"/>
          <w:numId w:val="6"/>
        </w:numPr>
        <w:spacing w:after="0" w:line="240" w:lineRule="auto"/>
        <w:rPr>
          <w:rFonts w:eastAsia="Times New Roman" w:cstheme="minorHAnsi"/>
        </w:rPr>
      </w:pPr>
      <w:r>
        <w:rPr>
          <w:rFonts w:eastAsia="Times New Roman" w:cstheme="minorHAnsi"/>
        </w:rPr>
        <w:t xml:space="preserve">Use it within the boundaries of the marine licence areas described in </w:t>
      </w:r>
      <w:proofErr w:type="gramStart"/>
      <w:r>
        <w:rPr>
          <w:rFonts w:eastAsia="Times New Roman" w:cstheme="minorHAnsi"/>
        </w:rPr>
        <w:t>DEML2248;</w:t>
      </w:r>
      <w:proofErr w:type="gramEnd"/>
    </w:p>
    <w:p w14:paraId="028D9DE1" w14:textId="797E4C33" w:rsidR="00D61F57" w:rsidRDefault="00DE4E76" w:rsidP="00DE4E76">
      <w:pPr>
        <w:pStyle w:val="ListParagraph"/>
        <w:numPr>
          <w:ilvl w:val="0"/>
          <w:numId w:val="6"/>
        </w:numPr>
        <w:spacing w:after="0" w:line="240" w:lineRule="auto"/>
        <w:rPr>
          <w:rFonts w:eastAsia="Times New Roman" w:cstheme="minorHAnsi"/>
        </w:rPr>
      </w:pPr>
      <w:r>
        <w:rPr>
          <w:rFonts w:eastAsia="Times New Roman" w:cstheme="minorHAnsi"/>
        </w:rPr>
        <w:t>Tow it</w:t>
      </w:r>
      <w:r w:rsidR="00D61F57">
        <w:rPr>
          <w:rFonts w:eastAsia="Times New Roman" w:cstheme="minorHAnsi"/>
        </w:rPr>
        <w:t xml:space="preserve"> to </w:t>
      </w:r>
      <w:r w:rsidR="00C0700D">
        <w:rPr>
          <w:rFonts w:eastAsia="Times New Roman" w:cstheme="minorHAnsi"/>
        </w:rPr>
        <w:t xml:space="preserve">create </w:t>
      </w:r>
      <w:r w:rsidR="00D61F57">
        <w:rPr>
          <w:rFonts w:eastAsia="Times New Roman" w:cstheme="minorHAnsi"/>
        </w:rPr>
        <w:t>a furrow and plant:</w:t>
      </w:r>
    </w:p>
    <w:p w14:paraId="7056259E" w14:textId="42C1D213" w:rsidR="00D61F57" w:rsidRDefault="00D61F57" w:rsidP="00D61F57">
      <w:pPr>
        <w:pStyle w:val="ListParagraph"/>
        <w:numPr>
          <w:ilvl w:val="1"/>
          <w:numId w:val="6"/>
        </w:numPr>
        <w:spacing w:after="0" w:line="240" w:lineRule="auto"/>
        <w:rPr>
          <w:rFonts w:eastAsia="Times New Roman" w:cstheme="minorHAnsi"/>
        </w:rPr>
      </w:pPr>
      <w:r>
        <w:rPr>
          <w:rFonts w:eastAsia="Times New Roman" w:cstheme="minorHAnsi"/>
        </w:rPr>
        <w:t>B</w:t>
      </w:r>
      <w:r w:rsidR="00E42C72" w:rsidRPr="00DE4E76">
        <w:rPr>
          <w:rFonts w:eastAsia="Times New Roman" w:cstheme="minorHAnsi"/>
        </w:rPr>
        <w:t xml:space="preserve">iodegradable bags </w:t>
      </w:r>
      <w:r>
        <w:rPr>
          <w:rFonts w:eastAsia="Times New Roman" w:cstheme="minorHAnsi"/>
        </w:rPr>
        <w:t xml:space="preserve">containing seagrass seed and </w:t>
      </w:r>
      <w:r w:rsidR="00954CE7">
        <w:rPr>
          <w:rFonts w:eastAsia="Times New Roman" w:cstheme="minorHAnsi"/>
          <w:i/>
          <w:iCs/>
        </w:rPr>
        <w:t xml:space="preserve">c. </w:t>
      </w:r>
      <w:r w:rsidR="00954CE7">
        <w:rPr>
          <w:rFonts w:eastAsia="Times New Roman" w:cstheme="minorHAnsi"/>
        </w:rPr>
        <w:t xml:space="preserve">80 mL </w:t>
      </w:r>
      <w:r>
        <w:rPr>
          <w:rFonts w:eastAsia="Times New Roman" w:cstheme="minorHAnsi"/>
        </w:rPr>
        <w:t>sand</w:t>
      </w:r>
      <w:r w:rsidR="00954CE7">
        <w:rPr>
          <w:rFonts w:eastAsia="Times New Roman" w:cstheme="minorHAnsi"/>
        </w:rPr>
        <w:t xml:space="preserve">, the bag being roughly 13 cm x 7.5 cm in size. Planting density is </w:t>
      </w:r>
      <w:r w:rsidR="008478F4">
        <w:rPr>
          <w:rFonts w:eastAsia="Times New Roman" w:cstheme="minorHAnsi"/>
          <w:i/>
          <w:iCs/>
        </w:rPr>
        <w:t xml:space="preserve">c. </w:t>
      </w:r>
      <w:r w:rsidR="00954CE7">
        <w:rPr>
          <w:rFonts w:eastAsia="Times New Roman" w:cstheme="minorHAnsi"/>
        </w:rPr>
        <w:t>8 bags per m</w:t>
      </w:r>
      <w:r w:rsidR="00954CE7" w:rsidRPr="00954CE7">
        <w:rPr>
          <w:rFonts w:eastAsia="Times New Roman" w:cstheme="minorHAnsi"/>
          <w:vertAlign w:val="superscript"/>
        </w:rPr>
        <w:t>2</w:t>
      </w:r>
      <w:r w:rsidR="00954CE7">
        <w:rPr>
          <w:rFonts w:eastAsia="Times New Roman" w:cstheme="minorHAnsi"/>
        </w:rPr>
        <w:t>.</w:t>
      </w:r>
    </w:p>
    <w:p w14:paraId="486377CD" w14:textId="45060524" w:rsidR="00E42C72" w:rsidRDefault="00D61F57" w:rsidP="00E42C72">
      <w:pPr>
        <w:pStyle w:val="ListParagraph"/>
        <w:numPr>
          <w:ilvl w:val="1"/>
          <w:numId w:val="6"/>
        </w:numPr>
        <w:spacing w:after="0" w:line="240" w:lineRule="auto"/>
        <w:rPr>
          <w:rFonts w:eastAsia="Times New Roman" w:cstheme="minorHAnsi"/>
        </w:rPr>
      </w:pPr>
      <w:r>
        <w:rPr>
          <w:rFonts w:eastAsia="Times New Roman" w:cstheme="minorHAnsi"/>
        </w:rPr>
        <w:t>S</w:t>
      </w:r>
      <w:r w:rsidR="00E42C72" w:rsidRPr="00DE4E76">
        <w:rPr>
          <w:rFonts w:eastAsia="Times New Roman" w:cstheme="minorHAnsi"/>
        </w:rPr>
        <w:t xml:space="preserve">eed balls </w:t>
      </w:r>
      <w:r>
        <w:rPr>
          <w:rFonts w:eastAsia="Times New Roman" w:cstheme="minorHAnsi"/>
        </w:rPr>
        <w:t xml:space="preserve">consisting of </w:t>
      </w:r>
      <w:r w:rsidR="00684B45">
        <w:rPr>
          <w:rFonts w:eastAsia="Times New Roman" w:cstheme="minorHAnsi"/>
        </w:rPr>
        <w:t xml:space="preserve">inert </w:t>
      </w:r>
      <w:r w:rsidR="00E6630C" w:rsidRPr="00DE4E76">
        <w:rPr>
          <w:rFonts w:eastAsia="Times New Roman" w:cstheme="minorHAnsi"/>
        </w:rPr>
        <w:t>clay</w:t>
      </w:r>
      <w:r w:rsidR="002D723E">
        <w:rPr>
          <w:rFonts w:eastAsia="Times New Roman" w:cstheme="minorHAnsi"/>
        </w:rPr>
        <w:t xml:space="preserve"> powder</w:t>
      </w:r>
      <w:r w:rsidR="00E6630C" w:rsidRPr="00DE4E76">
        <w:rPr>
          <w:rFonts w:eastAsia="Times New Roman" w:cstheme="minorHAnsi"/>
        </w:rPr>
        <w:t>, loam</w:t>
      </w:r>
      <w:r w:rsidR="002D723E">
        <w:rPr>
          <w:rFonts w:eastAsia="Times New Roman" w:cstheme="minorHAnsi"/>
        </w:rPr>
        <w:t xml:space="preserve"> powder</w:t>
      </w:r>
      <w:r w:rsidR="00E6630C" w:rsidRPr="00DE4E76">
        <w:rPr>
          <w:rFonts w:eastAsia="Times New Roman" w:cstheme="minorHAnsi"/>
        </w:rPr>
        <w:t>, silt</w:t>
      </w:r>
      <w:r w:rsidR="002D723E">
        <w:rPr>
          <w:rFonts w:eastAsia="Times New Roman" w:cstheme="minorHAnsi"/>
        </w:rPr>
        <w:t xml:space="preserve"> powder</w:t>
      </w:r>
      <w:r w:rsidR="00E6630C" w:rsidRPr="00DE4E76">
        <w:rPr>
          <w:rFonts w:eastAsia="Times New Roman" w:cstheme="minorHAnsi"/>
        </w:rPr>
        <w:t xml:space="preserve">, limestone powder, carrageenan </w:t>
      </w:r>
      <w:r w:rsidR="002D723E">
        <w:rPr>
          <w:rFonts w:eastAsia="Times New Roman" w:cstheme="minorHAnsi"/>
        </w:rPr>
        <w:t xml:space="preserve">powder </w:t>
      </w:r>
      <w:r w:rsidR="00E6630C" w:rsidRPr="00DE4E76">
        <w:rPr>
          <w:rFonts w:eastAsia="Times New Roman" w:cstheme="minorHAnsi"/>
        </w:rPr>
        <w:t>(polysaccharides of red algae), and/or water.</w:t>
      </w:r>
      <w:r w:rsidR="00954CE7">
        <w:rPr>
          <w:rFonts w:eastAsia="Times New Roman" w:cstheme="minorHAnsi"/>
        </w:rPr>
        <w:t xml:space="preserve"> </w:t>
      </w:r>
      <w:r w:rsidRPr="00954CE7">
        <w:rPr>
          <w:rFonts w:eastAsia="Times New Roman" w:cstheme="minorHAnsi"/>
        </w:rPr>
        <w:t xml:space="preserve">The seed balls are </w:t>
      </w:r>
      <w:r w:rsidR="002D723E">
        <w:rPr>
          <w:rFonts w:eastAsia="Times New Roman" w:cstheme="minorHAnsi"/>
          <w:i/>
          <w:iCs/>
        </w:rPr>
        <w:t xml:space="preserve">c. </w:t>
      </w:r>
      <w:r w:rsidR="002D723E">
        <w:rPr>
          <w:rFonts w:eastAsia="Times New Roman" w:cstheme="minorHAnsi"/>
        </w:rPr>
        <w:t xml:space="preserve">2 cm </w:t>
      </w:r>
      <w:r w:rsidRPr="00954CE7">
        <w:rPr>
          <w:rFonts w:eastAsia="Times New Roman" w:cstheme="minorHAnsi"/>
        </w:rPr>
        <w:t>in diameter.</w:t>
      </w:r>
      <w:r w:rsidR="00954CE7">
        <w:rPr>
          <w:rFonts w:eastAsia="Times New Roman" w:cstheme="minorHAnsi"/>
        </w:rPr>
        <w:t xml:space="preserve"> Planting density is </w:t>
      </w:r>
      <w:r w:rsidR="008478F4">
        <w:rPr>
          <w:rFonts w:eastAsia="Times New Roman" w:cstheme="minorHAnsi"/>
          <w:i/>
          <w:iCs/>
        </w:rPr>
        <w:t xml:space="preserve">c. </w:t>
      </w:r>
      <w:r w:rsidR="000D3622">
        <w:rPr>
          <w:rFonts w:eastAsia="Times New Roman" w:cstheme="minorHAnsi"/>
        </w:rPr>
        <w:t>1</w:t>
      </w:r>
      <w:r w:rsidR="00954CE7">
        <w:rPr>
          <w:rFonts w:eastAsia="Times New Roman" w:cstheme="minorHAnsi"/>
        </w:rPr>
        <w:t>00-400 balls per m</w:t>
      </w:r>
      <w:r w:rsidR="00954CE7" w:rsidRPr="00954CE7">
        <w:rPr>
          <w:rFonts w:eastAsia="Times New Roman" w:cstheme="minorHAnsi"/>
          <w:vertAlign w:val="superscript"/>
        </w:rPr>
        <w:t>2</w:t>
      </w:r>
      <w:r w:rsidR="00954CE7">
        <w:rPr>
          <w:rFonts w:eastAsia="Times New Roman" w:cstheme="minorHAnsi"/>
        </w:rPr>
        <w:t>, depending on the number of seeds present in each ball</w:t>
      </w:r>
      <w:r w:rsidR="007957FD">
        <w:rPr>
          <w:rFonts w:eastAsia="Times New Roman" w:cstheme="minorHAnsi"/>
        </w:rPr>
        <w:t xml:space="preserve">, which is </w:t>
      </w:r>
      <w:r w:rsidR="007957FD">
        <w:rPr>
          <w:rFonts w:eastAsia="Times New Roman" w:cstheme="minorHAnsi"/>
          <w:i/>
          <w:iCs/>
        </w:rPr>
        <w:t xml:space="preserve">c. </w:t>
      </w:r>
      <w:r w:rsidR="00444A1C">
        <w:rPr>
          <w:rFonts w:eastAsia="Times New Roman" w:cstheme="minorHAnsi"/>
        </w:rPr>
        <w:t>0.</w:t>
      </w:r>
      <w:r w:rsidR="000D3622">
        <w:rPr>
          <w:rFonts w:eastAsia="Times New Roman" w:cstheme="minorHAnsi"/>
        </w:rPr>
        <w:t>2</w:t>
      </w:r>
      <w:r w:rsidR="00444A1C">
        <w:rPr>
          <w:rFonts w:eastAsia="Times New Roman" w:cstheme="minorHAnsi"/>
        </w:rPr>
        <w:t>5-1</w:t>
      </w:r>
      <w:r w:rsidR="007957FD">
        <w:rPr>
          <w:rFonts w:eastAsia="Times New Roman" w:cstheme="minorHAnsi"/>
        </w:rPr>
        <w:t xml:space="preserve"> </w:t>
      </w:r>
      <w:r w:rsidR="00444A1C">
        <w:rPr>
          <w:rFonts w:eastAsia="Times New Roman" w:cstheme="minorHAnsi"/>
        </w:rPr>
        <w:t>kg</w:t>
      </w:r>
      <w:r w:rsidR="007957FD">
        <w:rPr>
          <w:rFonts w:eastAsia="Times New Roman" w:cstheme="minorHAnsi"/>
        </w:rPr>
        <w:t xml:space="preserve"> dry powder per m</w:t>
      </w:r>
      <w:r w:rsidR="007957FD">
        <w:rPr>
          <w:rFonts w:eastAsia="Times New Roman" w:cstheme="minorHAnsi"/>
          <w:vertAlign w:val="superscript"/>
        </w:rPr>
        <w:t>2</w:t>
      </w:r>
      <w:r w:rsidR="00954CE7">
        <w:rPr>
          <w:rFonts w:eastAsia="Times New Roman" w:cstheme="minorHAnsi"/>
        </w:rPr>
        <w:t>. Clay is the dominant ingredient.</w:t>
      </w:r>
    </w:p>
    <w:p w14:paraId="01A38D44" w14:textId="71C7D9AD" w:rsidR="00C0700D" w:rsidRDefault="00C0700D" w:rsidP="00E42C72">
      <w:pPr>
        <w:pStyle w:val="ListParagraph"/>
        <w:numPr>
          <w:ilvl w:val="1"/>
          <w:numId w:val="6"/>
        </w:numPr>
        <w:spacing w:after="0" w:line="240" w:lineRule="auto"/>
        <w:rPr>
          <w:rFonts w:eastAsia="Times New Roman" w:cstheme="minorHAnsi"/>
        </w:rPr>
      </w:pPr>
      <w:r>
        <w:rPr>
          <w:rFonts w:eastAsia="Times New Roman" w:cstheme="minorHAnsi"/>
        </w:rPr>
        <w:t>After planting</w:t>
      </w:r>
      <w:r w:rsidR="00900AB4">
        <w:rPr>
          <w:rFonts w:eastAsia="Times New Roman" w:cstheme="minorHAnsi"/>
        </w:rPr>
        <w:t xml:space="preserve"> abovementioned items</w:t>
      </w:r>
      <w:r>
        <w:rPr>
          <w:rFonts w:eastAsia="Times New Roman" w:cstheme="minorHAnsi"/>
        </w:rPr>
        <w:t>, the furrow is automatically closed again as the sled moves over the seabed.</w:t>
      </w:r>
    </w:p>
    <w:p w14:paraId="6DE41F8D" w14:textId="77777777" w:rsidR="002B1840" w:rsidRDefault="002B1840" w:rsidP="002B1840">
      <w:pPr>
        <w:spacing w:after="0" w:line="240" w:lineRule="auto"/>
        <w:rPr>
          <w:rFonts w:eastAsia="Times New Roman" w:cstheme="minorHAnsi"/>
        </w:rPr>
      </w:pPr>
    </w:p>
    <w:p w14:paraId="3DE7FE45" w14:textId="77777777" w:rsidR="002B1840" w:rsidRDefault="002B1840" w:rsidP="002B1840">
      <w:pPr>
        <w:spacing w:after="0" w:line="240" w:lineRule="auto"/>
        <w:rPr>
          <w:rFonts w:eastAsia="Times New Roman" w:cstheme="minorHAnsi"/>
        </w:rPr>
      </w:pPr>
    </w:p>
    <w:p w14:paraId="44F5D025" w14:textId="77777777" w:rsidR="002B1840" w:rsidRDefault="002B1840" w:rsidP="002B1840">
      <w:pPr>
        <w:spacing w:after="0" w:line="240" w:lineRule="auto"/>
        <w:rPr>
          <w:rFonts w:eastAsia="Times New Roman" w:cstheme="minorHAnsi"/>
        </w:rPr>
      </w:pPr>
    </w:p>
    <w:p w14:paraId="7DAA81ED" w14:textId="77777777" w:rsidR="002B1840" w:rsidRDefault="002B1840" w:rsidP="002B1840">
      <w:pPr>
        <w:spacing w:after="0" w:line="240" w:lineRule="auto"/>
        <w:rPr>
          <w:rFonts w:eastAsia="Times New Roman" w:cstheme="minorHAnsi"/>
        </w:rPr>
      </w:pPr>
    </w:p>
    <w:p w14:paraId="78617041" w14:textId="77777777" w:rsidR="002B1840" w:rsidRPr="002B1840" w:rsidRDefault="002B1840" w:rsidP="002B1840">
      <w:pPr>
        <w:spacing w:after="0" w:line="240" w:lineRule="auto"/>
        <w:rPr>
          <w:rFonts w:eastAsia="Times New Roman" w:cstheme="minorHAnsi"/>
        </w:rPr>
      </w:pPr>
    </w:p>
    <w:p w14:paraId="4C5F0B66" w14:textId="7BBF220C" w:rsidR="00FD1903" w:rsidRPr="001E67F0" w:rsidRDefault="00FD1903" w:rsidP="00FD1903">
      <w:pPr>
        <w:rPr>
          <w:rFonts w:cstheme="minorHAnsi"/>
          <w:b/>
          <w:bCs/>
        </w:rPr>
      </w:pPr>
      <w:r w:rsidRPr="001E67F0">
        <w:rPr>
          <w:rFonts w:cstheme="minorHAnsi"/>
          <w:b/>
          <w:bCs/>
        </w:rPr>
        <w:t>Stakeholder Engagement</w:t>
      </w:r>
    </w:p>
    <w:p w14:paraId="0D35EDC6" w14:textId="42FA420E" w:rsidR="00AE756C" w:rsidRDefault="00FD1903">
      <w:pPr>
        <w:rPr>
          <w:rFonts w:cstheme="minorHAnsi"/>
        </w:rPr>
      </w:pPr>
      <w:r w:rsidRPr="001E67F0">
        <w:rPr>
          <w:rFonts w:cstheme="minorHAnsi"/>
        </w:rPr>
        <w:t xml:space="preserve">We will inform </w:t>
      </w:r>
      <w:r w:rsidR="00290684">
        <w:rPr>
          <w:rFonts w:cstheme="minorHAnsi"/>
        </w:rPr>
        <w:t xml:space="preserve">relevant </w:t>
      </w:r>
      <w:r w:rsidRPr="001E67F0">
        <w:rPr>
          <w:rFonts w:cstheme="minorHAnsi"/>
        </w:rPr>
        <w:t xml:space="preserve">stakeholders </w:t>
      </w:r>
      <w:r w:rsidR="00290684">
        <w:rPr>
          <w:rFonts w:cstheme="minorHAnsi"/>
        </w:rPr>
        <w:t xml:space="preserve">of the Seagrass Ocean Rescue North Wales project </w:t>
      </w:r>
      <w:r w:rsidR="00120146">
        <w:rPr>
          <w:rFonts w:cstheme="minorHAnsi"/>
        </w:rPr>
        <w:t xml:space="preserve">via </w:t>
      </w:r>
      <w:r w:rsidR="00E94722" w:rsidRPr="001E67F0">
        <w:rPr>
          <w:rFonts w:cstheme="minorHAnsi"/>
        </w:rPr>
        <w:t>Alison Palmer-Hargrave</w:t>
      </w:r>
      <w:r w:rsidR="00E42C72">
        <w:rPr>
          <w:rFonts w:cstheme="minorHAnsi"/>
        </w:rPr>
        <w:t xml:space="preserve"> (</w:t>
      </w:r>
      <w:r w:rsidR="00E94722" w:rsidRPr="001E67F0">
        <w:rPr>
          <w:rFonts w:cstheme="minorHAnsi"/>
        </w:rPr>
        <w:t xml:space="preserve">Pen Llyn </w:t>
      </w:r>
      <w:proofErr w:type="spellStart"/>
      <w:r w:rsidR="00E94722" w:rsidRPr="001E67F0">
        <w:rPr>
          <w:rFonts w:cstheme="minorHAnsi"/>
        </w:rPr>
        <w:t>a’r</w:t>
      </w:r>
      <w:proofErr w:type="spellEnd"/>
      <w:r w:rsidR="00E94722" w:rsidRPr="001E67F0">
        <w:rPr>
          <w:rFonts w:cstheme="minorHAnsi"/>
        </w:rPr>
        <w:t xml:space="preserve"> Sarnau</w:t>
      </w:r>
      <w:r w:rsidRPr="001E67F0">
        <w:rPr>
          <w:rFonts w:cstheme="minorHAnsi"/>
        </w:rPr>
        <w:t xml:space="preserve"> SAC </w:t>
      </w:r>
      <w:r w:rsidR="00E42C72">
        <w:rPr>
          <w:rFonts w:cstheme="minorHAnsi"/>
        </w:rPr>
        <w:t>O</w:t>
      </w:r>
      <w:r w:rsidRPr="001E67F0">
        <w:rPr>
          <w:rFonts w:cstheme="minorHAnsi"/>
        </w:rPr>
        <w:t>fficer</w:t>
      </w:r>
      <w:r w:rsidR="00E42C72">
        <w:rPr>
          <w:rFonts w:cstheme="minorHAnsi"/>
        </w:rPr>
        <w:t>), Nia Jones (Living Seas Manager at the North Wales Wildlife Trust), and Flo Taylor (Stakeholder Engagement Officer at Project Seagrass).</w:t>
      </w:r>
    </w:p>
    <w:p w14:paraId="573A8493" w14:textId="55B05DB6" w:rsidR="008F7BB1" w:rsidRDefault="008F7BB1">
      <w:pPr>
        <w:rPr>
          <w:rFonts w:cstheme="minorHAnsi"/>
        </w:rPr>
      </w:pPr>
    </w:p>
    <w:p w14:paraId="251B786E" w14:textId="28FA6A4A" w:rsidR="008F7BB1" w:rsidRDefault="008F7BB1">
      <w:pPr>
        <w:rPr>
          <w:rFonts w:cstheme="minorHAnsi"/>
          <w:b/>
          <w:bCs/>
        </w:rPr>
      </w:pPr>
      <w:r w:rsidRPr="008F7BB1">
        <w:rPr>
          <w:rFonts w:cstheme="minorHAnsi"/>
          <w:b/>
          <w:bCs/>
        </w:rPr>
        <w:t>References</w:t>
      </w:r>
    </w:p>
    <w:p w14:paraId="347271C8" w14:textId="77777777" w:rsidR="00CF6710" w:rsidRPr="00CF6710" w:rsidRDefault="008F7BB1" w:rsidP="00CF6710">
      <w:pPr>
        <w:pStyle w:val="Bibliography"/>
        <w:rPr>
          <w:rFonts w:ascii="Calibri" w:hAnsi="Calibri" w:cs="Calibri"/>
          <w:sz w:val="18"/>
        </w:rPr>
      </w:pPr>
      <w:r w:rsidRPr="008F7BB1">
        <w:rPr>
          <w:rFonts w:cstheme="minorHAnsi"/>
          <w:sz w:val="18"/>
          <w:szCs w:val="18"/>
        </w:rPr>
        <w:fldChar w:fldCharType="begin"/>
      </w:r>
      <w:r w:rsidR="00CF6710">
        <w:rPr>
          <w:rFonts w:cstheme="minorHAnsi"/>
          <w:sz w:val="18"/>
          <w:szCs w:val="18"/>
        </w:rPr>
        <w:instrText xml:space="preserve"> ADDIN ZOTERO_BIBL {"uncited":[],"omitted":[],"custom":[]} CSL_BIBLIOGRAPHY </w:instrText>
      </w:r>
      <w:r w:rsidRPr="008F7BB1">
        <w:rPr>
          <w:rFonts w:cstheme="minorHAnsi"/>
          <w:sz w:val="18"/>
          <w:szCs w:val="18"/>
        </w:rPr>
        <w:fldChar w:fldCharType="separate"/>
      </w:r>
      <w:r w:rsidR="00CF6710" w:rsidRPr="00CF6710">
        <w:rPr>
          <w:rFonts w:ascii="Calibri" w:hAnsi="Calibri" w:cs="Calibri"/>
          <w:sz w:val="18"/>
        </w:rPr>
        <w:t xml:space="preserve">Dalby, Oliver, Rhys A. Coleman, Yi Mei Tan, Geordie Jennings, Perran L. M. Cook, Emma L. Jackson, Peter I. Macreadie, and Craig D. H. Sherman. 2023. “Understanding the Seagrass‐sediment‐light Feedback to Guide Restoration Planning: A Case Study Using </w:t>
      </w:r>
      <w:r w:rsidR="00CF6710" w:rsidRPr="00CF6710">
        <w:rPr>
          <w:rFonts w:ascii="Calibri" w:hAnsi="Calibri" w:cs="Calibri"/>
          <w:i/>
          <w:iCs/>
          <w:sz w:val="18"/>
        </w:rPr>
        <w:t>Zostera Muelleri</w:t>
      </w:r>
      <w:r w:rsidR="00CF6710" w:rsidRPr="00CF6710">
        <w:rPr>
          <w:rFonts w:ascii="Calibri" w:hAnsi="Calibri" w:cs="Calibri"/>
          <w:sz w:val="18"/>
        </w:rPr>
        <w:t xml:space="preserve">.” </w:t>
      </w:r>
      <w:r w:rsidR="00CF6710" w:rsidRPr="00CF6710">
        <w:rPr>
          <w:rFonts w:ascii="Calibri" w:hAnsi="Calibri" w:cs="Calibri"/>
          <w:i/>
          <w:iCs/>
          <w:sz w:val="18"/>
        </w:rPr>
        <w:t>Restoration Ecology</w:t>
      </w:r>
      <w:r w:rsidR="00CF6710" w:rsidRPr="00CF6710">
        <w:rPr>
          <w:rFonts w:ascii="Calibri" w:hAnsi="Calibri" w:cs="Calibri"/>
          <w:sz w:val="18"/>
        </w:rPr>
        <w:t xml:space="preserve"> 31 (8): e14044. https://doi.org/10.1111/rec.14044.</w:t>
      </w:r>
    </w:p>
    <w:p w14:paraId="2583E86A"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 xml:space="preserve">Govers, Laura L., Jannes H. T. Heusinkveld, Max L. E. Gräfnings, Quirin Smeele, and Tjisse van der Heide. 2022. “Adaptive Intertidal Seed-Based Seagrass Restoration in the Dutch Wadden Sea.” Edited by Maura (Gee) Geraldine Chapman. </w:t>
      </w:r>
      <w:r w:rsidRPr="00CF6710">
        <w:rPr>
          <w:rFonts w:ascii="Calibri" w:hAnsi="Calibri" w:cs="Calibri"/>
          <w:i/>
          <w:iCs/>
          <w:sz w:val="18"/>
        </w:rPr>
        <w:t>PLOS ONE</w:t>
      </w:r>
      <w:r w:rsidRPr="00CF6710">
        <w:rPr>
          <w:rFonts w:ascii="Calibri" w:hAnsi="Calibri" w:cs="Calibri"/>
          <w:sz w:val="18"/>
        </w:rPr>
        <w:t xml:space="preserve"> 17 (2): e0262845. https://doi.org/10.1371/journal.pone.0262845.</w:t>
      </w:r>
    </w:p>
    <w:p w14:paraId="5077F8EB"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 xml:space="preserve">Gräfnings, Max L. E., Jannes H. T. Heusinkveld, Dieuwke J. J. Hoeijmakers, Quirin Smeele, Henk Wiersema, Maarten Zwarts, Tjisse van der Heide, and Laura L. Govers. 2023. “Optimizing Seed Injection as a Seagrass Restoration Method.” </w:t>
      </w:r>
      <w:r w:rsidRPr="00CF6710">
        <w:rPr>
          <w:rFonts w:ascii="Calibri" w:hAnsi="Calibri" w:cs="Calibri"/>
          <w:i/>
          <w:iCs/>
          <w:sz w:val="18"/>
        </w:rPr>
        <w:t>Restoration Ecology</w:t>
      </w:r>
      <w:r w:rsidRPr="00CF6710">
        <w:rPr>
          <w:rFonts w:ascii="Calibri" w:hAnsi="Calibri" w:cs="Calibri"/>
          <w:sz w:val="18"/>
        </w:rPr>
        <w:t xml:space="preserve"> 31 (3): e13851. https://doi.org/10.1111/rec.13851.</w:t>
      </w:r>
    </w:p>
    <w:p w14:paraId="25953FBA"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 xml:space="preserve">Marion, Scott R., and Robert J. Orth. 2010. “Innovative Techniques for Large-Scale Seagrass Restoration Using Zostera Marina (Eelgrass) Seeds.” </w:t>
      </w:r>
      <w:r w:rsidRPr="00CF6710">
        <w:rPr>
          <w:rFonts w:ascii="Calibri" w:hAnsi="Calibri" w:cs="Calibri"/>
          <w:i/>
          <w:iCs/>
          <w:sz w:val="18"/>
        </w:rPr>
        <w:t>Restoration Ecology</w:t>
      </w:r>
      <w:r w:rsidRPr="00CF6710">
        <w:rPr>
          <w:rFonts w:ascii="Calibri" w:hAnsi="Calibri" w:cs="Calibri"/>
          <w:sz w:val="18"/>
        </w:rPr>
        <w:t xml:space="preserve"> 18 (4): 514–26. https://doi.org/10.1111/j.1526-100X.2010.00692.x.</w:t>
      </w:r>
    </w:p>
    <w:p w14:paraId="69BA9763"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 xml:space="preserve">Maxwell, Paul S., Johan S. Eklöf, Marieke M. Van Katwijk, Katherine R. O’Brien, Maricela De La Torre‐Castro, Christoffer Boström, Tjeerd J. Bouma, et al. 2017. “The Fundamental Role of Ecological Feedback Mechanisms for the Adaptive Management of Seagrass Ecosystems – a Review.” </w:t>
      </w:r>
      <w:r w:rsidRPr="00CF6710">
        <w:rPr>
          <w:rFonts w:ascii="Calibri" w:hAnsi="Calibri" w:cs="Calibri"/>
          <w:i/>
          <w:iCs/>
          <w:sz w:val="18"/>
        </w:rPr>
        <w:t>Biological Reviews</w:t>
      </w:r>
      <w:r w:rsidRPr="00CF6710">
        <w:rPr>
          <w:rFonts w:ascii="Calibri" w:hAnsi="Calibri" w:cs="Calibri"/>
          <w:sz w:val="18"/>
        </w:rPr>
        <w:t xml:space="preserve"> 92 (3): 1521–38. https://doi.org/10.1111/brv.12294.</w:t>
      </w:r>
    </w:p>
    <w:p w14:paraId="364EA27B"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Orth, Robert, Scott Marion, Steven Granger, and Michael Traber. 2008. “Restoring Eelgrass (Zostera Marina) from Seed: A Comparison of Planting Methods for Large-Scale Projects:” Fort Belvoir, VA: Defense Technical Information Center. https://doi.org/10.21236/ADA478894.</w:t>
      </w:r>
    </w:p>
    <w:p w14:paraId="01BC29A5"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 xml:space="preserve">Traber, Michael, Steven Granger, and S Nixon. 2003. “Mechanical Seeder Provides Alternative Method for Restoring Eelgrass Habitat (Rhode Island).” </w:t>
      </w:r>
      <w:r w:rsidRPr="00CF6710">
        <w:rPr>
          <w:rFonts w:ascii="Calibri" w:hAnsi="Calibri" w:cs="Calibri"/>
          <w:i/>
          <w:iCs/>
          <w:sz w:val="18"/>
        </w:rPr>
        <w:t>Ecological Restoration</w:t>
      </w:r>
      <w:r w:rsidRPr="00CF6710">
        <w:rPr>
          <w:rFonts w:ascii="Calibri" w:hAnsi="Calibri" w:cs="Calibri"/>
          <w:sz w:val="18"/>
        </w:rPr>
        <w:t xml:space="preserve"> 21: 213–14.</w:t>
      </w:r>
    </w:p>
    <w:p w14:paraId="2A965411"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 xml:space="preserve">Van Katwijk, Marieke M., Anitra Thorhaug, Núria Marbà, Robert J. Orth, Carlos M. Duarte, Gary A. Kendrick, Inge H. J. Althuizen, et al. 2016. “Global Analysis of Seagrass Restoration: The Importance of Large‐scale Planting.” Edited by Henrik Österblom. </w:t>
      </w:r>
      <w:r w:rsidRPr="00CF6710">
        <w:rPr>
          <w:rFonts w:ascii="Calibri" w:hAnsi="Calibri" w:cs="Calibri"/>
          <w:i/>
          <w:iCs/>
          <w:sz w:val="18"/>
        </w:rPr>
        <w:t>Journal of Applied Ecology</w:t>
      </w:r>
      <w:r w:rsidRPr="00CF6710">
        <w:rPr>
          <w:rFonts w:ascii="Calibri" w:hAnsi="Calibri" w:cs="Calibri"/>
          <w:sz w:val="18"/>
        </w:rPr>
        <w:t xml:space="preserve"> 53 (2): 567–78. https://doi.org/10.1111/1365-2664.12562.</w:t>
      </w:r>
    </w:p>
    <w:p w14:paraId="6423E1B3" w14:textId="77777777" w:rsidR="00CF6710" w:rsidRPr="00CF6710" w:rsidRDefault="00CF6710" w:rsidP="00CF6710">
      <w:pPr>
        <w:pStyle w:val="Bibliography"/>
        <w:rPr>
          <w:rFonts w:ascii="Calibri" w:hAnsi="Calibri" w:cs="Calibri"/>
          <w:sz w:val="18"/>
        </w:rPr>
      </w:pPr>
      <w:r w:rsidRPr="00CF6710">
        <w:rPr>
          <w:rFonts w:ascii="Calibri" w:hAnsi="Calibri" w:cs="Calibri"/>
          <w:sz w:val="18"/>
        </w:rPr>
        <w:t xml:space="preserve">Xu, Shaochun, Yi Zhou, Yongliang Qiao, Shidong Yue, Xiaomei Zhang, Yu Zhang, Mingjie Liu, Yunling Zhang, and Zhenhai Zhang. 2022. “Seagrass Restoration Using Seed Ball Burial in Northern China.” </w:t>
      </w:r>
      <w:r w:rsidRPr="00CF6710">
        <w:rPr>
          <w:rFonts w:ascii="Calibri" w:hAnsi="Calibri" w:cs="Calibri"/>
          <w:i/>
          <w:iCs/>
          <w:sz w:val="18"/>
        </w:rPr>
        <w:t>Restoration Ecology</w:t>
      </w:r>
      <w:r w:rsidRPr="00CF6710">
        <w:rPr>
          <w:rFonts w:ascii="Calibri" w:hAnsi="Calibri" w:cs="Calibri"/>
          <w:sz w:val="18"/>
        </w:rPr>
        <w:t>, April. https://doi.org/10.1111/rec.13691.</w:t>
      </w:r>
    </w:p>
    <w:p w14:paraId="203DB8B4" w14:textId="59B2CC72" w:rsidR="008F7BB1" w:rsidRPr="008F7BB1" w:rsidRDefault="008F7BB1">
      <w:pPr>
        <w:rPr>
          <w:rFonts w:cstheme="minorHAnsi"/>
        </w:rPr>
      </w:pPr>
      <w:r w:rsidRPr="008F7BB1">
        <w:rPr>
          <w:rFonts w:cstheme="minorHAnsi"/>
          <w:sz w:val="18"/>
          <w:szCs w:val="18"/>
        </w:rPr>
        <w:fldChar w:fldCharType="end"/>
      </w:r>
    </w:p>
    <w:sectPr w:rsidR="008F7BB1" w:rsidRPr="008F7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D220C"/>
    <w:multiLevelType w:val="hybridMultilevel"/>
    <w:tmpl w:val="634A69F2"/>
    <w:lvl w:ilvl="0" w:tplc="D9C4CE68">
      <w:start w:val="1"/>
      <w:numFmt w:val="decimal"/>
      <w:lvlText w:val="%1."/>
      <w:lvlJc w:val="left"/>
      <w:pPr>
        <w:ind w:left="720" w:hanging="360"/>
      </w:pPr>
      <w:rPr>
        <w:rFonts w:asciiTheme="minorHAnsi" w:eastAsia="Times New Roman" w:hAnsiTheme="minorHAnsi" w:cstheme="minorHAns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D32529"/>
    <w:multiLevelType w:val="hybridMultilevel"/>
    <w:tmpl w:val="BAE80870"/>
    <w:lvl w:ilvl="0" w:tplc="D0304474">
      <w:start w:val="1"/>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5417B"/>
    <w:multiLevelType w:val="hybridMultilevel"/>
    <w:tmpl w:val="7664484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41E63"/>
    <w:multiLevelType w:val="hybridMultilevel"/>
    <w:tmpl w:val="C3D68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6702E4"/>
    <w:multiLevelType w:val="hybridMultilevel"/>
    <w:tmpl w:val="1646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52413"/>
    <w:multiLevelType w:val="hybridMultilevel"/>
    <w:tmpl w:val="A90840A8"/>
    <w:lvl w:ilvl="0" w:tplc="476C7B60">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E35D7F"/>
    <w:multiLevelType w:val="hybridMultilevel"/>
    <w:tmpl w:val="7A188CCA"/>
    <w:lvl w:ilvl="0" w:tplc="D0304474">
      <w:start w:val="1"/>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6967113">
    <w:abstractNumId w:val="3"/>
  </w:num>
  <w:num w:numId="2" w16cid:durableId="1771512411">
    <w:abstractNumId w:val="2"/>
  </w:num>
  <w:num w:numId="3" w16cid:durableId="1729917796">
    <w:abstractNumId w:val="4"/>
  </w:num>
  <w:num w:numId="4" w16cid:durableId="1533806715">
    <w:abstractNumId w:val="0"/>
  </w:num>
  <w:num w:numId="5" w16cid:durableId="523372129">
    <w:abstractNumId w:val="5"/>
  </w:num>
  <w:num w:numId="6" w16cid:durableId="732510969">
    <w:abstractNumId w:val="6"/>
  </w:num>
  <w:num w:numId="7" w16cid:durableId="59988738">
    <w:abstractNumId w:val="0"/>
  </w:num>
  <w:num w:numId="8" w16cid:durableId="2058435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xNzM2Njc2NTExMTZQ0lEKTi0uzszPAykwrAUArmcuzywAAAA="/>
  </w:docVars>
  <w:rsids>
    <w:rsidRoot w:val="00D2216D"/>
    <w:rsid w:val="000219B4"/>
    <w:rsid w:val="00027A42"/>
    <w:rsid w:val="000324FC"/>
    <w:rsid w:val="00082DE0"/>
    <w:rsid w:val="00093F45"/>
    <w:rsid w:val="000B0576"/>
    <w:rsid w:val="000D3622"/>
    <w:rsid w:val="00120146"/>
    <w:rsid w:val="00152008"/>
    <w:rsid w:val="001866C8"/>
    <w:rsid w:val="00196EA6"/>
    <w:rsid w:val="001C2F92"/>
    <w:rsid w:val="001E304D"/>
    <w:rsid w:val="001E67F0"/>
    <w:rsid w:val="00290684"/>
    <w:rsid w:val="002B1840"/>
    <w:rsid w:val="002D723E"/>
    <w:rsid w:val="003119B9"/>
    <w:rsid w:val="003947CF"/>
    <w:rsid w:val="003B43DF"/>
    <w:rsid w:val="003C28A0"/>
    <w:rsid w:val="00444A1C"/>
    <w:rsid w:val="0045403D"/>
    <w:rsid w:val="00467A7A"/>
    <w:rsid w:val="00504908"/>
    <w:rsid w:val="005614D8"/>
    <w:rsid w:val="00584205"/>
    <w:rsid w:val="00584C27"/>
    <w:rsid w:val="00594B21"/>
    <w:rsid w:val="005E352F"/>
    <w:rsid w:val="00634B45"/>
    <w:rsid w:val="00680B34"/>
    <w:rsid w:val="0068122B"/>
    <w:rsid w:val="00684B45"/>
    <w:rsid w:val="00687580"/>
    <w:rsid w:val="0074207E"/>
    <w:rsid w:val="00744955"/>
    <w:rsid w:val="007674C2"/>
    <w:rsid w:val="007957FD"/>
    <w:rsid w:val="007A295A"/>
    <w:rsid w:val="007A5DB8"/>
    <w:rsid w:val="008363C5"/>
    <w:rsid w:val="008478F4"/>
    <w:rsid w:val="00861FB0"/>
    <w:rsid w:val="008703F3"/>
    <w:rsid w:val="008754D9"/>
    <w:rsid w:val="00877216"/>
    <w:rsid w:val="008F7BB1"/>
    <w:rsid w:val="00900AB4"/>
    <w:rsid w:val="009163E2"/>
    <w:rsid w:val="00954CE7"/>
    <w:rsid w:val="00977BAD"/>
    <w:rsid w:val="0098091D"/>
    <w:rsid w:val="009A27D1"/>
    <w:rsid w:val="009C2337"/>
    <w:rsid w:val="00A20DE7"/>
    <w:rsid w:val="00A43082"/>
    <w:rsid w:val="00AD69ED"/>
    <w:rsid w:val="00AD72D0"/>
    <w:rsid w:val="00AE756C"/>
    <w:rsid w:val="00AF42D3"/>
    <w:rsid w:val="00BD4606"/>
    <w:rsid w:val="00C0700D"/>
    <w:rsid w:val="00C141F3"/>
    <w:rsid w:val="00C2126B"/>
    <w:rsid w:val="00C45D1A"/>
    <w:rsid w:val="00C47256"/>
    <w:rsid w:val="00C620D2"/>
    <w:rsid w:val="00C62998"/>
    <w:rsid w:val="00C62F5E"/>
    <w:rsid w:val="00CB5E54"/>
    <w:rsid w:val="00CC3DA0"/>
    <w:rsid w:val="00CF6710"/>
    <w:rsid w:val="00D2216D"/>
    <w:rsid w:val="00D61F57"/>
    <w:rsid w:val="00D94E56"/>
    <w:rsid w:val="00DA0934"/>
    <w:rsid w:val="00DA2E7A"/>
    <w:rsid w:val="00DB25A4"/>
    <w:rsid w:val="00DC37FC"/>
    <w:rsid w:val="00DC69CA"/>
    <w:rsid w:val="00DE4E76"/>
    <w:rsid w:val="00E05EC8"/>
    <w:rsid w:val="00E12EBD"/>
    <w:rsid w:val="00E179B4"/>
    <w:rsid w:val="00E33CBC"/>
    <w:rsid w:val="00E42C72"/>
    <w:rsid w:val="00E609A4"/>
    <w:rsid w:val="00E6630C"/>
    <w:rsid w:val="00E864EE"/>
    <w:rsid w:val="00E94722"/>
    <w:rsid w:val="00F83D20"/>
    <w:rsid w:val="00F856A8"/>
    <w:rsid w:val="00FA1C0D"/>
    <w:rsid w:val="00FA4B24"/>
    <w:rsid w:val="00FB2DB3"/>
    <w:rsid w:val="00FB57A8"/>
    <w:rsid w:val="00FC1BD9"/>
    <w:rsid w:val="00FC5977"/>
    <w:rsid w:val="00FD1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DE83"/>
  <w15:chartTrackingRefBased/>
  <w15:docId w15:val="{406C2CF2-82B1-49A2-84CA-325066D6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9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D1903"/>
    <w:pPr>
      <w:spacing w:after="200" w:line="240" w:lineRule="auto"/>
    </w:pPr>
    <w:rPr>
      <w:i/>
      <w:iCs/>
      <w:color w:val="44546A" w:themeColor="text2"/>
      <w:sz w:val="18"/>
      <w:szCs w:val="18"/>
    </w:rPr>
  </w:style>
  <w:style w:type="paragraph" w:styleId="ListParagraph">
    <w:name w:val="List Paragraph"/>
    <w:basedOn w:val="Normal"/>
    <w:uiPriority w:val="34"/>
    <w:qFormat/>
    <w:rsid w:val="00FD1903"/>
    <w:pPr>
      <w:ind w:left="720"/>
      <w:contextualSpacing/>
    </w:pPr>
  </w:style>
  <w:style w:type="character" w:styleId="Hyperlink">
    <w:name w:val="Hyperlink"/>
    <w:basedOn w:val="DefaultParagraphFont"/>
    <w:uiPriority w:val="99"/>
    <w:unhideWhenUsed/>
    <w:rsid w:val="00FD1903"/>
    <w:rPr>
      <w:color w:val="0000FF"/>
      <w:u w:val="single"/>
    </w:rPr>
  </w:style>
  <w:style w:type="table" w:styleId="TableGrid">
    <w:name w:val="Table Grid"/>
    <w:basedOn w:val="TableNormal"/>
    <w:uiPriority w:val="39"/>
    <w:rsid w:val="00DA2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69CA"/>
    <w:rPr>
      <w:color w:val="605E5C"/>
      <w:shd w:val="clear" w:color="auto" w:fill="E1DFDD"/>
    </w:rPr>
  </w:style>
  <w:style w:type="paragraph" w:styleId="NoSpacing">
    <w:name w:val="No Spacing"/>
    <w:uiPriority w:val="1"/>
    <w:qFormat/>
    <w:rsid w:val="000B0576"/>
    <w:pPr>
      <w:spacing w:after="0" w:line="240" w:lineRule="auto"/>
    </w:pPr>
  </w:style>
  <w:style w:type="paragraph" w:styleId="Bibliography">
    <w:name w:val="Bibliography"/>
    <w:basedOn w:val="Normal"/>
    <w:next w:val="Normal"/>
    <w:uiPriority w:val="37"/>
    <w:unhideWhenUsed/>
    <w:rsid w:val="008F7BB1"/>
    <w:pPr>
      <w:spacing w:after="0" w:line="240" w:lineRule="auto"/>
      <w:ind w:left="720" w:hanging="720"/>
    </w:pPr>
  </w:style>
  <w:style w:type="character" w:styleId="CommentReference">
    <w:name w:val="annotation reference"/>
    <w:basedOn w:val="DefaultParagraphFont"/>
    <w:uiPriority w:val="99"/>
    <w:semiHidden/>
    <w:unhideWhenUsed/>
    <w:rsid w:val="00467A7A"/>
    <w:rPr>
      <w:sz w:val="16"/>
      <w:szCs w:val="16"/>
    </w:rPr>
  </w:style>
  <w:style w:type="paragraph" w:styleId="CommentText">
    <w:name w:val="annotation text"/>
    <w:basedOn w:val="Normal"/>
    <w:link w:val="CommentTextChar"/>
    <w:uiPriority w:val="99"/>
    <w:unhideWhenUsed/>
    <w:rsid w:val="00467A7A"/>
    <w:pPr>
      <w:spacing w:line="240" w:lineRule="auto"/>
    </w:pPr>
    <w:rPr>
      <w:sz w:val="20"/>
      <w:szCs w:val="20"/>
    </w:rPr>
  </w:style>
  <w:style w:type="character" w:customStyle="1" w:styleId="CommentTextChar">
    <w:name w:val="Comment Text Char"/>
    <w:basedOn w:val="DefaultParagraphFont"/>
    <w:link w:val="CommentText"/>
    <w:uiPriority w:val="99"/>
    <w:rsid w:val="00467A7A"/>
    <w:rPr>
      <w:sz w:val="20"/>
      <w:szCs w:val="20"/>
    </w:rPr>
  </w:style>
  <w:style w:type="paragraph" w:styleId="CommentSubject">
    <w:name w:val="annotation subject"/>
    <w:basedOn w:val="CommentText"/>
    <w:next w:val="CommentText"/>
    <w:link w:val="CommentSubjectChar"/>
    <w:uiPriority w:val="99"/>
    <w:semiHidden/>
    <w:unhideWhenUsed/>
    <w:rsid w:val="00467A7A"/>
    <w:rPr>
      <w:b/>
      <w:bCs/>
    </w:rPr>
  </w:style>
  <w:style w:type="character" w:customStyle="1" w:styleId="CommentSubjectChar">
    <w:name w:val="Comment Subject Char"/>
    <w:basedOn w:val="CommentTextChar"/>
    <w:link w:val="CommentSubject"/>
    <w:uiPriority w:val="99"/>
    <w:semiHidden/>
    <w:rsid w:val="00467A7A"/>
    <w:rPr>
      <w:b/>
      <w:bCs/>
      <w:sz w:val="20"/>
      <w:szCs w:val="20"/>
    </w:rPr>
  </w:style>
  <w:style w:type="paragraph" w:styleId="Revision">
    <w:name w:val="Revision"/>
    <w:hidden/>
    <w:uiPriority w:val="99"/>
    <w:semiHidden/>
    <w:rsid w:val="001C2F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2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customXml" Target="../customXml/item5.xml"/><Relationship Id="rId1" Type="http://schemas.openxmlformats.org/officeDocument/2006/relationships/numbering" Target="numbering.xml"/><Relationship Id="rId6" Type="http://schemas.openxmlformats.org/officeDocument/2006/relationships/hyperlink" Target="mailto:Richard@projectseagrass.org" TargetMode="External"/><Relationship Id="rId11" Type="http://schemas.openxmlformats.org/officeDocument/2006/relationships/theme" Target="theme/theme1.xml"/><Relationship Id="rId5" Type="http://schemas.openxmlformats.org/officeDocument/2006/relationships/hyperlink" Target="mailto:Stijn.denhaan@swansea.ac.uk" TargetMode="Externa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7" ma:contentTypeDescription="Permitting &amp; Compliance Word Document" ma:contentTypeScope="" ma:versionID="5c3f3c152ff521005030f2eb8ce55a6f">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ab3fb8eaf9c70aa4d565ca2abf3906e1"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Seagrass Ocean Rescue</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PO Box 412, Bridgend, CF31 9RL</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2023-12-20T00:00:00+00:00</Document_x0020_Date>
    <Facility_x0020_Address xmlns="859f7ad6-93f6-4205-b62b-a17f28acbbac">Seagrass Ocean Rescue</Facility_x0020_Address>
    <Environment_x0020_Sub_x0020_Folder xmlns="859f7ad6-93f6-4205-b62b-a17f28acbbac">Licence variation</Environment_x0020_Sub_x0020_Folder>
    <Customer_x0020_Name xmlns="859f7ad6-93f6-4205-b62b-a17f28acbbac">Project Seagrass</Customer_x0020_Name>
    <Surrendered_x002f_Expired_x0020_Date xmlns="859f7ad6-93f6-4205-b62b-a17f28acbbac" xsi:nil="true"/>
    <_dlc_DocId xmlns="9be56660-2c31-41ef-bc00-23e72f632f2a">REGU-1960830588-5062</_dlc_DocId>
    <_dlc_DocIdUrl xmlns="9be56660-2c31-41ef-bc00-23e72f632f2a">
      <Url>https://cyfoethnaturiolcymru.sharepoint.com/teams/Regulatory/Permitting/ml/_layouts/15/DocIdRedir.aspx?ID=REGU-1960830588-5062</Url>
      <Description>REGU-1960830588-5062</Description>
    </_dlc_DocIdUrl>
  </documentManagement>
</p:properties>
</file>

<file path=customXml/itemProps1.xml><?xml version="1.0" encoding="utf-8"?>
<ds:datastoreItem xmlns:ds="http://schemas.openxmlformats.org/officeDocument/2006/customXml" ds:itemID="{78CF4653-3677-48E6-B432-EF56BA1A4CCF}"/>
</file>

<file path=customXml/itemProps2.xml><?xml version="1.0" encoding="utf-8"?>
<ds:datastoreItem xmlns:ds="http://schemas.openxmlformats.org/officeDocument/2006/customXml" ds:itemID="{6649F898-ADB8-4953-B910-55492525D796}"/>
</file>

<file path=customXml/itemProps3.xml><?xml version="1.0" encoding="utf-8"?>
<ds:datastoreItem xmlns:ds="http://schemas.openxmlformats.org/officeDocument/2006/customXml" ds:itemID="{27E8309C-8E7E-49B3-8E4B-4075847C2815}"/>
</file>

<file path=customXml/itemProps4.xml><?xml version="1.0" encoding="utf-8"?>
<ds:datastoreItem xmlns:ds="http://schemas.openxmlformats.org/officeDocument/2006/customXml" ds:itemID="{43071A80-2857-4621-BBF3-36C50A6169F6}"/>
</file>

<file path=customXml/itemProps5.xml><?xml version="1.0" encoding="utf-8"?>
<ds:datastoreItem xmlns:ds="http://schemas.openxmlformats.org/officeDocument/2006/customXml" ds:itemID="{35606B85-D1F3-4756-9C15-16FCD43ED793}"/>
</file>

<file path=docProps/app.xml><?xml version="1.0" encoding="utf-8"?>
<Properties xmlns="http://schemas.openxmlformats.org/officeDocument/2006/extended-properties" xmlns:vt="http://schemas.openxmlformats.org/officeDocument/2006/docPropsVTypes">
  <Template>Normal</Template>
  <TotalTime>1</TotalTime>
  <Pages>4</Pages>
  <Words>5142</Words>
  <Characters>29315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DEML2248v1 - 20231220_DEML2248-Change-Request</dc:title>
  <dc:subject/>
  <dc:creator>Sam Rees</dc:creator>
  <cp:keywords/>
  <dc:description/>
  <cp:lastModifiedBy>O'Hara, Tim</cp:lastModifiedBy>
  <cp:revision>2</cp:revision>
  <dcterms:created xsi:type="dcterms:W3CDTF">2023-12-20T13:43:00Z</dcterms:created>
  <dcterms:modified xsi:type="dcterms:W3CDTF">2023-12-20T13:43:00Z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id="KfVMh15t"/&gt;&lt;style id="http://www.zotero.org/styles/chicago-author-date" locale="en-US" hasBibliography="1" bibliographyStyleHasBeenSet="1"/&gt;&lt;prefs&gt;&lt;pref name="fieldType" value="Field"/&gt;&lt;/prefs&gt;&lt;/</vt:lpwstr>
  </property>
  <property fmtid="{D5CDD505-2E9C-101B-9397-08002B2CF9AE}" pid="3" name="ZOTERO_PREF_2">
    <vt:lpwstr>data&gt;</vt:lpwstr>
  </property>
  <property fmtid="{D5CDD505-2E9C-101B-9397-08002B2CF9AE}" pid="4" name="ContentTypeId">
    <vt:lpwstr>0x01010067EB80C5FE939D4A9B3D8BA62129B7F5010200380BFF1F7EE7B34CA5031045FA3421FD</vt:lpwstr>
  </property>
  <property fmtid="{D5CDD505-2E9C-101B-9397-08002B2CF9AE}" pid="5" name="_dlc_DocIdItemGuid">
    <vt:lpwstr>1c599991-b1eb-4fcb-8573-df0c36ce3269</vt:lpwstr>
  </property>
  <property fmtid="{D5CDD505-2E9C-101B-9397-08002B2CF9AE}" pid="6" name="MediaServiceImageTags">
    <vt:lpwstr/>
  </property>
</Properties>
</file>