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4561BC8" w:rsidR="00D04424" w:rsidRPr="00623CF6" w:rsidRDefault="0014332B" w:rsidP="003719AD">
      <w:pPr>
        <w:pStyle w:val="Heading1"/>
        <w:spacing w:before="0" w:after="0"/>
        <w:jc w:val="left"/>
        <w:rPr>
          <w:bCs/>
          <w:color w:val="0D0D0D" w:themeColor="text1" w:themeTint="F2"/>
          <w:sz w:val="32"/>
        </w:rPr>
      </w:pPr>
      <w:r w:rsidRPr="00623CF6">
        <w:rPr>
          <w:bCs/>
          <w:color w:val="0D0D0D" w:themeColor="text1" w:themeTint="F2"/>
          <w:sz w:val="32"/>
        </w:rPr>
        <w:t>Bespoke p</w:t>
      </w:r>
      <w:r w:rsidR="00D04424" w:rsidRPr="00623CF6">
        <w:rPr>
          <w:bCs/>
          <w:color w:val="0D0D0D" w:themeColor="text1" w:themeTint="F2"/>
          <w:sz w:val="32"/>
        </w:rPr>
        <w:t>ermit</w:t>
      </w:r>
      <w:r w:rsidR="00B73ECB" w:rsidRPr="00623CF6">
        <w:rPr>
          <w:bCs/>
          <w:color w:val="0D0D0D" w:themeColor="text1" w:themeTint="F2"/>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3994F64D" w14:textId="77777777" w:rsidR="00B72892" w:rsidRPr="00623CF6" w:rsidRDefault="0060457F" w:rsidP="00B72892">
      <w:pPr>
        <w:spacing w:after="120"/>
        <w:rPr>
          <w:rFonts w:ascii="Arial" w:hAnsi="Arial" w:cs="Arial"/>
          <w:color w:val="0D0D0D" w:themeColor="text1" w:themeTint="F2"/>
          <w:szCs w:val="24"/>
        </w:rPr>
      </w:pPr>
      <w:r w:rsidRPr="0014332B">
        <w:rPr>
          <w:rFonts w:ascii="Arial" w:hAnsi="Arial" w:cs="Arial"/>
          <w:szCs w:val="24"/>
        </w:rPr>
        <w:t xml:space="preserve">We </w:t>
      </w:r>
      <w:r w:rsidRPr="00623CF6">
        <w:rPr>
          <w:rFonts w:ascii="Arial" w:hAnsi="Arial" w:cs="Arial"/>
          <w:color w:val="0D0D0D" w:themeColor="text1" w:themeTint="F2"/>
          <w:szCs w:val="24"/>
        </w:rPr>
        <w:t xml:space="preserve">have decided to </w:t>
      </w:r>
      <w:r w:rsidR="00D2020E" w:rsidRPr="00623CF6">
        <w:rPr>
          <w:rFonts w:ascii="Arial" w:hAnsi="Arial" w:cs="Arial"/>
          <w:color w:val="0D0D0D" w:themeColor="text1" w:themeTint="F2"/>
          <w:szCs w:val="24"/>
        </w:rPr>
        <w:t xml:space="preserve">grant </w:t>
      </w:r>
      <w:r w:rsidRPr="00623CF6">
        <w:rPr>
          <w:rFonts w:ascii="Arial" w:hAnsi="Arial" w:cs="Arial"/>
          <w:color w:val="0D0D0D" w:themeColor="text1" w:themeTint="F2"/>
          <w:szCs w:val="24"/>
        </w:rPr>
        <w:t xml:space="preserve">the permit for </w:t>
      </w:r>
      <w:r w:rsidR="00B72892" w:rsidRPr="00623CF6">
        <w:rPr>
          <w:rFonts w:ascii="Arial" w:hAnsi="Arial" w:cs="Arial"/>
          <w:color w:val="0D0D0D" w:themeColor="text1" w:themeTint="F2"/>
          <w:szCs w:val="24"/>
        </w:rPr>
        <w:t>Roath Park Lake Reservoir</w:t>
      </w:r>
    </w:p>
    <w:p w14:paraId="0FF15250" w14:textId="67A50846" w:rsidR="00D04424" w:rsidRPr="00623CF6" w:rsidRDefault="0060457F" w:rsidP="00B72892">
      <w:pPr>
        <w:spacing w:after="120"/>
        <w:rPr>
          <w:rFonts w:ascii="Arial" w:hAnsi="Arial" w:cs="Arial"/>
          <w:color w:val="0D0D0D" w:themeColor="text1" w:themeTint="F2"/>
          <w:szCs w:val="24"/>
        </w:rPr>
      </w:pPr>
      <w:r w:rsidRPr="00623CF6">
        <w:rPr>
          <w:rFonts w:ascii="Arial" w:hAnsi="Arial" w:cs="Arial"/>
          <w:color w:val="0D0D0D" w:themeColor="text1" w:themeTint="F2"/>
          <w:szCs w:val="24"/>
        </w:rPr>
        <w:t xml:space="preserve">operated by </w:t>
      </w:r>
      <w:r w:rsidR="00B72892" w:rsidRPr="00623CF6">
        <w:rPr>
          <w:rFonts w:ascii="Arial" w:hAnsi="Arial" w:cs="Arial"/>
          <w:color w:val="0D0D0D" w:themeColor="text1" w:themeTint="F2"/>
          <w:szCs w:val="24"/>
        </w:rPr>
        <w:t>Cardiff City Council</w:t>
      </w:r>
      <w:r w:rsidR="001034AC" w:rsidRPr="00623CF6">
        <w:rPr>
          <w:rFonts w:ascii="Arial" w:hAnsi="Arial" w:cs="Arial"/>
          <w:color w:val="0D0D0D" w:themeColor="text1" w:themeTint="F2"/>
          <w:szCs w:val="24"/>
        </w:rPr>
        <w:t>.</w:t>
      </w:r>
    </w:p>
    <w:p w14:paraId="178F17B4" w14:textId="4A71DCAB" w:rsidR="00E907C6" w:rsidRPr="00623CF6" w:rsidRDefault="00E907C6" w:rsidP="006B0BFB">
      <w:pPr>
        <w:tabs>
          <w:tab w:val="left" w:pos="4253"/>
          <w:tab w:val="left" w:pos="6804"/>
        </w:tabs>
        <w:spacing w:after="120"/>
        <w:rPr>
          <w:rFonts w:ascii="Arial" w:hAnsi="Arial"/>
          <w:color w:val="0D0D0D" w:themeColor="text1" w:themeTint="F2"/>
          <w:kern w:val="28"/>
          <w:szCs w:val="24"/>
        </w:rPr>
      </w:pPr>
      <w:bookmarkStart w:id="0" w:name="OLE_LINK1"/>
      <w:bookmarkStart w:id="1" w:name="OLE_LINK2"/>
      <w:r w:rsidRPr="00623CF6">
        <w:rPr>
          <w:rFonts w:ascii="Arial" w:hAnsi="Arial"/>
          <w:color w:val="0D0D0D" w:themeColor="text1" w:themeTint="F2"/>
          <w:kern w:val="28"/>
          <w:szCs w:val="24"/>
        </w:rPr>
        <w:t>The application number is</w:t>
      </w:r>
      <w:r w:rsidR="00B72892" w:rsidRPr="00623CF6">
        <w:rPr>
          <w:rFonts w:ascii="Arial" w:hAnsi="Arial"/>
          <w:color w:val="0D0D0D" w:themeColor="text1" w:themeTint="F2"/>
          <w:kern w:val="28"/>
          <w:szCs w:val="24"/>
        </w:rPr>
        <w:t xml:space="preserve"> PAN-022299</w:t>
      </w:r>
    </w:p>
    <w:p w14:paraId="0FF15251" w14:textId="003D53E0" w:rsidR="00D04424" w:rsidRPr="00C22999" w:rsidRDefault="00D04424" w:rsidP="006B0BFB">
      <w:pPr>
        <w:tabs>
          <w:tab w:val="left" w:pos="4253"/>
          <w:tab w:val="left" w:pos="6804"/>
        </w:tabs>
        <w:spacing w:after="120"/>
        <w:rPr>
          <w:rFonts w:ascii="Arial" w:hAnsi="Arial"/>
          <w:color w:val="FF0000"/>
          <w:szCs w:val="24"/>
        </w:rPr>
      </w:pPr>
      <w:r w:rsidRPr="00623CF6">
        <w:rPr>
          <w:rFonts w:ascii="Arial" w:hAnsi="Arial"/>
          <w:color w:val="0D0D0D" w:themeColor="text1" w:themeTint="F2"/>
          <w:kern w:val="28"/>
          <w:szCs w:val="24"/>
        </w:rPr>
        <w:t>The</w:t>
      </w:r>
      <w:r w:rsidRPr="00623CF6">
        <w:rPr>
          <w:rFonts w:ascii="Arial" w:hAnsi="Arial"/>
          <w:b/>
          <w:color w:val="0D0D0D" w:themeColor="text1" w:themeTint="F2"/>
          <w:kern w:val="28"/>
          <w:szCs w:val="24"/>
        </w:rPr>
        <w:t xml:space="preserve"> </w:t>
      </w:r>
      <w:r w:rsidRPr="00623CF6">
        <w:rPr>
          <w:rFonts w:ascii="Arial" w:hAnsi="Arial"/>
          <w:color w:val="0D0D0D" w:themeColor="text1" w:themeTint="F2"/>
          <w:szCs w:val="24"/>
        </w:rPr>
        <w:t xml:space="preserve">permit number is </w:t>
      </w:r>
      <w:r w:rsidR="00281D38" w:rsidRPr="00281D38">
        <w:rPr>
          <w:rFonts w:ascii="Arial" w:hAnsi="Arial"/>
          <w:color w:val="0D0D0D" w:themeColor="text1" w:themeTint="F2"/>
          <w:szCs w:val="24"/>
        </w:rPr>
        <w:t>EPR/</w:t>
      </w:r>
      <w:r w:rsidR="00281D38" w:rsidRPr="00281D38">
        <w:rPr>
          <w:rFonts w:ascii="Arial" w:hAnsi="Arial"/>
          <w:color w:val="0D0D0D" w:themeColor="text1" w:themeTint="F2"/>
          <w:szCs w:val="24"/>
        </w:rPr>
        <w:t>DB3293FM</w:t>
      </w:r>
    </w:p>
    <w:p w14:paraId="1E2F1E3B" w14:textId="36AE5BE5" w:rsidR="00B72892" w:rsidRPr="00623CF6" w:rsidRDefault="000225DA" w:rsidP="00B72892">
      <w:pPr>
        <w:tabs>
          <w:tab w:val="left" w:pos="4253"/>
          <w:tab w:val="left" w:pos="6804"/>
        </w:tabs>
        <w:spacing w:after="120"/>
        <w:rPr>
          <w:rFonts w:ascii="Arial" w:hAnsi="Arial"/>
          <w:color w:val="0D0D0D" w:themeColor="text1" w:themeTint="F2"/>
        </w:rPr>
      </w:pPr>
      <w:r w:rsidRPr="00623CF6">
        <w:rPr>
          <w:rFonts w:ascii="Arial" w:hAnsi="Arial"/>
          <w:color w:val="0D0D0D" w:themeColor="text1" w:themeTint="F2"/>
        </w:rPr>
        <w:t xml:space="preserve">The </w:t>
      </w:r>
      <w:r w:rsidR="00E244F7" w:rsidRPr="00623CF6">
        <w:rPr>
          <w:rFonts w:ascii="Arial" w:hAnsi="Arial"/>
          <w:color w:val="0D0D0D" w:themeColor="text1" w:themeTint="F2"/>
        </w:rPr>
        <w:t xml:space="preserve">discharge is for </w:t>
      </w:r>
      <w:r w:rsidR="00B72892" w:rsidRPr="00623CF6">
        <w:rPr>
          <w:rFonts w:ascii="Arial" w:hAnsi="Arial"/>
          <w:color w:val="0D0D0D" w:themeColor="text1" w:themeTint="F2"/>
        </w:rPr>
        <w:t xml:space="preserve">two activities; </w:t>
      </w:r>
    </w:p>
    <w:p w14:paraId="10A78BE3" w14:textId="5A082F77" w:rsidR="00B72892" w:rsidRPr="00623CF6" w:rsidRDefault="00B72892" w:rsidP="00B72892">
      <w:pPr>
        <w:tabs>
          <w:tab w:val="left" w:pos="4253"/>
          <w:tab w:val="left" w:pos="6804"/>
        </w:tabs>
        <w:spacing w:after="120"/>
        <w:rPr>
          <w:rFonts w:ascii="Arial" w:hAnsi="Arial"/>
          <w:color w:val="0D0D0D" w:themeColor="text1" w:themeTint="F2"/>
        </w:rPr>
      </w:pPr>
      <w:r w:rsidRPr="00623CF6">
        <w:rPr>
          <w:rFonts w:ascii="Arial" w:hAnsi="Arial"/>
          <w:color w:val="0D0D0D" w:themeColor="text1" w:themeTint="F2"/>
        </w:rPr>
        <w:t xml:space="preserve">1.the annual partial drawdown of the top water level of the lake to allow maintenance of the lake shoreline </w:t>
      </w:r>
    </w:p>
    <w:p w14:paraId="06AE3DC3" w14:textId="77777777" w:rsidR="00B72892" w:rsidRPr="00623CF6" w:rsidRDefault="00B72892" w:rsidP="00B72892">
      <w:pPr>
        <w:tabs>
          <w:tab w:val="left" w:pos="4253"/>
          <w:tab w:val="left" w:pos="6804"/>
        </w:tabs>
        <w:spacing w:after="120"/>
        <w:rPr>
          <w:rFonts w:ascii="Arial" w:hAnsi="Arial"/>
          <w:color w:val="0D0D0D" w:themeColor="text1" w:themeTint="F2"/>
        </w:rPr>
      </w:pPr>
      <w:r w:rsidRPr="00623CF6">
        <w:rPr>
          <w:rFonts w:ascii="Arial" w:hAnsi="Arial"/>
          <w:color w:val="0D0D0D" w:themeColor="text1" w:themeTint="F2"/>
        </w:rPr>
        <w:t xml:space="preserve">    and </w:t>
      </w:r>
    </w:p>
    <w:p w14:paraId="65842174" w14:textId="77777777" w:rsidR="00B72892" w:rsidRPr="00623CF6" w:rsidRDefault="00B72892" w:rsidP="00B72892">
      <w:pPr>
        <w:tabs>
          <w:tab w:val="left" w:pos="4253"/>
          <w:tab w:val="left" w:pos="6804"/>
        </w:tabs>
        <w:spacing w:after="120"/>
        <w:rPr>
          <w:rFonts w:ascii="Arial" w:hAnsi="Arial"/>
          <w:color w:val="0D0D0D" w:themeColor="text1" w:themeTint="F2"/>
        </w:rPr>
      </w:pPr>
      <w:r w:rsidRPr="00623CF6">
        <w:rPr>
          <w:rFonts w:ascii="Arial" w:hAnsi="Arial"/>
          <w:color w:val="0D0D0D" w:themeColor="text1" w:themeTint="F2"/>
        </w:rPr>
        <w:t>2. the one­time partial drawdown of the top water level of the lake to allow intrusive investigations to be undertaken within the spillway to inform the design for the replacement spillway that is expected to take up to 3 weeks.</w:t>
      </w:r>
    </w:p>
    <w:p w14:paraId="19044126" w14:textId="77777777" w:rsidR="00B72892" w:rsidRPr="00623CF6" w:rsidRDefault="00B72892" w:rsidP="00B72892">
      <w:pPr>
        <w:tabs>
          <w:tab w:val="left" w:pos="4253"/>
          <w:tab w:val="left" w:pos="6804"/>
        </w:tabs>
        <w:spacing w:after="120"/>
        <w:rPr>
          <w:rFonts w:ascii="Arial" w:hAnsi="Arial"/>
          <w:color w:val="0D0D0D" w:themeColor="text1" w:themeTint="F2"/>
        </w:rPr>
      </w:pPr>
      <w:r w:rsidRPr="00623CF6">
        <w:rPr>
          <w:rFonts w:ascii="Arial" w:hAnsi="Arial"/>
          <w:color w:val="0D0D0D" w:themeColor="text1" w:themeTint="F2"/>
        </w:rPr>
        <w:t xml:space="preserve">The drawdowns will be facilitated by the operation of the reservoir scour valve, which discharges raw water from the reservoir into the Roath Brook immediately downstream of the dam. </w:t>
      </w:r>
    </w:p>
    <w:p w14:paraId="0FF15252" w14:textId="534418C2"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6A32F76F" w:rsidR="00C22999" w:rsidRDefault="00C22999" w:rsidP="00D04424">
      <w:pPr>
        <w:pStyle w:val="Heading8"/>
        <w:rPr>
          <w:b w:val="0"/>
          <w:bCs/>
          <w:caps w:val="0"/>
          <w:sz w:val="24"/>
          <w:szCs w:val="24"/>
        </w:rPr>
      </w:pPr>
      <w:r w:rsidRPr="00C22999">
        <w:rPr>
          <w:caps w:val="0"/>
          <w:sz w:val="20"/>
        </w:rPr>
        <w:t>•</w:t>
      </w:r>
      <w:r w:rsidRPr="00C22999">
        <w:rPr>
          <w:caps w:val="0"/>
          <w:sz w:val="20"/>
        </w:rPr>
        <w:tab/>
      </w:r>
      <w:r w:rsidRPr="00C22999">
        <w:rPr>
          <w:b w:val="0"/>
          <w:bCs/>
          <w:caps w:val="0"/>
          <w:sz w:val="24"/>
          <w:szCs w:val="24"/>
        </w:rPr>
        <w:t>Annex 1 the decision checklist</w:t>
      </w:r>
    </w:p>
    <w:p w14:paraId="3D18599F" w14:textId="24B7A815" w:rsidR="00D04424" w:rsidRPr="00C22999" w:rsidRDefault="00C22999" w:rsidP="00C22999">
      <w:pPr>
        <w:rPr>
          <w:rFonts w:ascii="Arial" w:hAnsi="Arial"/>
          <w:bCs/>
          <w:szCs w:val="24"/>
        </w:rPr>
      </w:pPr>
      <w:r>
        <w:rPr>
          <w:b/>
          <w:bCs/>
          <w:caps/>
          <w:szCs w:val="24"/>
        </w:rPr>
        <w:br w:type="page"/>
      </w:r>
    </w:p>
    <w:p w14:paraId="0FF15271" w14:textId="2BB6A789"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5B6A95" w:rsidRPr="007820C3" w14:paraId="0FF15282" w14:textId="77777777" w:rsidTr="396B50C7">
        <w:tc>
          <w:tcPr>
            <w:tcW w:w="9302" w:type="dxa"/>
            <w:gridSpan w:val="4"/>
            <w:shd w:val="clear" w:color="auto" w:fill="0070C0"/>
          </w:tcPr>
          <w:p w14:paraId="0FF15281" w14:textId="77777777" w:rsidR="005B6A95" w:rsidRPr="007820C3" w:rsidRDefault="005B6A95" w:rsidP="00792CEE">
            <w:pPr>
              <w:rPr>
                <w:rFonts w:ascii="Arial" w:hAnsi="Arial" w:cs="Arial"/>
                <w:b/>
                <w:color w:val="FFFFFF"/>
                <w:szCs w:val="24"/>
              </w:rPr>
            </w:pPr>
            <w:r w:rsidRPr="007820C3">
              <w:rPr>
                <w:rFonts w:ascii="Arial" w:hAnsi="Arial" w:cs="Arial"/>
                <w:b/>
                <w:color w:val="FFFFFF"/>
                <w:szCs w:val="24"/>
              </w:rPr>
              <w:t>Receipt of submission</w:t>
            </w:r>
          </w:p>
        </w:tc>
      </w:tr>
      <w:tr w:rsidR="007820C3" w:rsidRPr="00DA70FE" w14:paraId="0FF15292" w14:textId="77777777" w:rsidTr="396B50C7">
        <w:trPr>
          <w:gridAfter w:val="1"/>
          <w:wAfter w:w="13" w:type="dxa"/>
        </w:trPr>
        <w:tc>
          <w:tcPr>
            <w:tcW w:w="1951" w:type="dxa"/>
            <w:tcBorders>
              <w:bottom w:val="single" w:sz="4" w:space="0" w:color="auto"/>
            </w:tcBorders>
          </w:tcPr>
          <w:p w14:paraId="0FF1528D" w14:textId="77777777" w:rsidR="007820C3" w:rsidRPr="00DA70FE" w:rsidRDefault="007820C3" w:rsidP="007820C3">
            <w:pPr>
              <w:spacing w:before="60"/>
              <w:rPr>
                <w:rFonts w:ascii="Arial" w:hAnsi="Arial" w:cs="Arial"/>
                <w:szCs w:val="24"/>
              </w:rPr>
            </w:pPr>
            <w:r w:rsidRPr="00DA70FE">
              <w:rPr>
                <w:rFonts w:ascii="Arial" w:hAnsi="Arial" w:cs="Arial"/>
                <w:szCs w:val="24"/>
              </w:rPr>
              <w:t>Identifying confidential information</w:t>
            </w:r>
          </w:p>
        </w:tc>
        <w:tc>
          <w:tcPr>
            <w:tcW w:w="6266" w:type="dxa"/>
            <w:tcBorders>
              <w:bottom w:val="single" w:sz="4" w:space="0" w:color="auto"/>
            </w:tcBorders>
          </w:tcPr>
          <w:p w14:paraId="0FF1528E"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We have identified information provided as part of the application that we consider to be confidential. </w:t>
            </w:r>
            <w:r w:rsidRPr="00DA70FE">
              <w:rPr>
                <w:rFonts w:ascii="Arial" w:hAnsi="Arial" w:cs="Arial"/>
                <w:color w:val="000000"/>
                <w:szCs w:val="24"/>
              </w:rPr>
              <w:t>The decision was taken in accordance with our guidance on commercial confidentiality.</w:t>
            </w:r>
          </w:p>
          <w:p w14:paraId="0FF15290" w14:textId="256F6D0D" w:rsidR="007820C3" w:rsidRPr="00DA70FE" w:rsidRDefault="007820C3" w:rsidP="007820C3">
            <w:pPr>
              <w:spacing w:before="60"/>
              <w:rPr>
                <w:rFonts w:ascii="Arial" w:hAnsi="Arial" w:cs="Arial"/>
                <w:color w:val="FF00FF"/>
                <w:szCs w:val="24"/>
              </w:rPr>
            </w:pPr>
            <w:r w:rsidRPr="00DA70FE">
              <w:rPr>
                <w:rFonts w:ascii="Arial" w:hAnsi="Arial" w:cs="Arial"/>
                <w:color w:val="FF00FF"/>
                <w:szCs w:val="24"/>
              </w:rPr>
              <w:t xml:space="preserve"> </w:t>
            </w:r>
          </w:p>
        </w:tc>
        <w:tc>
          <w:tcPr>
            <w:tcW w:w="1072" w:type="dxa"/>
            <w:tcBorders>
              <w:bottom w:val="single" w:sz="4" w:space="0" w:color="auto"/>
            </w:tcBorders>
          </w:tcPr>
          <w:p w14:paraId="0FF15291" w14:textId="77777777" w:rsidR="007820C3" w:rsidRPr="00DA70FE" w:rsidRDefault="007820C3" w:rsidP="007820C3">
            <w:pPr>
              <w:rPr>
                <w:rFonts w:ascii="Arial" w:hAnsi="Arial" w:cs="Arial"/>
                <w:color w:val="000000"/>
                <w:szCs w:val="24"/>
              </w:rPr>
            </w:pPr>
            <w:r w:rsidRPr="00DA70FE">
              <w:rPr>
                <w:rFonts w:ascii="Wingdings" w:eastAsia="Wingdings" w:hAnsi="Wingdings" w:cs="Wingdings"/>
                <w:color w:val="000000"/>
                <w:szCs w:val="24"/>
              </w:rPr>
              <w:t>ü</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1A30B479"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7777777" w:rsidR="00A92B58" w:rsidRPr="007820C3" w:rsidRDefault="00A92B58"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76114E8" w:rsidR="007820C3" w:rsidRPr="00623CF6" w:rsidRDefault="007820C3" w:rsidP="007820C3">
            <w:pPr>
              <w:pStyle w:val="Heading3"/>
              <w:spacing w:before="60"/>
              <w:rPr>
                <w:rFonts w:ascii="Arial" w:hAnsi="Arial" w:cs="Arial"/>
                <w:b w:val="0"/>
                <w:color w:val="0D0D0D" w:themeColor="text1" w:themeTint="F2"/>
                <w:szCs w:val="24"/>
                <w:highlight w:val="red"/>
              </w:rPr>
            </w:pPr>
            <w:r w:rsidRPr="00623CF6">
              <w:rPr>
                <w:rFonts w:ascii="Arial" w:hAnsi="Arial" w:cs="Arial"/>
                <w:b w:val="0"/>
                <w:color w:val="0D0D0D" w:themeColor="text1" w:themeTint="F2"/>
                <w:szCs w:val="24"/>
              </w:rPr>
              <w:t xml:space="preserve">Responses to </w:t>
            </w:r>
            <w:r w:rsidR="00B72892" w:rsidRPr="00623CF6">
              <w:rPr>
                <w:rFonts w:ascii="Arial" w:hAnsi="Arial" w:cs="Arial"/>
                <w:b w:val="0"/>
                <w:color w:val="0D0D0D" w:themeColor="text1" w:themeTint="F2"/>
                <w:szCs w:val="24"/>
              </w:rPr>
              <w:t>web publicising</w:t>
            </w:r>
          </w:p>
        </w:tc>
        <w:tc>
          <w:tcPr>
            <w:tcW w:w="6266" w:type="dxa"/>
            <w:tcBorders>
              <w:bottom w:val="single" w:sz="4" w:space="0" w:color="auto"/>
            </w:tcBorders>
          </w:tcPr>
          <w:p w14:paraId="0FF1529A" w14:textId="2C56AF10" w:rsidR="007820C3" w:rsidRPr="00623CF6" w:rsidRDefault="007820C3" w:rsidP="007820C3">
            <w:pPr>
              <w:spacing w:before="60"/>
              <w:rPr>
                <w:rFonts w:ascii="Arial" w:hAnsi="Arial" w:cs="Arial"/>
                <w:color w:val="0D0D0D" w:themeColor="text1" w:themeTint="F2"/>
                <w:szCs w:val="24"/>
              </w:rPr>
            </w:pPr>
            <w:r w:rsidRPr="00623CF6">
              <w:rPr>
                <w:rFonts w:ascii="Arial" w:hAnsi="Arial" w:cs="Arial"/>
                <w:color w:val="0D0D0D" w:themeColor="text1" w:themeTint="F2"/>
                <w:szCs w:val="24"/>
              </w:rPr>
              <w:t xml:space="preserve">The </w:t>
            </w:r>
            <w:r w:rsidR="00B72892" w:rsidRPr="00623CF6">
              <w:rPr>
                <w:rFonts w:ascii="Arial" w:hAnsi="Arial" w:cs="Arial"/>
                <w:color w:val="0D0D0D" w:themeColor="text1" w:themeTint="F2"/>
                <w:szCs w:val="24"/>
              </w:rPr>
              <w:t xml:space="preserve">were no responses to </w:t>
            </w:r>
            <w:r w:rsidRPr="00623CF6">
              <w:rPr>
                <w:rFonts w:ascii="Arial" w:hAnsi="Arial" w:cs="Arial"/>
                <w:color w:val="0D0D0D" w:themeColor="text1" w:themeTint="F2"/>
                <w:szCs w:val="24"/>
              </w:rPr>
              <w:t>web publicising</w:t>
            </w:r>
            <w:r w:rsidR="00B72892" w:rsidRPr="00623CF6">
              <w:rPr>
                <w:rFonts w:ascii="Arial" w:hAnsi="Arial" w:cs="Arial"/>
                <w:color w:val="0D0D0D" w:themeColor="text1" w:themeTint="F2"/>
                <w:szCs w:val="24"/>
              </w:rPr>
              <w:t>.</w:t>
            </w:r>
            <w:r w:rsidRPr="00623CF6">
              <w:rPr>
                <w:rFonts w:ascii="Arial" w:hAnsi="Arial" w:cs="Arial"/>
                <w:color w:val="0D0D0D" w:themeColor="text1" w:themeTint="F2"/>
                <w:szCs w:val="24"/>
              </w:rPr>
              <w:t xml:space="preserve"> </w:t>
            </w:r>
          </w:p>
          <w:p w14:paraId="0FF1529B" w14:textId="77777777" w:rsidR="007820C3" w:rsidRPr="00623CF6" w:rsidRDefault="007820C3" w:rsidP="007820C3">
            <w:pPr>
              <w:spacing w:before="60"/>
              <w:rPr>
                <w:rFonts w:ascii="Arial" w:hAnsi="Arial" w:cs="Arial"/>
                <w:color w:val="0D0D0D" w:themeColor="text1" w:themeTint="F2"/>
                <w:szCs w:val="24"/>
              </w:rPr>
            </w:pPr>
          </w:p>
          <w:p w14:paraId="0FF1529C" w14:textId="77777777" w:rsidR="007820C3" w:rsidRPr="00623CF6" w:rsidRDefault="007820C3" w:rsidP="007820C3">
            <w:pPr>
              <w:spacing w:before="60"/>
              <w:rPr>
                <w:rFonts w:ascii="Arial" w:hAnsi="Arial" w:cs="Arial"/>
                <w:color w:val="0D0D0D" w:themeColor="text1" w:themeTint="F2"/>
                <w:szCs w:val="24"/>
              </w:rPr>
            </w:pPr>
            <w:r w:rsidRPr="00623CF6">
              <w:rPr>
                <w:rFonts w:ascii="Arial" w:hAnsi="Arial" w:cs="Arial"/>
                <w:color w:val="0D0D0D" w:themeColor="text1" w:themeTint="F2"/>
                <w:szCs w:val="24"/>
              </w:rPr>
              <w:t xml:space="preserve">The decision was taken in accordance with our guidance. </w:t>
            </w:r>
          </w:p>
          <w:p w14:paraId="0FF1529D" w14:textId="77777777" w:rsidR="007820C3" w:rsidRPr="00623CF6" w:rsidRDefault="007820C3" w:rsidP="007820C3">
            <w:pPr>
              <w:spacing w:before="60"/>
              <w:rPr>
                <w:rFonts w:ascii="Arial" w:hAnsi="Arial" w:cs="Arial"/>
                <w:color w:val="0D0D0D" w:themeColor="text1" w:themeTint="F2"/>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486CAB6"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B7289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6342BA75" w14:textId="77777777" w:rsidR="002967CA" w:rsidRPr="00623CF6" w:rsidRDefault="0086051F" w:rsidP="00B72892">
            <w:pPr>
              <w:spacing w:before="60"/>
              <w:rPr>
                <w:rFonts w:ascii="Arial" w:hAnsi="Arial" w:cs="Arial"/>
                <w:color w:val="0D0D0D" w:themeColor="text1" w:themeTint="F2"/>
              </w:rPr>
            </w:pPr>
            <w:r w:rsidRPr="00623CF6">
              <w:rPr>
                <w:rFonts w:ascii="Arial" w:hAnsi="Arial" w:cs="Arial"/>
                <w:color w:val="0D0D0D" w:themeColor="text1" w:themeTint="F2"/>
              </w:rPr>
              <w:t xml:space="preserve">WFD stage 2 scoping has been completed and the activity/project is considered as having </w:t>
            </w:r>
            <w:r w:rsidRPr="00623CF6">
              <w:rPr>
                <w:rFonts w:ascii="Arial" w:hAnsi="Arial" w:cs="Arial"/>
                <w:b/>
                <w:bCs/>
                <w:color w:val="0D0D0D" w:themeColor="text1" w:themeTint="F2"/>
              </w:rPr>
              <w:t>no risk of causing deterioration or preventing any water body or WFD Protected Area from reaching its objectives</w:t>
            </w:r>
            <w:r w:rsidRPr="00623CF6">
              <w:rPr>
                <w:rFonts w:ascii="Arial" w:hAnsi="Arial" w:cs="Arial"/>
                <w:color w:val="0D0D0D" w:themeColor="text1" w:themeTint="F2"/>
              </w:rPr>
              <w:t xml:space="preserve"> and taking account of the advice from technical officers - is considered compliant with the WFD Regulations 2017.</w:t>
            </w:r>
          </w:p>
          <w:p w14:paraId="7DEDFFF1" w14:textId="702C2765" w:rsidR="00B72892" w:rsidRPr="00B72892" w:rsidRDefault="00B72892" w:rsidP="00B72892">
            <w:pPr>
              <w:spacing w:before="60"/>
              <w:rPr>
                <w:rFonts w:ascii="Arial" w:hAnsi="Arial" w:cs="Arial"/>
                <w:color w:val="FF0000"/>
              </w:rPr>
            </w:pPr>
          </w:p>
        </w:tc>
        <w:tc>
          <w:tcPr>
            <w:tcW w:w="1072" w:type="dxa"/>
          </w:tcPr>
          <w:p w14:paraId="2E80C0FB" w14:textId="5636DFDB" w:rsidR="00D512DF" w:rsidRPr="00FB30B4" w:rsidRDefault="00623CF6"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0FF152C2" w14:textId="77777777" w:rsidR="00FB30B4" w:rsidRPr="007820C3" w:rsidRDefault="00FB30B4" w:rsidP="00B72892">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623CF6" w:rsidRDefault="007820C3" w:rsidP="00EF499E">
            <w:pPr>
              <w:rPr>
                <w:rFonts w:ascii="Arial" w:hAnsi="Arial" w:cs="Arial"/>
                <w:color w:val="0D0D0D" w:themeColor="text1" w:themeTint="F2"/>
                <w:szCs w:val="24"/>
              </w:rPr>
            </w:pPr>
          </w:p>
          <w:p w14:paraId="0FF152C8" w14:textId="5972D5BE" w:rsidR="007820C3" w:rsidRPr="00623CF6" w:rsidRDefault="007820C3" w:rsidP="00EF499E">
            <w:pPr>
              <w:rPr>
                <w:rFonts w:ascii="Arial" w:hAnsi="Arial" w:cs="Arial"/>
                <w:color w:val="0D0D0D" w:themeColor="text1" w:themeTint="F2"/>
                <w:szCs w:val="24"/>
              </w:rPr>
            </w:pPr>
            <w:r w:rsidRPr="00623CF6">
              <w:rPr>
                <w:rFonts w:ascii="Arial" w:hAnsi="Arial" w:cs="Arial"/>
                <w:color w:val="0D0D0D" w:themeColor="text1" w:themeTint="F2"/>
                <w:szCs w:val="24"/>
              </w:rPr>
              <w:t>A full assessment of the application and its potential to affect the site has been carried out as part of the permitting process. We consider that the application will not affect the features of the site</w:t>
            </w:r>
            <w:r w:rsidR="00B72892" w:rsidRPr="00623CF6">
              <w:rPr>
                <w:rFonts w:ascii="Arial" w:hAnsi="Arial" w:cs="Arial"/>
                <w:color w:val="0D0D0D" w:themeColor="text1" w:themeTint="F2"/>
                <w:szCs w:val="24"/>
              </w:rPr>
              <w:t>.</w:t>
            </w:r>
          </w:p>
          <w:p w14:paraId="7365231C" w14:textId="77777777" w:rsidR="00B72892" w:rsidRPr="00623CF6" w:rsidRDefault="00B72892" w:rsidP="00EF499E">
            <w:pPr>
              <w:rPr>
                <w:rFonts w:ascii="Arial" w:hAnsi="Arial" w:cs="Arial"/>
                <w:color w:val="0D0D0D" w:themeColor="text1" w:themeTint="F2"/>
                <w:szCs w:val="24"/>
              </w:rPr>
            </w:pPr>
          </w:p>
          <w:p w14:paraId="0FF152CE" w14:textId="257EC373" w:rsidR="007820C3" w:rsidRPr="00623CF6" w:rsidRDefault="007820C3" w:rsidP="00EF499E">
            <w:pPr>
              <w:rPr>
                <w:rFonts w:ascii="Arial" w:hAnsi="Arial" w:cs="Arial"/>
                <w:color w:val="0D0D0D" w:themeColor="text1" w:themeTint="F2"/>
                <w:szCs w:val="24"/>
              </w:rPr>
            </w:pPr>
            <w:r w:rsidRPr="00623CF6">
              <w:rPr>
                <w:rFonts w:ascii="Arial" w:hAnsi="Arial" w:cs="Arial"/>
                <w:color w:val="0D0D0D" w:themeColor="text1" w:themeTint="F2"/>
                <w:szCs w:val="24"/>
              </w:rPr>
              <w:t>We have not formally consulted</w:t>
            </w:r>
            <w:r w:rsidR="009A3F85" w:rsidRPr="00623CF6">
              <w:rPr>
                <w:rFonts w:ascii="Arial" w:hAnsi="Arial" w:cs="Arial"/>
                <w:color w:val="0D0D0D" w:themeColor="text1" w:themeTint="F2"/>
                <w:szCs w:val="24"/>
              </w:rPr>
              <w:t xml:space="preserve"> </w:t>
            </w:r>
            <w:r w:rsidRPr="00623CF6">
              <w:rPr>
                <w:rFonts w:ascii="Arial" w:hAnsi="Arial" w:cs="Arial"/>
                <w:color w:val="0D0D0D" w:themeColor="text1" w:themeTint="F2"/>
                <w:szCs w:val="24"/>
              </w:rPr>
              <w:t xml:space="preserve">on the application.  The decision was taken in accordance with our guidance. </w:t>
            </w:r>
          </w:p>
          <w:p w14:paraId="0FF152CF" w14:textId="77777777" w:rsidR="00FB30B4" w:rsidRPr="007820C3" w:rsidRDefault="00FB30B4" w:rsidP="00B72892">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019A819C" w:rsidR="00136717" w:rsidRPr="00623CF6" w:rsidRDefault="00B72892" w:rsidP="00136717">
            <w:pPr>
              <w:spacing w:before="60"/>
              <w:rPr>
                <w:rFonts w:ascii="Arial" w:hAnsi="Arial" w:cs="Arial"/>
                <w:color w:val="0D0D0D" w:themeColor="text1" w:themeTint="F2"/>
                <w:szCs w:val="24"/>
              </w:rPr>
            </w:pPr>
            <w:r w:rsidRPr="00623CF6">
              <w:rPr>
                <w:rFonts w:ascii="Arial" w:hAnsi="Arial" w:cs="Arial"/>
                <w:color w:val="0D0D0D" w:themeColor="text1" w:themeTint="F2"/>
                <w:szCs w:val="24"/>
              </w:rPr>
              <w:t xml:space="preserve">Form 1 has been completed with an </w:t>
            </w:r>
            <w:r w:rsidR="00136717" w:rsidRPr="00623CF6">
              <w:rPr>
                <w:rFonts w:ascii="Arial" w:hAnsi="Arial" w:cs="Arial"/>
                <w:color w:val="0D0D0D" w:themeColor="text1" w:themeTint="F2"/>
                <w:szCs w:val="24"/>
              </w:rPr>
              <w:t>Appropriate assessment:</w:t>
            </w:r>
          </w:p>
          <w:p w14:paraId="0373A1BC" w14:textId="77777777" w:rsidR="00136717" w:rsidRPr="00623CF6" w:rsidRDefault="00136717" w:rsidP="00136717">
            <w:pPr>
              <w:spacing w:before="60"/>
              <w:rPr>
                <w:rFonts w:ascii="Arial" w:hAnsi="Arial" w:cs="Arial"/>
                <w:color w:val="0D0D0D" w:themeColor="text1" w:themeTint="F2"/>
                <w:szCs w:val="24"/>
              </w:rPr>
            </w:pPr>
          </w:p>
          <w:p w14:paraId="06106415" w14:textId="77777777" w:rsidR="00136717" w:rsidRPr="00623CF6" w:rsidRDefault="00136717" w:rsidP="00136717">
            <w:pPr>
              <w:spacing w:before="60"/>
              <w:rPr>
                <w:rFonts w:ascii="Arial" w:hAnsi="Arial" w:cs="Arial"/>
                <w:color w:val="0D0D0D" w:themeColor="text1" w:themeTint="F2"/>
                <w:szCs w:val="24"/>
              </w:rPr>
            </w:pPr>
            <w:r w:rsidRPr="00623CF6">
              <w:rPr>
                <w:rFonts w:ascii="Arial" w:hAnsi="Arial" w:cs="Arial"/>
                <w:color w:val="0D0D0D" w:themeColor="text1" w:themeTint="F2"/>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77777777" w:rsidR="00136717" w:rsidRPr="007820C3" w:rsidRDefault="00136717" w:rsidP="00B72892">
            <w:pPr>
              <w:rPr>
                <w:rFonts w:ascii="Arial" w:hAnsi="Arial" w:cs="Arial"/>
                <w:color w:val="000000"/>
                <w:szCs w:val="24"/>
              </w:rPr>
            </w:pPr>
          </w:p>
        </w:tc>
        <w:tc>
          <w:tcPr>
            <w:tcW w:w="1072" w:type="dxa"/>
          </w:tcPr>
          <w:p w14:paraId="5CCCC72E" w14:textId="0AB553F1" w:rsidR="00136717" w:rsidRPr="00FB30B4" w:rsidRDefault="00B72892"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ED25C49"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623CF6" w:rsidRDefault="007820C3" w:rsidP="00A60F17">
            <w:pPr>
              <w:rPr>
                <w:rFonts w:ascii="Arial" w:hAnsi="Arial" w:cs="Arial"/>
                <w:color w:val="0D0D0D" w:themeColor="text1" w:themeTint="F2"/>
                <w:szCs w:val="24"/>
              </w:rPr>
            </w:pPr>
            <w:r w:rsidRPr="00623CF6">
              <w:rPr>
                <w:rFonts w:ascii="Arial" w:hAnsi="Arial" w:cs="Arial"/>
                <w:color w:val="0D0D0D" w:themeColor="text1" w:themeTint="F2"/>
                <w:szCs w:val="24"/>
              </w:rPr>
              <w:t xml:space="preserve">The operator considers this risk assessment is satisfactory. </w:t>
            </w:r>
          </w:p>
          <w:p w14:paraId="0FF152E7" w14:textId="77777777" w:rsidR="007820C3" w:rsidRPr="00623CF6" w:rsidRDefault="007820C3" w:rsidP="00A60F17">
            <w:pPr>
              <w:rPr>
                <w:rFonts w:ascii="Arial" w:hAnsi="Arial" w:cs="Arial"/>
                <w:color w:val="0D0D0D" w:themeColor="text1" w:themeTint="F2"/>
                <w:szCs w:val="24"/>
              </w:rPr>
            </w:pPr>
          </w:p>
          <w:p w14:paraId="4E9922AB" w14:textId="77777777" w:rsidR="00FB30B4" w:rsidRPr="00623CF6" w:rsidRDefault="007820C3" w:rsidP="00B72892">
            <w:pPr>
              <w:pStyle w:val="BodyText"/>
              <w:rPr>
                <w:rFonts w:ascii="Arial" w:hAnsi="Arial" w:cs="Arial"/>
                <w:color w:val="0D0D0D" w:themeColor="text1" w:themeTint="F2"/>
                <w:szCs w:val="24"/>
              </w:rPr>
            </w:pPr>
            <w:r w:rsidRPr="00623CF6">
              <w:rPr>
                <w:rFonts w:ascii="Arial" w:hAnsi="Arial" w:cs="Arial"/>
                <w:color w:val="0D0D0D" w:themeColor="text1" w:themeTint="F2"/>
                <w:szCs w:val="24"/>
              </w:rPr>
              <w:t>The assessment shows that, applying the conservative criteria in our guidance on Environmental Risk Assessment, all emissions may be categorised as environmentally insignificant</w:t>
            </w:r>
            <w:r w:rsidR="00B72892" w:rsidRPr="00623CF6">
              <w:rPr>
                <w:rFonts w:ascii="Arial" w:hAnsi="Arial" w:cs="Arial"/>
                <w:color w:val="0D0D0D" w:themeColor="text1" w:themeTint="F2"/>
                <w:szCs w:val="24"/>
              </w:rPr>
              <w:t>.</w:t>
            </w:r>
          </w:p>
          <w:p w14:paraId="0FF152E9" w14:textId="52F52659" w:rsidR="00B72892" w:rsidRPr="007820C3" w:rsidRDefault="00B72892" w:rsidP="00B72892">
            <w:pPr>
              <w:pStyle w:val="BodyText"/>
              <w:rPr>
                <w:rFonts w:ascii="Arial" w:hAnsi="Arial" w:cs="Arial"/>
                <w:szCs w:val="24"/>
              </w:rPr>
            </w:pPr>
          </w:p>
        </w:tc>
        <w:tc>
          <w:tcPr>
            <w:tcW w:w="1072" w:type="dxa"/>
          </w:tcPr>
          <w:p w14:paraId="0FF152EA" w14:textId="6DAE9F23" w:rsidR="007820C3" w:rsidRPr="00FB30B4" w:rsidRDefault="00B72892"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017D960" w14:textId="77777777" w:rsidR="00B72892" w:rsidRDefault="00B72892" w:rsidP="00792CEE">
            <w:pPr>
              <w:pStyle w:val="BodyText"/>
              <w:rPr>
                <w:rFonts w:ascii="Arial" w:hAnsi="Arial" w:cs="Arial"/>
                <w:color w:val="FF00FF"/>
                <w:szCs w:val="24"/>
              </w:rPr>
            </w:pPr>
          </w:p>
          <w:p w14:paraId="0FF152EE" w14:textId="08943C5C" w:rsidR="007820C3" w:rsidRPr="00623CF6" w:rsidRDefault="00B72892" w:rsidP="00792CEE">
            <w:pPr>
              <w:pStyle w:val="BodyText"/>
              <w:rPr>
                <w:rFonts w:ascii="Arial" w:hAnsi="Arial" w:cs="Arial"/>
                <w:color w:val="0D0D0D" w:themeColor="text1" w:themeTint="F2"/>
                <w:szCs w:val="24"/>
              </w:rPr>
            </w:pPr>
            <w:r w:rsidRPr="00623CF6">
              <w:rPr>
                <w:rFonts w:ascii="Arial" w:hAnsi="Arial" w:cs="Arial"/>
                <w:color w:val="0D0D0D" w:themeColor="text1" w:themeTint="F2"/>
                <w:szCs w:val="24"/>
              </w:rPr>
              <w:t>The</w:t>
            </w:r>
            <w:r w:rsidR="007820C3" w:rsidRPr="00623CF6">
              <w:rPr>
                <w:rFonts w:ascii="Arial" w:hAnsi="Arial" w:cs="Arial"/>
                <w:color w:val="0D0D0D" w:themeColor="text1" w:themeTint="F2"/>
                <w:szCs w:val="24"/>
              </w:rPr>
              <w:t xml:space="preserve"> measures proposed by the operator </w:t>
            </w:r>
            <w:r w:rsidRPr="00623CF6">
              <w:rPr>
                <w:rFonts w:ascii="Arial" w:hAnsi="Arial" w:cs="Arial"/>
                <w:color w:val="0D0D0D" w:themeColor="text1" w:themeTint="F2"/>
                <w:szCs w:val="24"/>
              </w:rPr>
              <w:t xml:space="preserve">comply with those detailed in How to comply with your permit for </w:t>
            </w:r>
            <w:r w:rsidR="00623CF6" w:rsidRPr="00623CF6">
              <w:rPr>
                <w:rFonts w:ascii="Arial" w:hAnsi="Arial" w:cs="Arial"/>
                <w:color w:val="0D0D0D" w:themeColor="text1" w:themeTint="F2"/>
                <w:szCs w:val="24"/>
              </w:rPr>
              <w:t>Stand-alone</w:t>
            </w:r>
            <w:r w:rsidRPr="00623CF6">
              <w:rPr>
                <w:rFonts w:ascii="Arial" w:hAnsi="Arial" w:cs="Arial"/>
                <w:color w:val="0D0D0D" w:themeColor="text1" w:themeTint="F2"/>
                <w:szCs w:val="24"/>
              </w:rPr>
              <w:t xml:space="preserve"> water </w:t>
            </w:r>
            <w:r w:rsidR="00623CF6" w:rsidRPr="00623CF6">
              <w:rPr>
                <w:rFonts w:ascii="Arial" w:hAnsi="Arial" w:cs="Arial"/>
                <w:color w:val="0D0D0D" w:themeColor="text1" w:themeTint="F2"/>
                <w:szCs w:val="24"/>
              </w:rPr>
              <w:t xml:space="preserve">discharges. </w:t>
            </w:r>
          </w:p>
          <w:p w14:paraId="531C0EC5" w14:textId="77777777" w:rsidR="00623CF6" w:rsidRPr="00623CF6" w:rsidRDefault="00623CF6" w:rsidP="00792CEE">
            <w:pPr>
              <w:pStyle w:val="BodyText"/>
              <w:rPr>
                <w:rFonts w:ascii="Arial" w:hAnsi="Arial" w:cs="Arial"/>
                <w:color w:val="0D0D0D" w:themeColor="text1" w:themeTint="F2"/>
                <w:szCs w:val="24"/>
              </w:rPr>
            </w:pPr>
          </w:p>
          <w:p w14:paraId="0FF152EF" w14:textId="77777777" w:rsidR="007820C3" w:rsidRPr="00623CF6" w:rsidRDefault="007820C3" w:rsidP="00792CEE">
            <w:pPr>
              <w:pStyle w:val="BodyText"/>
              <w:rPr>
                <w:rFonts w:ascii="Arial" w:hAnsi="Arial" w:cs="Arial"/>
                <w:color w:val="0D0D0D" w:themeColor="text1" w:themeTint="F2"/>
                <w:szCs w:val="24"/>
              </w:rPr>
            </w:pPr>
            <w:r w:rsidRPr="00623CF6">
              <w:rPr>
                <w:rFonts w:ascii="Arial" w:hAnsi="Arial" w:cs="Arial"/>
                <w:color w:val="0D0D0D" w:themeColor="text1" w:themeTint="F2"/>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B72892">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0F059218" w14:textId="77777777"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p w14:paraId="35C25BFE" w14:textId="0AB7DEB0" w:rsidR="00623CF6" w:rsidRDefault="00623CF6" w:rsidP="00D26B49">
            <w:pPr>
              <w:rPr>
                <w:rFonts w:ascii="Arial" w:hAnsi="Arial" w:cs="Arial"/>
                <w:szCs w:val="24"/>
              </w:rPr>
            </w:pPr>
          </w:p>
        </w:tc>
        <w:tc>
          <w:tcPr>
            <w:tcW w:w="6266" w:type="dxa"/>
          </w:tcPr>
          <w:p w14:paraId="7C4FE69A" w14:textId="7110C03A" w:rsidR="00E96702" w:rsidRPr="00623CF6" w:rsidRDefault="00343BA5" w:rsidP="00623CF6">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AE63613"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623CF6">
              <w:rPr>
                <w:rFonts w:ascii="Arial" w:eastAsia="Arial" w:hAnsi="Arial" w:cs="Arial"/>
                <w:color w:val="0D0D0D" w:themeColor="text1" w:themeTint="F2"/>
              </w:rPr>
              <w:t xml:space="preserve">for a </w:t>
            </w:r>
            <w:proofErr w:type="spellStart"/>
            <w:r w:rsidRPr="00623CF6">
              <w:rPr>
                <w:rFonts w:ascii="Arial" w:eastAsia="Arial" w:hAnsi="Arial" w:cs="Arial"/>
                <w:color w:val="0D0D0D" w:themeColor="text1" w:themeTint="F2"/>
              </w:rPr>
              <w:t>stand</w:t>
            </w:r>
            <w:r w:rsidR="00623CF6" w:rsidRPr="00623CF6">
              <w:rPr>
                <w:rFonts w:ascii="Arial" w:eastAsia="Arial" w:hAnsi="Arial" w:cs="Arial"/>
                <w:color w:val="0D0D0D" w:themeColor="text1" w:themeTint="F2"/>
              </w:rPr>
              <w:t xml:space="preserve"> </w:t>
            </w:r>
            <w:r w:rsidRPr="00623CF6">
              <w:rPr>
                <w:rFonts w:ascii="Arial" w:eastAsia="Arial" w:hAnsi="Arial" w:cs="Arial"/>
                <w:color w:val="0D0D0D" w:themeColor="text1" w:themeTint="F2"/>
              </w:rPr>
              <w:t>alone</w:t>
            </w:r>
            <w:proofErr w:type="spellEnd"/>
            <w:r w:rsidRPr="00623CF6">
              <w:rPr>
                <w:rFonts w:ascii="Arial" w:eastAsia="Arial" w:hAnsi="Arial" w:cs="Arial"/>
                <w:color w:val="0D0D0D" w:themeColor="text1" w:themeTint="F2"/>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07EEE79" w:rsidR="00C44B7E" w:rsidRDefault="00C44B7E" w:rsidP="00623CF6">
      <w:pPr>
        <w:pStyle w:val="Heading1"/>
        <w:jc w:val="left"/>
        <w:rPr>
          <w:b w:val="0"/>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AEAB7" w14:textId="77777777" w:rsidR="00623CF6" w:rsidRDefault="00623C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99CBC" w14:textId="2A3B4D93" w:rsidR="00623CF6" w:rsidRDefault="00623C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C7C33" w14:textId="401BC75C" w:rsidR="00623CF6" w:rsidRDefault="00623C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EAB72" w14:textId="292C796F" w:rsidR="00623CF6" w:rsidRDefault="00623C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14651098">
    <w:abstractNumId w:val="1"/>
  </w:num>
  <w:num w:numId="2" w16cid:durableId="246693276">
    <w:abstractNumId w:val="15"/>
  </w:num>
  <w:num w:numId="3" w16cid:durableId="1253469433">
    <w:abstractNumId w:val="12"/>
  </w:num>
  <w:num w:numId="4" w16cid:durableId="474298698">
    <w:abstractNumId w:val="2"/>
  </w:num>
  <w:num w:numId="5" w16cid:durableId="466747621">
    <w:abstractNumId w:val="4"/>
  </w:num>
  <w:num w:numId="6" w16cid:durableId="1051153969">
    <w:abstractNumId w:val="3"/>
  </w:num>
  <w:num w:numId="7" w16cid:durableId="431047379">
    <w:abstractNumId w:val="7"/>
  </w:num>
  <w:num w:numId="8" w16cid:durableId="1100224005">
    <w:abstractNumId w:val="14"/>
  </w:num>
  <w:num w:numId="9" w16cid:durableId="1094129716">
    <w:abstractNumId w:val="18"/>
  </w:num>
  <w:num w:numId="10" w16cid:durableId="2044943974">
    <w:abstractNumId w:val="10"/>
  </w:num>
  <w:num w:numId="11" w16cid:durableId="1244149615">
    <w:abstractNumId w:val="13"/>
  </w:num>
  <w:num w:numId="12" w16cid:durableId="188497741">
    <w:abstractNumId w:val="17"/>
  </w:num>
  <w:num w:numId="13" w16cid:durableId="1098066302">
    <w:abstractNumId w:val="16"/>
  </w:num>
  <w:num w:numId="14" w16cid:durableId="1688749380">
    <w:abstractNumId w:val="9"/>
  </w:num>
  <w:num w:numId="15" w16cid:durableId="1110733895">
    <w:abstractNumId w:val="11"/>
  </w:num>
  <w:num w:numId="16" w16cid:durableId="857430914">
    <w:abstractNumId w:val="5"/>
  </w:num>
  <w:num w:numId="17" w16cid:durableId="2035838642">
    <w:abstractNumId w:val="0"/>
  </w:num>
  <w:num w:numId="18" w16cid:durableId="880441687">
    <w:abstractNumId w:val="8"/>
  </w:num>
  <w:num w:numId="19" w16cid:durableId="867764837">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1D38"/>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3CF6"/>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2B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2892"/>
    <w:rsid w:val="00B73ECB"/>
    <w:rsid w:val="00B82F37"/>
    <w:rsid w:val="00B837E8"/>
    <w:rsid w:val="00BB1620"/>
    <w:rsid w:val="00BB408D"/>
    <w:rsid w:val="00BB4528"/>
    <w:rsid w:val="00BD176A"/>
    <w:rsid w:val="00BE370B"/>
    <w:rsid w:val="00BE7950"/>
    <w:rsid w:val="00BF24F6"/>
    <w:rsid w:val="00C05011"/>
    <w:rsid w:val="00C052C4"/>
    <w:rsid w:val="00C07952"/>
    <w:rsid w:val="00C22999"/>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REGU-184-6571412</_dlc_DocId>
    <_dlc_DocIdUrl xmlns="9be56660-2c31-41ef-bc00-23e72f632f2a">
      <Url>https://cyfoethnaturiolcymru.sharepoint.com/teams/Regulatory/Permitting/_layouts/15/DocIdRedir.aspx?ID=REGU-184-6571412</Url>
      <Description>REGU-184-6571412</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Roath Park Lake Reservoir</Site_x0020_Name>
    <Internal_x002f_External xmlns="859f7ad6-93f6-4205-b62b-a17f28acbbac">Internal document</Internal_x002f_External>
    <Post_x0020_code xmlns="859f7ad6-93f6-4205-b62b-a17f28acbbac">CF23 5PH</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County Hall, Atlantic Wharf, Cardiff, CF10 4UW</Addressee>
    <Process_x0020_Type xmlns="859f7ad6-93f6-4205-b62b-a17f28acbbac">Application</Process_x0020_Type>
    <Surrendered_x002f_Expired xmlns="859f7ad6-93f6-4205-b62b-a17f28acbbac" xsi:nil="true"/>
    <Document_x0020_Date xmlns="859f7ad6-93f6-4205-b62b-a17f28acbbac">2024-06-17T23:00:00+00:00</Document_x0020_Date>
    <Facility_x0020_Address xmlns="859f7ad6-93f6-4205-b62b-a17f28acbbac">Roath Park, Lake Road West, Cardiff</Facility_x0020_Address>
    <Environment_x0020_Sub_x0020_Folder xmlns="859f7ad6-93f6-4205-b62b-a17f28acbbac">Licences applications</Environment_x0020_Sub_x0020_Folder>
    <Customer_x0020_Name xmlns="859f7ad6-93f6-4205-b62b-a17f28acbbac">Cardiff County Council</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289013-7E52-4D36-ACD5-4D4B92DAB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58C00-7464-409B-9F05-E719EA22DD2E}">
  <ds:schemaRefs>
    <ds:schemaRef ds:uri="http://purl.org/dc/elements/1.1/"/>
    <ds:schemaRef ds:uri="http://www.w3.org/XML/1998/namespace"/>
    <ds:schemaRef ds:uri="http://schemas.microsoft.com/office/infopath/2007/PartnerControls"/>
    <ds:schemaRef ds:uri="http://purl.org/dc/terms/"/>
    <ds:schemaRef ds:uri="http://schemas.microsoft.com/office/2006/metadata/properties"/>
    <ds:schemaRef ds:uri="b67299c9-1600-4d20-976e-ea8f199d05b8"/>
    <ds:schemaRef ds:uri="http://schemas.microsoft.com/office/2006/documentManagement/types"/>
    <ds:schemaRef ds:uri="http://schemas.openxmlformats.org/package/2006/metadata/core-properties"/>
    <ds:schemaRef ds:uri="859f7ad6-93f6-4205-b62b-a17f28acbbac"/>
    <ds:schemaRef ds:uri="9be56660-2c31-41ef-bc00-23e72f632f2a"/>
    <ds:schemaRef ds:uri="6e121689-de5b-41b9-a751-bfeda7fa2b07"/>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4</Pages>
  <Words>1037</Words>
  <Characters>5704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Wakeford, James</cp:lastModifiedBy>
  <cp:revision>37</cp:revision>
  <cp:lastPrinted>2008-01-30T13:54:00Z</cp:lastPrinted>
  <dcterms:created xsi:type="dcterms:W3CDTF">2023-07-05T10:11:00Z</dcterms:created>
  <dcterms:modified xsi:type="dcterms:W3CDTF">2024-07-12T11:38:00Z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bc680469-4f53-42f8-9fd9-39b0e4075ac7</vt:lpwstr>
  </property>
  <property fmtid="{D5CDD505-2E9C-101B-9397-08002B2CF9AE}" pid="11" name="SharedWithUsers">
    <vt:lpwstr/>
  </property>
  <property fmtid="{D5CDD505-2E9C-101B-9397-08002B2CF9AE}" pid="12" name="MediaServiceImageTags">
    <vt:lpwstr/>
  </property>
</Properties>
</file>