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427EE72F" w:rsidR="007820C3" w:rsidRPr="00EB0C5F" w:rsidRDefault="0014332B" w:rsidP="00EB0C5F">
      <w:pPr>
        <w:pStyle w:val="Heading1"/>
        <w:spacing w:before="0" w:after="0"/>
        <w:jc w:val="left"/>
        <w:rPr>
          <w:color w:val="0D0D0D" w:themeColor="text1" w:themeTint="F2"/>
        </w:rPr>
      </w:pPr>
      <w:r w:rsidRPr="00EB0C5F">
        <w:rPr>
          <w:bCs/>
          <w:color w:val="0D0D0D" w:themeColor="text1" w:themeTint="F2"/>
          <w:sz w:val="32"/>
        </w:rPr>
        <w:t>Bespoke p</w:t>
      </w:r>
      <w:r w:rsidR="00D04424" w:rsidRPr="00EB0C5F">
        <w:rPr>
          <w:bCs/>
          <w:color w:val="0D0D0D" w:themeColor="text1" w:themeTint="F2"/>
          <w:sz w:val="32"/>
        </w:rPr>
        <w:t>ermit</w:t>
      </w:r>
      <w:r w:rsidR="007820C3" w:rsidRPr="00EB0C5F">
        <w:rPr>
          <w:color w:val="0D0D0D" w:themeColor="text1" w:themeTint="F2"/>
        </w:rPr>
        <w:t xml:space="preserve"> </w:t>
      </w:r>
    </w:p>
    <w:p w14:paraId="0FF1524F" w14:textId="77777777" w:rsidR="007820C3" w:rsidRPr="00EB0C5F" w:rsidRDefault="007820C3" w:rsidP="00D04424">
      <w:pPr>
        <w:rPr>
          <w:rFonts w:ascii="Arial" w:hAnsi="Arial" w:cs="Arial"/>
          <w:color w:val="0D0D0D" w:themeColor="text1" w:themeTint="F2"/>
          <w:szCs w:val="24"/>
        </w:rPr>
      </w:pPr>
    </w:p>
    <w:p w14:paraId="0FF15250" w14:textId="6B1A2702" w:rsidR="00D04424" w:rsidRPr="00EB0C5F" w:rsidRDefault="0060457F" w:rsidP="006B0BFB">
      <w:pPr>
        <w:spacing w:after="120"/>
        <w:rPr>
          <w:rFonts w:ascii="Arial" w:hAnsi="Arial" w:cs="Arial"/>
          <w:color w:val="0D0D0D" w:themeColor="text1" w:themeTint="F2"/>
          <w:szCs w:val="24"/>
        </w:rPr>
      </w:pPr>
      <w:r w:rsidRPr="00EB0C5F">
        <w:rPr>
          <w:rFonts w:ascii="Arial" w:hAnsi="Arial" w:cs="Arial"/>
          <w:color w:val="0D0D0D" w:themeColor="text1" w:themeTint="F2"/>
          <w:szCs w:val="24"/>
        </w:rPr>
        <w:t xml:space="preserve">We have decided to </w:t>
      </w:r>
      <w:r w:rsidR="00D2020E" w:rsidRPr="00EB0C5F">
        <w:rPr>
          <w:rFonts w:ascii="Arial" w:hAnsi="Arial" w:cs="Arial"/>
          <w:color w:val="0D0D0D" w:themeColor="text1" w:themeTint="F2"/>
          <w:szCs w:val="24"/>
        </w:rPr>
        <w:t xml:space="preserve">grant </w:t>
      </w:r>
      <w:r w:rsidRPr="00EB0C5F">
        <w:rPr>
          <w:rFonts w:ascii="Arial" w:hAnsi="Arial" w:cs="Arial"/>
          <w:color w:val="0D0D0D" w:themeColor="text1" w:themeTint="F2"/>
          <w:szCs w:val="24"/>
        </w:rPr>
        <w:t>the permit</w:t>
      </w:r>
      <w:r w:rsidR="009422A5" w:rsidRPr="00EB0C5F">
        <w:rPr>
          <w:rFonts w:ascii="Arial" w:hAnsi="Arial" w:cs="Arial"/>
          <w:color w:val="0D0D0D" w:themeColor="text1" w:themeTint="F2"/>
          <w:szCs w:val="24"/>
        </w:rPr>
        <w:t xml:space="preserve"> </w:t>
      </w:r>
      <w:r w:rsidRPr="00EB0C5F">
        <w:rPr>
          <w:rFonts w:ascii="Arial" w:hAnsi="Arial" w:cs="Arial"/>
          <w:color w:val="0D0D0D" w:themeColor="text1" w:themeTint="F2"/>
          <w:szCs w:val="24"/>
        </w:rPr>
        <w:t xml:space="preserve">for </w:t>
      </w:r>
      <w:r w:rsidR="009422A5" w:rsidRPr="00EB0C5F">
        <w:rPr>
          <w:rFonts w:ascii="Arial" w:hAnsi="Arial" w:cs="Arial"/>
          <w:color w:val="0D0D0D" w:themeColor="text1" w:themeTint="F2"/>
          <w:szCs w:val="24"/>
        </w:rPr>
        <w:t xml:space="preserve">Pen Y </w:t>
      </w:r>
      <w:proofErr w:type="spellStart"/>
      <w:r w:rsidR="009422A5" w:rsidRPr="00EB0C5F">
        <w:rPr>
          <w:rFonts w:ascii="Arial" w:hAnsi="Arial" w:cs="Arial"/>
          <w:color w:val="0D0D0D" w:themeColor="text1" w:themeTint="F2"/>
          <w:szCs w:val="24"/>
        </w:rPr>
        <w:t>Glol</w:t>
      </w:r>
      <w:proofErr w:type="spellEnd"/>
      <w:r w:rsidR="009422A5" w:rsidRPr="00EB0C5F">
        <w:rPr>
          <w:rFonts w:ascii="Arial" w:hAnsi="Arial" w:cs="Arial"/>
          <w:color w:val="0D0D0D" w:themeColor="text1" w:themeTint="F2"/>
          <w:szCs w:val="24"/>
        </w:rPr>
        <w:t xml:space="preserve"> Caravan Park</w:t>
      </w:r>
      <w:r w:rsidRPr="00EB0C5F">
        <w:rPr>
          <w:rFonts w:ascii="Arial" w:hAnsi="Arial" w:cs="Arial"/>
          <w:color w:val="0D0D0D" w:themeColor="text1" w:themeTint="F2"/>
          <w:szCs w:val="24"/>
        </w:rPr>
        <w:t xml:space="preserve"> operated by</w:t>
      </w:r>
      <w:r w:rsidR="009422A5" w:rsidRPr="00EB0C5F">
        <w:rPr>
          <w:rFonts w:ascii="Arial" w:hAnsi="Arial" w:cs="Arial"/>
          <w:color w:val="0D0D0D" w:themeColor="text1" w:themeTint="F2"/>
          <w:szCs w:val="24"/>
        </w:rPr>
        <w:t xml:space="preserve"> Pen y </w:t>
      </w:r>
      <w:proofErr w:type="spellStart"/>
      <w:r w:rsidR="009422A5" w:rsidRPr="00EB0C5F">
        <w:rPr>
          <w:rFonts w:ascii="Arial" w:hAnsi="Arial" w:cs="Arial"/>
          <w:color w:val="0D0D0D" w:themeColor="text1" w:themeTint="F2"/>
          <w:szCs w:val="24"/>
        </w:rPr>
        <w:t>Glol</w:t>
      </w:r>
      <w:proofErr w:type="spellEnd"/>
      <w:r w:rsidR="009422A5" w:rsidRPr="00EB0C5F">
        <w:rPr>
          <w:rFonts w:ascii="Arial" w:hAnsi="Arial" w:cs="Arial"/>
          <w:color w:val="0D0D0D" w:themeColor="text1" w:themeTint="F2"/>
          <w:szCs w:val="24"/>
        </w:rPr>
        <w:t xml:space="preserve"> Limited</w:t>
      </w:r>
      <w:r w:rsidR="001034AC" w:rsidRPr="00EB0C5F">
        <w:rPr>
          <w:rFonts w:ascii="Arial" w:hAnsi="Arial" w:cs="Arial"/>
          <w:color w:val="0D0D0D" w:themeColor="text1" w:themeTint="F2"/>
          <w:szCs w:val="24"/>
        </w:rPr>
        <w:t>.</w:t>
      </w:r>
    </w:p>
    <w:p w14:paraId="178F17B4" w14:textId="3186022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sidRPr="00EB0C5F">
        <w:rPr>
          <w:rFonts w:ascii="Arial" w:hAnsi="Arial"/>
          <w:color w:val="0D0D0D" w:themeColor="text1" w:themeTint="F2"/>
          <w:kern w:val="28"/>
          <w:szCs w:val="24"/>
        </w:rPr>
        <w:t xml:space="preserve">The application number is </w:t>
      </w:r>
      <w:r w:rsidR="009422A5" w:rsidRPr="00EB0C5F">
        <w:rPr>
          <w:rFonts w:ascii="Arial" w:hAnsi="Arial"/>
          <w:color w:val="0D0D0D" w:themeColor="text1" w:themeTint="F2"/>
          <w:szCs w:val="24"/>
        </w:rPr>
        <w:t>PAN-020219</w:t>
      </w:r>
    </w:p>
    <w:p w14:paraId="0FF15251" w14:textId="5245334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B0C5F" w:rsidRPr="00EB0C5F">
        <w:rPr>
          <w:rFonts w:ascii="Arial" w:hAnsi="Arial"/>
          <w:szCs w:val="24"/>
        </w:rPr>
        <w:t>EPR/DB3297CT</w:t>
      </w:r>
      <w:r w:rsidR="00EB0C5F" w:rsidRPr="00EB0C5F" w:rsidDel="00EB0C5F">
        <w:rPr>
          <w:rFonts w:ascii="Arial" w:hAnsi="Arial"/>
          <w:szCs w:val="24"/>
        </w:rPr>
        <w:t xml:space="preserve"> </w:t>
      </w:r>
    </w:p>
    <w:p w14:paraId="0FF15252" w14:textId="790C5F18" w:rsidR="00E244F7" w:rsidRPr="00EB0C5F" w:rsidRDefault="000225DA" w:rsidP="006B0BFB">
      <w:pPr>
        <w:tabs>
          <w:tab w:val="left" w:pos="4253"/>
          <w:tab w:val="left" w:pos="6804"/>
        </w:tabs>
        <w:spacing w:after="120"/>
        <w:rPr>
          <w:rFonts w:ascii="Arial" w:hAnsi="Arial"/>
          <w:color w:val="0D0D0D" w:themeColor="text1" w:themeTint="F2"/>
        </w:rPr>
      </w:pPr>
      <w:r w:rsidRPr="00EB0C5F">
        <w:rPr>
          <w:rFonts w:ascii="Arial" w:hAnsi="Arial"/>
          <w:color w:val="0D0D0D" w:themeColor="text1" w:themeTint="F2"/>
        </w:rPr>
        <w:t xml:space="preserve">The </w:t>
      </w:r>
      <w:r w:rsidR="00E244F7" w:rsidRPr="00EB0C5F">
        <w:rPr>
          <w:rFonts w:ascii="Arial" w:hAnsi="Arial"/>
          <w:color w:val="0D0D0D" w:themeColor="text1" w:themeTint="F2"/>
        </w:rPr>
        <w:t xml:space="preserve">discharge is for </w:t>
      </w:r>
      <w:bookmarkStart w:id="2" w:name="_Hlk175135050"/>
      <w:r w:rsidR="00046C4F" w:rsidRPr="00EB0C5F">
        <w:rPr>
          <w:rFonts w:ascii="Arial" w:hAnsi="Arial"/>
          <w:color w:val="0D0D0D" w:themeColor="text1" w:themeTint="F2"/>
        </w:rPr>
        <w:t xml:space="preserve">is for the first time regulation of an existing discharge serving the Pen Y </w:t>
      </w:r>
      <w:proofErr w:type="spellStart"/>
      <w:r w:rsidR="00046C4F" w:rsidRPr="00EB0C5F">
        <w:rPr>
          <w:rFonts w:ascii="Arial" w:hAnsi="Arial"/>
          <w:color w:val="0D0D0D" w:themeColor="text1" w:themeTint="F2"/>
        </w:rPr>
        <w:t>Glol</w:t>
      </w:r>
      <w:proofErr w:type="spellEnd"/>
      <w:r w:rsidR="00046C4F" w:rsidRPr="00EB0C5F">
        <w:rPr>
          <w:rFonts w:ascii="Arial" w:hAnsi="Arial"/>
          <w:color w:val="0D0D0D" w:themeColor="text1" w:themeTint="F2"/>
        </w:rPr>
        <w:t xml:space="preserve"> Caravan Park. The discharge is of secondary treated sewage effluent that is discharged to ground via an infiltration system. The discharge is a maximum of 15 cubic meters per day.</w:t>
      </w:r>
      <w:bookmarkEnd w:id="2"/>
      <w:r w:rsidR="00046C4F" w:rsidRPr="00EB0C5F">
        <w:rPr>
          <w:rFonts w:ascii="Arial" w:hAnsi="Arial"/>
          <w:color w:val="0D0D0D" w:themeColor="text1" w:themeTint="F2"/>
        </w:rPr>
        <w:t xml:space="preserve"> The discharge is within the Ffynnon Asaph spring Source Protection Zone</w:t>
      </w:r>
    </w:p>
    <w:bookmarkEnd w:id="0"/>
    <w:bookmarkEnd w:id="1"/>
    <w:p w14:paraId="0FF15253" w14:textId="77777777" w:rsidR="00D04424" w:rsidRPr="00EB0C5F" w:rsidRDefault="00D04424" w:rsidP="006B0BFB">
      <w:pPr>
        <w:spacing w:after="120"/>
        <w:rPr>
          <w:rFonts w:ascii="Arial" w:hAnsi="Arial"/>
          <w:color w:val="0D0D0D" w:themeColor="text1" w:themeTint="F2"/>
        </w:rPr>
      </w:pPr>
      <w:r w:rsidRPr="00EB0C5F">
        <w:rPr>
          <w:rFonts w:ascii="Arial" w:hAnsi="Arial"/>
          <w:color w:val="0D0D0D" w:themeColor="text1" w:themeTint="F2"/>
        </w:rPr>
        <w:t>We consider in reaching that decision we have taken into account all relevant considerations and legal requirements and that the permit will ensure that the appropriate level of environment</w:t>
      </w:r>
      <w:r w:rsidR="007820C3" w:rsidRPr="00EB0C5F">
        <w:rPr>
          <w:rFonts w:ascii="Arial" w:hAnsi="Arial"/>
          <w:color w:val="0D0D0D" w:themeColor="text1" w:themeTint="F2"/>
        </w:rPr>
        <w:t>al</w:t>
      </w:r>
      <w:r w:rsidRPr="00EB0C5F">
        <w:rPr>
          <w:rFonts w:ascii="Arial" w:hAnsi="Arial"/>
          <w:color w:val="0D0D0D" w:themeColor="text1" w:themeTint="F2"/>
        </w:rPr>
        <w:t xml:space="preserve"> protection is provided.</w:t>
      </w:r>
    </w:p>
    <w:p w14:paraId="0FF15254" w14:textId="77777777" w:rsidR="00D04424" w:rsidRPr="00EB0C5F" w:rsidRDefault="00D04424" w:rsidP="00D04424">
      <w:pPr>
        <w:rPr>
          <w:rFonts w:ascii="Arial" w:hAnsi="Arial" w:cs="Arial"/>
          <w:b/>
          <w:color w:val="0D0D0D" w:themeColor="text1" w:themeTint="F2"/>
          <w:szCs w:val="24"/>
        </w:rPr>
      </w:pPr>
    </w:p>
    <w:p w14:paraId="0FF15255" w14:textId="77777777" w:rsidR="00D04424" w:rsidRPr="00EB0C5F" w:rsidRDefault="00D04424" w:rsidP="00D04424">
      <w:pPr>
        <w:rPr>
          <w:rFonts w:ascii="Arial" w:hAnsi="Arial" w:cs="Arial"/>
          <w:b/>
          <w:color w:val="0D0D0D" w:themeColor="text1" w:themeTint="F2"/>
          <w:szCs w:val="24"/>
        </w:rPr>
      </w:pPr>
    </w:p>
    <w:p w14:paraId="0FF15256" w14:textId="77777777" w:rsidR="00D04424" w:rsidRPr="00EB0C5F" w:rsidRDefault="00D04424" w:rsidP="00D04424">
      <w:pPr>
        <w:rPr>
          <w:rFonts w:ascii="Arial" w:hAnsi="Arial" w:cs="Arial"/>
          <w:b/>
          <w:color w:val="0D0D0D" w:themeColor="text1" w:themeTint="F2"/>
          <w:sz w:val="28"/>
          <w:szCs w:val="28"/>
        </w:rPr>
      </w:pPr>
      <w:r w:rsidRPr="00EB0C5F">
        <w:rPr>
          <w:rFonts w:ascii="Arial" w:hAnsi="Arial" w:cs="Arial"/>
          <w:b/>
          <w:color w:val="0D0D0D" w:themeColor="text1" w:themeTint="F2"/>
          <w:sz w:val="28"/>
          <w:szCs w:val="28"/>
        </w:rPr>
        <w:t>Purpose of this document</w:t>
      </w:r>
    </w:p>
    <w:p w14:paraId="0FF15257" w14:textId="77777777" w:rsidR="00D04424" w:rsidRPr="00EB0C5F" w:rsidRDefault="00D04424" w:rsidP="00D04424">
      <w:pPr>
        <w:rPr>
          <w:rFonts w:ascii="Arial" w:hAnsi="Arial"/>
          <w:b/>
          <w:color w:val="0D0D0D" w:themeColor="text1" w:themeTint="F2"/>
          <w:sz w:val="20"/>
        </w:rPr>
      </w:pPr>
    </w:p>
    <w:p w14:paraId="0FF15258" w14:textId="77777777" w:rsidR="00D04424" w:rsidRPr="00EB0C5F" w:rsidRDefault="00D04424" w:rsidP="002741DD">
      <w:pPr>
        <w:spacing w:after="60"/>
        <w:rPr>
          <w:rFonts w:ascii="Arial" w:hAnsi="Arial"/>
          <w:color w:val="0D0D0D" w:themeColor="text1" w:themeTint="F2"/>
        </w:rPr>
      </w:pPr>
      <w:r w:rsidRPr="00EB0C5F">
        <w:rPr>
          <w:rFonts w:ascii="Arial" w:hAnsi="Arial"/>
          <w:color w:val="0D0D0D" w:themeColor="text1" w:themeTint="F2"/>
        </w:rPr>
        <w:t>This decision document:</w:t>
      </w:r>
    </w:p>
    <w:p w14:paraId="0FF15259" w14:textId="77777777" w:rsidR="00D04424" w:rsidRPr="00EB0C5F" w:rsidRDefault="00D04424" w:rsidP="002741DD">
      <w:pPr>
        <w:numPr>
          <w:ilvl w:val="0"/>
          <w:numId w:val="19"/>
        </w:numPr>
        <w:tabs>
          <w:tab w:val="clear" w:pos="1866"/>
          <w:tab w:val="num" w:pos="1134"/>
        </w:tabs>
        <w:spacing w:after="60"/>
        <w:ind w:left="1134" w:hanging="567"/>
        <w:rPr>
          <w:rFonts w:ascii="Arial" w:hAnsi="Arial"/>
          <w:color w:val="0D0D0D" w:themeColor="text1" w:themeTint="F2"/>
        </w:rPr>
      </w:pPr>
      <w:r w:rsidRPr="00EB0C5F">
        <w:rPr>
          <w:rFonts w:ascii="Arial" w:hAnsi="Arial"/>
          <w:color w:val="0D0D0D" w:themeColor="text1" w:themeTint="F2"/>
        </w:rPr>
        <w:t xml:space="preserve">explains how the </w:t>
      </w:r>
      <w:r w:rsidR="00DE395A" w:rsidRPr="00EB0C5F">
        <w:rPr>
          <w:rFonts w:ascii="Arial" w:hAnsi="Arial"/>
          <w:color w:val="0D0D0D" w:themeColor="text1" w:themeTint="F2"/>
        </w:rPr>
        <w:t>application has been determined</w:t>
      </w:r>
    </w:p>
    <w:p w14:paraId="0FF1525A" w14:textId="77777777" w:rsidR="00D04424" w:rsidRPr="00EB0C5F" w:rsidRDefault="00D04424" w:rsidP="002741DD">
      <w:pPr>
        <w:numPr>
          <w:ilvl w:val="0"/>
          <w:numId w:val="19"/>
        </w:numPr>
        <w:tabs>
          <w:tab w:val="clear" w:pos="1866"/>
          <w:tab w:val="num" w:pos="1134"/>
        </w:tabs>
        <w:spacing w:after="60"/>
        <w:ind w:left="1134" w:hanging="567"/>
        <w:rPr>
          <w:rFonts w:ascii="Arial" w:hAnsi="Arial"/>
          <w:color w:val="0D0D0D" w:themeColor="text1" w:themeTint="F2"/>
        </w:rPr>
      </w:pPr>
      <w:r w:rsidRPr="00EB0C5F">
        <w:rPr>
          <w:rFonts w:ascii="Arial" w:hAnsi="Arial"/>
          <w:color w:val="0D0D0D" w:themeColor="text1" w:themeTint="F2"/>
        </w:rPr>
        <w:t>provides a record</w:t>
      </w:r>
      <w:r w:rsidR="00DE395A" w:rsidRPr="00EB0C5F">
        <w:rPr>
          <w:rFonts w:ascii="Arial" w:hAnsi="Arial"/>
          <w:color w:val="0D0D0D" w:themeColor="text1" w:themeTint="F2"/>
        </w:rPr>
        <w:t xml:space="preserve"> of the decision-making process</w:t>
      </w:r>
      <w:r w:rsidR="009D4D88" w:rsidRPr="00EB0C5F">
        <w:rPr>
          <w:rFonts w:ascii="Arial" w:hAnsi="Arial"/>
          <w:color w:val="0D0D0D" w:themeColor="text1" w:themeTint="F2"/>
        </w:rPr>
        <w:t xml:space="preserve"> </w:t>
      </w:r>
    </w:p>
    <w:p w14:paraId="0FF1525B" w14:textId="77777777" w:rsidR="00D04424" w:rsidRPr="00EB0C5F" w:rsidRDefault="00D04424" w:rsidP="002741DD">
      <w:pPr>
        <w:numPr>
          <w:ilvl w:val="0"/>
          <w:numId w:val="19"/>
        </w:numPr>
        <w:tabs>
          <w:tab w:val="clear" w:pos="1866"/>
          <w:tab w:val="num" w:pos="1134"/>
        </w:tabs>
        <w:spacing w:after="60"/>
        <w:ind w:left="1134" w:hanging="567"/>
        <w:rPr>
          <w:rFonts w:ascii="Arial" w:hAnsi="Arial"/>
          <w:color w:val="0D0D0D" w:themeColor="text1" w:themeTint="F2"/>
        </w:rPr>
      </w:pPr>
      <w:r w:rsidRPr="00EB0C5F">
        <w:rPr>
          <w:rFonts w:ascii="Arial" w:hAnsi="Arial"/>
          <w:color w:val="0D0D0D" w:themeColor="text1" w:themeTint="F2"/>
        </w:rPr>
        <w:t>shows how all relevant factor</w:t>
      </w:r>
      <w:r w:rsidR="00DE395A" w:rsidRPr="00EB0C5F">
        <w:rPr>
          <w:rFonts w:ascii="Arial" w:hAnsi="Arial"/>
          <w:color w:val="0D0D0D" w:themeColor="text1" w:themeTint="F2"/>
        </w:rPr>
        <w:t>s have been taken into account</w:t>
      </w:r>
    </w:p>
    <w:p w14:paraId="0FF1525C" w14:textId="77777777" w:rsidR="00DE395A" w:rsidRPr="00EB0C5F" w:rsidRDefault="00DE395A" w:rsidP="002741DD">
      <w:pPr>
        <w:numPr>
          <w:ilvl w:val="0"/>
          <w:numId w:val="19"/>
        </w:numPr>
        <w:tabs>
          <w:tab w:val="clear" w:pos="1866"/>
          <w:tab w:val="num" w:pos="1134"/>
        </w:tabs>
        <w:spacing w:after="60"/>
        <w:ind w:left="1134" w:hanging="567"/>
        <w:rPr>
          <w:rFonts w:ascii="Arial" w:hAnsi="Arial"/>
          <w:color w:val="0D0D0D" w:themeColor="text1" w:themeTint="F2"/>
        </w:rPr>
      </w:pPr>
      <w:r w:rsidRPr="00EB0C5F">
        <w:rPr>
          <w:rFonts w:ascii="Arial" w:hAnsi="Arial"/>
          <w:color w:val="0D0D0D" w:themeColor="text1" w:themeTint="F2"/>
        </w:rPr>
        <w:t>justifies the specific conditions in the permit other than those in our generic permit template</w:t>
      </w:r>
      <w:r w:rsidR="001648C3" w:rsidRPr="00EB0C5F">
        <w:rPr>
          <w:rFonts w:ascii="Arial" w:hAnsi="Arial"/>
          <w:color w:val="0D0D0D" w:themeColor="text1" w:themeTint="F2"/>
        </w:rPr>
        <w:t>.</w:t>
      </w:r>
    </w:p>
    <w:p w14:paraId="0FF1525D" w14:textId="469E6D90" w:rsidR="00D04424" w:rsidRPr="00EB0C5F" w:rsidRDefault="00D04424" w:rsidP="00D04424">
      <w:pPr>
        <w:rPr>
          <w:rFonts w:ascii="Arial" w:hAnsi="Arial"/>
          <w:color w:val="0D0D0D" w:themeColor="text1" w:themeTint="F2"/>
        </w:rPr>
      </w:pPr>
      <w:r w:rsidRPr="00EB0C5F">
        <w:rPr>
          <w:rFonts w:ascii="Arial" w:hAnsi="Arial"/>
          <w:color w:val="0D0D0D" w:themeColor="text1" w:themeTint="F2"/>
        </w:rPr>
        <w:t xml:space="preserve">Unless the decision document specifies </w:t>
      </w:r>
      <w:r w:rsidR="00046C4F" w:rsidRPr="00EB0C5F">
        <w:rPr>
          <w:rFonts w:ascii="Arial" w:hAnsi="Arial"/>
          <w:color w:val="0D0D0D" w:themeColor="text1" w:themeTint="F2"/>
        </w:rPr>
        <w:t>otherwise,</w:t>
      </w:r>
      <w:r w:rsidRPr="00EB0C5F">
        <w:rPr>
          <w:rFonts w:ascii="Arial" w:hAnsi="Arial"/>
          <w:color w:val="0D0D0D" w:themeColor="text1" w:themeTint="F2"/>
        </w:rPr>
        <w:t xml:space="preserve"> we have accepted the applicant’s proposals.</w:t>
      </w:r>
    </w:p>
    <w:p w14:paraId="0FF1525E" w14:textId="77777777" w:rsidR="00D04424" w:rsidRPr="00EB0C5F" w:rsidRDefault="00D04424" w:rsidP="00D04424">
      <w:pPr>
        <w:rPr>
          <w:rFonts w:ascii="Arial" w:hAnsi="Arial"/>
          <w:color w:val="0D0D0D" w:themeColor="text1" w:themeTint="F2"/>
          <w:szCs w:val="24"/>
        </w:rPr>
      </w:pPr>
    </w:p>
    <w:p w14:paraId="0FF1525F" w14:textId="77777777" w:rsidR="00D04424" w:rsidRPr="00EB0C5F" w:rsidRDefault="00D04424" w:rsidP="00D04424">
      <w:pPr>
        <w:rPr>
          <w:rFonts w:ascii="Arial" w:hAnsi="Arial"/>
          <w:b/>
          <w:color w:val="0D0D0D" w:themeColor="text1" w:themeTint="F2"/>
          <w:szCs w:val="24"/>
        </w:rPr>
      </w:pPr>
    </w:p>
    <w:p w14:paraId="0FF15260" w14:textId="77777777" w:rsidR="00D04424" w:rsidRPr="00EB0C5F" w:rsidRDefault="00D04424" w:rsidP="00D04424">
      <w:pPr>
        <w:rPr>
          <w:rFonts w:ascii="Arial" w:hAnsi="Arial"/>
          <w:b/>
          <w:caps/>
          <w:color w:val="0D0D0D" w:themeColor="text1" w:themeTint="F2"/>
          <w:sz w:val="28"/>
          <w:szCs w:val="28"/>
        </w:rPr>
      </w:pPr>
      <w:r w:rsidRPr="00EB0C5F">
        <w:rPr>
          <w:rFonts w:ascii="Arial" w:hAnsi="Arial"/>
          <w:b/>
          <w:color w:val="0D0D0D" w:themeColor="text1" w:themeTint="F2"/>
          <w:sz w:val="28"/>
          <w:szCs w:val="28"/>
        </w:rPr>
        <w:t>Structure of this document</w:t>
      </w:r>
    </w:p>
    <w:p w14:paraId="0FF15261" w14:textId="77777777" w:rsidR="00D04424" w:rsidRPr="00EB0C5F" w:rsidRDefault="00D04424" w:rsidP="00D04424">
      <w:pPr>
        <w:pStyle w:val="Heading8"/>
        <w:rPr>
          <w:caps w:val="0"/>
          <w:color w:val="0D0D0D" w:themeColor="text1" w:themeTint="F2"/>
          <w:sz w:val="20"/>
        </w:rPr>
      </w:pPr>
    </w:p>
    <w:p w14:paraId="0FF15263" w14:textId="77777777" w:rsidR="006420BA" w:rsidRPr="00EB0C5F" w:rsidRDefault="006420BA" w:rsidP="006420BA">
      <w:pPr>
        <w:numPr>
          <w:ilvl w:val="0"/>
          <w:numId w:val="17"/>
        </w:numPr>
        <w:tabs>
          <w:tab w:val="clear" w:pos="1440"/>
          <w:tab w:val="num" w:pos="1134"/>
        </w:tabs>
        <w:spacing w:after="60"/>
        <w:ind w:left="1134" w:hanging="567"/>
        <w:rPr>
          <w:rFonts w:ascii="Arial" w:hAnsi="Arial"/>
          <w:color w:val="0D0D0D" w:themeColor="text1" w:themeTint="F2"/>
        </w:rPr>
      </w:pPr>
      <w:r w:rsidRPr="00EB0C5F">
        <w:rPr>
          <w:rFonts w:ascii="Arial" w:hAnsi="Arial"/>
          <w:color w:val="0D0D0D" w:themeColor="text1" w:themeTint="F2"/>
          <w:szCs w:val="24"/>
        </w:rPr>
        <w:t>Annex 1 the decision checklist</w:t>
      </w:r>
    </w:p>
    <w:p w14:paraId="0FF15264" w14:textId="16FEAA2B" w:rsidR="006420BA" w:rsidRPr="00EB0C5F" w:rsidRDefault="006420BA" w:rsidP="006420BA">
      <w:pPr>
        <w:numPr>
          <w:ilvl w:val="0"/>
          <w:numId w:val="17"/>
        </w:numPr>
        <w:tabs>
          <w:tab w:val="clear" w:pos="1440"/>
          <w:tab w:val="num" w:pos="1134"/>
        </w:tabs>
        <w:spacing w:after="120"/>
        <w:ind w:left="1134" w:hanging="567"/>
        <w:rPr>
          <w:rFonts w:ascii="Arial" w:hAnsi="Arial"/>
          <w:color w:val="0D0D0D" w:themeColor="text1" w:themeTint="F2"/>
        </w:rPr>
      </w:pPr>
      <w:r w:rsidRPr="00EB0C5F">
        <w:rPr>
          <w:rFonts w:ascii="Arial" w:hAnsi="Arial"/>
          <w:color w:val="0D0D0D" w:themeColor="text1" w:themeTint="F2"/>
          <w:szCs w:val="24"/>
        </w:rPr>
        <w:t>Annex 2 the consultation</w:t>
      </w:r>
      <w:r w:rsidR="009422A5" w:rsidRPr="00EB0C5F">
        <w:rPr>
          <w:rFonts w:ascii="Arial" w:hAnsi="Arial"/>
          <w:color w:val="0D0D0D" w:themeColor="text1" w:themeTint="F2"/>
          <w:szCs w:val="24"/>
        </w:rPr>
        <w:t xml:space="preserve"> </w:t>
      </w:r>
      <w:r w:rsidRPr="00EB0C5F">
        <w:rPr>
          <w:rFonts w:ascii="Arial" w:hAnsi="Arial"/>
          <w:color w:val="0D0D0D" w:themeColor="text1" w:themeTint="F2"/>
          <w:szCs w:val="24"/>
        </w:rPr>
        <w:t>responses</w:t>
      </w:r>
    </w:p>
    <w:p w14:paraId="0FF15271" w14:textId="77777777" w:rsidR="009864F9" w:rsidRPr="00EB0C5F" w:rsidRDefault="00C44B7E" w:rsidP="005B6A95">
      <w:pPr>
        <w:pStyle w:val="Heading1"/>
        <w:rPr>
          <w:bCs/>
          <w:color w:val="0D0D0D" w:themeColor="text1" w:themeTint="F2"/>
          <w:sz w:val="24"/>
        </w:rPr>
      </w:pPr>
      <w:r w:rsidRPr="00EB0C5F">
        <w:rPr>
          <w:color w:val="0D0D0D" w:themeColor="text1" w:themeTint="F2"/>
        </w:rPr>
        <w:br w:type="page"/>
      </w:r>
      <w:r w:rsidR="00591E64" w:rsidRPr="00EB0C5F">
        <w:rPr>
          <w:bCs/>
          <w:color w:val="0D0D0D" w:themeColor="text1" w:themeTint="F2"/>
          <w:sz w:val="24"/>
        </w:rPr>
        <w:lastRenderedPageBreak/>
        <w:t xml:space="preserve">Annex </w:t>
      </w:r>
      <w:r w:rsidR="00F37C15" w:rsidRPr="00EB0C5F">
        <w:rPr>
          <w:bCs/>
          <w:color w:val="0D0D0D" w:themeColor="text1" w:themeTint="F2"/>
          <w:sz w:val="24"/>
        </w:rPr>
        <w:t>1:</w:t>
      </w:r>
      <w:r w:rsidR="00591E64" w:rsidRPr="00EB0C5F">
        <w:rPr>
          <w:bCs/>
          <w:color w:val="0D0D0D" w:themeColor="text1" w:themeTint="F2"/>
          <w:sz w:val="24"/>
        </w:rPr>
        <w:t xml:space="preserve"> decision checklist </w:t>
      </w:r>
    </w:p>
    <w:p w14:paraId="0FF15272" w14:textId="77777777" w:rsidR="00412510" w:rsidRPr="00EB0C5F" w:rsidRDefault="00412510" w:rsidP="00412510">
      <w:pPr>
        <w:rPr>
          <w:rFonts w:ascii="Arial" w:hAnsi="Arial"/>
          <w:color w:val="0D0D0D" w:themeColor="text1" w:themeTint="F2"/>
          <w:szCs w:val="24"/>
        </w:rPr>
      </w:pPr>
      <w:r w:rsidRPr="00EB0C5F">
        <w:rPr>
          <w:rFonts w:ascii="Arial" w:hAnsi="Arial" w:cs="Arial"/>
          <w:color w:val="0D0D0D" w:themeColor="text1" w:themeTint="F2"/>
          <w:szCs w:val="24"/>
        </w:rPr>
        <w:t>This checklist should be read in conjunction with the Duly Making checklist.</w:t>
      </w:r>
    </w:p>
    <w:p w14:paraId="0FF15273" w14:textId="77777777" w:rsidR="007820C3" w:rsidRPr="00EB0C5F" w:rsidRDefault="007820C3" w:rsidP="00D96438">
      <w:pPr>
        <w:rPr>
          <w:rFonts w:ascii="Arial" w:hAnsi="Arial"/>
          <w:color w:val="0D0D0D" w:themeColor="text1" w:themeTint="F2"/>
          <w:szCs w:val="24"/>
        </w:rPr>
      </w:pPr>
    </w:p>
    <w:p w14:paraId="214A42F2" w14:textId="77777777" w:rsidR="009A3F85" w:rsidRPr="00EB0C5F" w:rsidRDefault="009A3F85" w:rsidP="007820C3">
      <w:pPr>
        <w:rPr>
          <w:rFonts w:ascii="Arial" w:hAnsi="Arial"/>
          <w:color w:val="0D0D0D" w:themeColor="text1" w:themeTint="F2"/>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0F6B97" w:rsidRPr="000F6B97"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EB0C5F" w:rsidRDefault="00792CEE" w:rsidP="00792CEE">
            <w:pPr>
              <w:pStyle w:val="Heading3"/>
              <w:rPr>
                <w:rFonts w:ascii="Arial" w:hAnsi="Arial" w:cs="Arial"/>
                <w:color w:val="0D0D0D" w:themeColor="text1" w:themeTint="F2"/>
                <w:szCs w:val="24"/>
              </w:rPr>
            </w:pPr>
            <w:r w:rsidRPr="00EB0C5F">
              <w:rPr>
                <w:rFonts w:ascii="Arial" w:hAnsi="Arial" w:cs="Arial"/>
                <w:color w:val="0D0D0D" w:themeColor="text1" w:themeTint="F2"/>
                <w:szCs w:val="24"/>
              </w:rPr>
              <w:t>A</w:t>
            </w:r>
            <w:r w:rsidR="007820C3" w:rsidRPr="00EB0C5F">
              <w:rPr>
                <w:rFonts w:ascii="Arial" w:hAnsi="Arial" w:cs="Arial"/>
                <w:color w:val="0D0D0D" w:themeColor="text1" w:themeTint="F2"/>
                <w:szCs w:val="24"/>
              </w:rPr>
              <w:t>spect</w:t>
            </w:r>
          </w:p>
        </w:tc>
        <w:tc>
          <w:tcPr>
            <w:tcW w:w="6266" w:type="dxa"/>
            <w:vMerge w:val="restart"/>
            <w:shd w:val="clear" w:color="auto" w:fill="0070C0"/>
          </w:tcPr>
          <w:p w14:paraId="0FF1527A" w14:textId="77777777" w:rsidR="00792CEE" w:rsidRPr="00EB0C5F" w:rsidRDefault="00792CEE" w:rsidP="00792CEE">
            <w:pPr>
              <w:pStyle w:val="Heading3"/>
              <w:rPr>
                <w:rFonts w:ascii="Arial" w:hAnsi="Arial" w:cs="Arial"/>
                <w:color w:val="0D0D0D" w:themeColor="text1" w:themeTint="F2"/>
                <w:szCs w:val="24"/>
              </w:rPr>
            </w:pPr>
            <w:r w:rsidRPr="00EB0C5F">
              <w:rPr>
                <w:rFonts w:ascii="Arial" w:hAnsi="Arial" w:cs="Arial"/>
                <w:color w:val="0D0D0D" w:themeColor="text1" w:themeTint="F2"/>
                <w:szCs w:val="24"/>
              </w:rPr>
              <w:t>Justification / Detail</w:t>
            </w:r>
          </w:p>
        </w:tc>
        <w:tc>
          <w:tcPr>
            <w:tcW w:w="1072" w:type="dxa"/>
            <w:shd w:val="clear" w:color="auto" w:fill="0070C0"/>
          </w:tcPr>
          <w:p w14:paraId="0FF1527B" w14:textId="77777777" w:rsidR="00792CEE" w:rsidRPr="00EB0C5F" w:rsidRDefault="007820C3" w:rsidP="00792CEE">
            <w:pPr>
              <w:rPr>
                <w:rFonts w:ascii="Arial" w:hAnsi="Arial" w:cs="Arial"/>
                <w:b/>
                <w:color w:val="0D0D0D" w:themeColor="text1" w:themeTint="F2"/>
                <w:szCs w:val="24"/>
              </w:rPr>
            </w:pPr>
            <w:r w:rsidRPr="00EB0C5F">
              <w:rPr>
                <w:rFonts w:ascii="Arial" w:hAnsi="Arial" w:cs="Arial"/>
                <w:b/>
                <w:color w:val="0D0D0D" w:themeColor="text1" w:themeTint="F2"/>
                <w:szCs w:val="24"/>
              </w:rPr>
              <w:t>C</w:t>
            </w:r>
            <w:r w:rsidR="00792CEE" w:rsidRPr="00EB0C5F">
              <w:rPr>
                <w:rFonts w:ascii="Arial" w:hAnsi="Arial" w:cs="Arial"/>
                <w:b/>
                <w:color w:val="0D0D0D" w:themeColor="text1" w:themeTint="F2"/>
                <w:szCs w:val="24"/>
              </w:rPr>
              <w:t>riteria met</w:t>
            </w:r>
          </w:p>
        </w:tc>
      </w:tr>
      <w:tr w:rsidR="000F6B97" w:rsidRPr="000F6B97" w14:paraId="0FF15280" w14:textId="77777777" w:rsidTr="396B50C7">
        <w:trPr>
          <w:gridAfter w:val="1"/>
          <w:wAfter w:w="13" w:type="dxa"/>
          <w:cantSplit/>
          <w:trHeight w:val="276"/>
          <w:tblHeader/>
        </w:trPr>
        <w:tc>
          <w:tcPr>
            <w:tcW w:w="1951" w:type="dxa"/>
            <w:vMerge/>
          </w:tcPr>
          <w:p w14:paraId="0FF1527D" w14:textId="77777777" w:rsidR="007820C3" w:rsidRPr="00EB0C5F" w:rsidRDefault="007820C3" w:rsidP="00792CEE">
            <w:pPr>
              <w:pStyle w:val="Heading3"/>
              <w:rPr>
                <w:rFonts w:ascii="Arial" w:hAnsi="Arial" w:cs="Arial"/>
                <w:color w:val="0D0D0D" w:themeColor="text1" w:themeTint="F2"/>
                <w:szCs w:val="24"/>
              </w:rPr>
            </w:pPr>
          </w:p>
        </w:tc>
        <w:tc>
          <w:tcPr>
            <w:tcW w:w="6266" w:type="dxa"/>
            <w:vMerge/>
          </w:tcPr>
          <w:p w14:paraId="0FF1527E" w14:textId="77777777" w:rsidR="007820C3" w:rsidRPr="00EB0C5F" w:rsidRDefault="007820C3" w:rsidP="00792CEE">
            <w:pPr>
              <w:pStyle w:val="Heading3"/>
              <w:rPr>
                <w:rFonts w:ascii="Arial" w:hAnsi="Arial" w:cs="Arial"/>
                <w:color w:val="0D0D0D" w:themeColor="text1" w:themeTint="F2"/>
                <w:szCs w:val="24"/>
              </w:rPr>
            </w:pPr>
          </w:p>
        </w:tc>
        <w:tc>
          <w:tcPr>
            <w:tcW w:w="1072" w:type="dxa"/>
            <w:tcBorders>
              <w:bottom w:val="nil"/>
            </w:tcBorders>
            <w:shd w:val="clear" w:color="auto" w:fill="0070C0"/>
          </w:tcPr>
          <w:p w14:paraId="0FF1527F" w14:textId="77777777" w:rsidR="007820C3" w:rsidRPr="00EB0C5F" w:rsidRDefault="007820C3" w:rsidP="007820C3">
            <w:pPr>
              <w:jc w:val="center"/>
              <w:rPr>
                <w:rFonts w:ascii="Arial" w:hAnsi="Arial" w:cs="Arial"/>
                <w:b/>
                <w:color w:val="0D0D0D" w:themeColor="text1" w:themeTint="F2"/>
                <w:szCs w:val="24"/>
              </w:rPr>
            </w:pPr>
            <w:r w:rsidRPr="00EB0C5F">
              <w:rPr>
                <w:rFonts w:ascii="Arial" w:hAnsi="Arial" w:cs="Arial"/>
                <w:b/>
                <w:color w:val="0D0D0D" w:themeColor="text1" w:themeTint="F2"/>
                <w:szCs w:val="24"/>
              </w:rPr>
              <w:t>Yes</w:t>
            </w:r>
          </w:p>
        </w:tc>
      </w:tr>
      <w:tr w:rsidR="000F6B97" w:rsidRPr="000F6B97" w14:paraId="0FF15294" w14:textId="77777777" w:rsidTr="396B50C7">
        <w:tc>
          <w:tcPr>
            <w:tcW w:w="9302" w:type="dxa"/>
            <w:gridSpan w:val="4"/>
            <w:shd w:val="clear" w:color="auto" w:fill="0070C0"/>
          </w:tcPr>
          <w:p w14:paraId="0FF15293" w14:textId="77777777" w:rsidR="00792CEE" w:rsidRPr="00EB0C5F" w:rsidRDefault="00792CEE" w:rsidP="00792CEE">
            <w:pPr>
              <w:rPr>
                <w:rFonts w:ascii="Arial" w:hAnsi="Arial" w:cs="Arial"/>
                <w:b/>
                <w:color w:val="0D0D0D" w:themeColor="text1" w:themeTint="F2"/>
                <w:szCs w:val="24"/>
              </w:rPr>
            </w:pPr>
            <w:r w:rsidRPr="00EB0C5F">
              <w:rPr>
                <w:rFonts w:ascii="Arial" w:hAnsi="Arial" w:cs="Arial"/>
                <w:b/>
                <w:color w:val="0D0D0D" w:themeColor="text1" w:themeTint="F2"/>
                <w:szCs w:val="24"/>
              </w:rPr>
              <w:t>Consultation</w:t>
            </w:r>
          </w:p>
        </w:tc>
      </w:tr>
      <w:tr w:rsidR="000F6B97" w:rsidRPr="000F6B97" w14:paraId="0FF15298" w14:textId="77777777" w:rsidTr="396B50C7">
        <w:trPr>
          <w:gridAfter w:val="1"/>
          <w:wAfter w:w="13" w:type="dxa"/>
        </w:trPr>
        <w:tc>
          <w:tcPr>
            <w:tcW w:w="1951" w:type="dxa"/>
          </w:tcPr>
          <w:p w14:paraId="0FF15295" w14:textId="77777777"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 xml:space="preserve">Scope of consultation </w:t>
            </w:r>
          </w:p>
        </w:tc>
        <w:tc>
          <w:tcPr>
            <w:tcW w:w="6266" w:type="dxa"/>
          </w:tcPr>
          <w:p w14:paraId="588C0745" w14:textId="77777777" w:rsidR="007820C3"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The consultation requirements were identified and implemented.  The decision was taken in accordance with RGN 6 High Profile Sites, our Public Participation Statement and our Working Together Agreements.</w:t>
            </w:r>
          </w:p>
          <w:p w14:paraId="0FF15296" w14:textId="77777777" w:rsidR="00FC0139" w:rsidRPr="00EB0C5F" w:rsidRDefault="00FC0139" w:rsidP="00792CEE">
            <w:pPr>
              <w:rPr>
                <w:rFonts w:ascii="Arial" w:hAnsi="Arial" w:cs="Arial"/>
                <w:color w:val="0D0D0D" w:themeColor="text1" w:themeTint="F2"/>
                <w:szCs w:val="24"/>
              </w:rPr>
            </w:pPr>
          </w:p>
        </w:tc>
        <w:tc>
          <w:tcPr>
            <w:tcW w:w="1072" w:type="dxa"/>
          </w:tcPr>
          <w:p w14:paraId="0FF15297"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0FF1529F" w14:textId="77777777" w:rsidTr="396B50C7">
        <w:trPr>
          <w:gridAfter w:val="1"/>
          <w:wAfter w:w="13" w:type="dxa"/>
        </w:trPr>
        <w:tc>
          <w:tcPr>
            <w:tcW w:w="1951" w:type="dxa"/>
            <w:tcBorders>
              <w:bottom w:val="single" w:sz="4" w:space="0" w:color="auto"/>
            </w:tcBorders>
          </w:tcPr>
          <w:p w14:paraId="0FF15299" w14:textId="7411969B" w:rsidR="007820C3" w:rsidRPr="00EB0C5F" w:rsidRDefault="007820C3" w:rsidP="007820C3">
            <w:pPr>
              <w:pStyle w:val="Heading3"/>
              <w:spacing w:before="60"/>
              <w:rPr>
                <w:rFonts w:ascii="Arial" w:hAnsi="Arial" w:cs="Arial"/>
                <w:b w:val="0"/>
                <w:color w:val="0D0D0D" w:themeColor="text1" w:themeTint="F2"/>
                <w:szCs w:val="24"/>
                <w:highlight w:val="red"/>
              </w:rPr>
            </w:pPr>
            <w:r w:rsidRPr="00EB0C5F">
              <w:rPr>
                <w:rFonts w:ascii="Arial" w:hAnsi="Arial" w:cs="Arial"/>
                <w:b w:val="0"/>
                <w:color w:val="0D0D0D" w:themeColor="text1" w:themeTint="F2"/>
                <w:szCs w:val="24"/>
              </w:rPr>
              <w:t>Responses to consultation</w:t>
            </w:r>
            <w:r w:rsidR="009422A5" w:rsidRPr="00EB0C5F">
              <w:rPr>
                <w:rFonts w:ascii="Arial" w:hAnsi="Arial" w:cs="Arial"/>
                <w:b w:val="0"/>
                <w:color w:val="0D0D0D" w:themeColor="text1" w:themeTint="F2"/>
                <w:szCs w:val="24"/>
              </w:rPr>
              <w:t xml:space="preserve"> and </w:t>
            </w:r>
            <w:r w:rsidRPr="00EB0C5F">
              <w:rPr>
                <w:rFonts w:ascii="Arial" w:hAnsi="Arial" w:cs="Arial"/>
                <w:b w:val="0"/>
                <w:color w:val="0D0D0D" w:themeColor="text1" w:themeTint="F2"/>
                <w:szCs w:val="24"/>
              </w:rPr>
              <w:t>web publicising</w:t>
            </w:r>
          </w:p>
        </w:tc>
        <w:tc>
          <w:tcPr>
            <w:tcW w:w="6266" w:type="dxa"/>
            <w:tcBorders>
              <w:bottom w:val="single" w:sz="4" w:space="0" w:color="auto"/>
            </w:tcBorders>
          </w:tcPr>
          <w:p w14:paraId="0FF1529A" w14:textId="6C89FAAA" w:rsidR="007820C3" w:rsidRPr="00EB0C5F" w:rsidRDefault="007820C3" w:rsidP="007820C3">
            <w:pPr>
              <w:spacing w:before="60"/>
              <w:rPr>
                <w:rFonts w:ascii="Arial" w:hAnsi="Arial" w:cs="Arial"/>
                <w:color w:val="0D0D0D" w:themeColor="text1" w:themeTint="F2"/>
                <w:szCs w:val="24"/>
              </w:rPr>
            </w:pPr>
            <w:r w:rsidRPr="00EB0C5F">
              <w:rPr>
                <w:rFonts w:ascii="Arial" w:hAnsi="Arial" w:cs="Arial"/>
                <w:color w:val="0D0D0D" w:themeColor="text1" w:themeTint="F2"/>
                <w:szCs w:val="24"/>
              </w:rPr>
              <w:t xml:space="preserve">The consultation responses (Annex 2) were taken into account in the decision.  </w:t>
            </w:r>
          </w:p>
          <w:p w14:paraId="0FF1529B" w14:textId="48EED3DD" w:rsidR="007820C3" w:rsidRPr="00EB0C5F" w:rsidRDefault="009422A5" w:rsidP="007820C3">
            <w:pPr>
              <w:spacing w:before="60"/>
              <w:rPr>
                <w:rFonts w:ascii="Arial" w:hAnsi="Arial" w:cs="Arial"/>
                <w:color w:val="0D0D0D" w:themeColor="text1" w:themeTint="F2"/>
                <w:szCs w:val="24"/>
              </w:rPr>
            </w:pPr>
            <w:r w:rsidRPr="00EB0C5F">
              <w:rPr>
                <w:rFonts w:ascii="Arial" w:hAnsi="Arial" w:cs="Arial"/>
                <w:color w:val="0D0D0D" w:themeColor="text1" w:themeTint="F2"/>
                <w:szCs w:val="24"/>
              </w:rPr>
              <w:t xml:space="preserve">There were no responses to web publicising. </w:t>
            </w:r>
          </w:p>
          <w:p w14:paraId="0FF1529C" w14:textId="77777777" w:rsidR="007820C3" w:rsidRPr="00EB0C5F" w:rsidRDefault="007820C3" w:rsidP="007820C3">
            <w:pPr>
              <w:spacing w:before="60"/>
              <w:rPr>
                <w:rFonts w:ascii="Arial" w:hAnsi="Arial" w:cs="Arial"/>
                <w:color w:val="0D0D0D" w:themeColor="text1" w:themeTint="F2"/>
                <w:szCs w:val="24"/>
              </w:rPr>
            </w:pPr>
            <w:r w:rsidRPr="00EB0C5F">
              <w:rPr>
                <w:rFonts w:ascii="Arial" w:hAnsi="Arial" w:cs="Arial"/>
                <w:color w:val="0D0D0D" w:themeColor="text1" w:themeTint="F2"/>
                <w:szCs w:val="24"/>
              </w:rPr>
              <w:t xml:space="preserve">The decision was taken in accordance with our guidance. </w:t>
            </w:r>
          </w:p>
          <w:p w14:paraId="0FF1529D" w14:textId="77777777" w:rsidR="007820C3" w:rsidRPr="00EB0C5F" w:rsidRDefault="007820C3" w:rsidP="007820C3">
            <w:pPr>
              <w:spacing w:before="60"/>
              <w:rPr>
                <w:rFonts w:ascii="Arial" w:hAnsi="Arial" w:cs="Arial"/>
                <w:color w:val="0D0D0D" w:themeColor="text1" w:themeTint="F2"/>
                <w:szCs w:val="24"/>
              </w:rPr>
            </w:pPr>
          </w:p>
        </w:tc>
        <w:tc>
          <w:tcPr>
            <w:tcW w:w="1072" w:type="dxa"/>
            <w:tcBorders>
              <w:bottom w:val="single" w:sz="4" w:space="0" w:color="auto"/>
            </w:tcBorders>
          </w:tcPr>
          <w:p w14:paraId="0FF1529E"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0FF152A1" w14:textId="77777777" w:rsidTr="396B50C7">
        <w:tc>
          <w:tcPr>
            <w:tcW w:w="9302" w:type="dxa"/>
            <w:gridSpan w:val="4"/>
            <w:shd w:val="clear" w:color="auto" w:fill="0070C0"/>
          </w:tcPr>
          <w:p w14:paraId="0FF152A0" w14:textId="77777777" w:rsidR="00792CEE" w:rsidRPr="00EB0C5F" w:rsidRDefault="00792CEE" w:rsidP="00792CEE">
            <w:pPr>
              <w:rPr>
                <w:rFonts w:ascii="Arial" w:hAnsi="Arial" w:cs="Arial"/>
                <w:b/>
                <w:color w:val="0D0D0D" w:themeColor="text1" w:themeTint="F2"/>
                <w:szCs w:val="24"/>
              </w:rPr>
            </w:pPr>
            <w:r w:rsidRPr="00EB0C5F">
              <w:rPr>
                <w:rFonts w:ascii="Arial" w:hAnsi="Arial" w:cs="Arial"/>
                <w:b/>
                <w:color w:val="0D0D0D" w:themeColor="text1" w:themeTint="F2"/>
                <w:szCs w:val="24"/>
              </w:rPr>
              <w:t>Operator</w:t>
            </w:r>
          </w:p>
        </w:tc>
      </w:tr>
      <w:tr w:rsidR="000F6B97" w:rsidRPr="000F6B97" w14:paraId="0FF152A6" w14:textId="77777777" w:rsidTr="396B50C7">
        <w:trPr>
          <w:gridAfter w:val="1"/>
          <w:wAfter w:w="13" w:type="dxa"/>
        </w:trPr>
        <w:tc>
          <w:tcPr>
            <w:tcW w:w="1951" w:type="dxa"/>
            <w:tcBorders>
              <w:bottom w:val="single" w:sz="4" w:space="0" w:color="auto"/>
            </w:tcBorders>
          </w:tcPr>
          <w:p w14:paraId="0FF152A2" w14:textId="77777777"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Control of the facility</w:t>
            </w:r>
          </w:p>
        </w:tc>
        <w:tc>
          <w:tcPr>
            <w:tcW w:w="6266" w:type="dxa"/>
            <w:tcBorders>
              <w:bottom w:val="single" w:sz="4" w:space="0" w:color="auto"/>
            </w:tcBorders>
          </w:tcPr>
          <w:p w14:paraId="0FF152A3" w14:textId="48BB7D1E"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EB0C5F" w:rsidRDefault="007820C3" w:rsidP="00792CEE">
            <w:pPr>
              <w:rPr>
                <w:rFonts w:ascii="Arial" w:hAnsi="Arial" w:cs="Arial"/>
                <w:color w:val="0D0D0D" w:themeColor="text1" w:themeTint="F2"/>
                <w:szCs w:val="24"/>
              </w:rPr>
            </w:pPr>
          </w:p>
        </w:tc>
        <w:tc>
          <w:tcPr>
            <w:tcW w:w="1072" w:type="dxa"/>
            <w:tcBorders>
              <w:bottom w:val="single" w:sz="4" w:space="0" w:color="auto"/>
            </w:tcBorders>
          </w:tcPr>
          <w:p w14:paraId="0FF152A5"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0FF152B3" w14:textId="77777777" w:rsidTr="396B50C7">
        <w:tc>
          <w:tcPr>
            <w:tcW w:w="9302" w:type="dxa"/>
            <w:gridSpan w:val="4"/>
            <w:shd w:val="clear" w:color="auto" w:fill="0070C0"/>
          </w:tcPr>
          <w:p w14:paraId="0FF152B2" w14:textId="77777777" w:rsidR="00792CEE" w:rsidRPr="00EB0C5F" w:rsidRDefault="00792CEE" w:rsidP="00792CEE">
            <w:pPr>
              <w:rPr>
                <w:rFonts w:ascii="Arial" w:hAnsi="Arial" w:cs="Arial"/>
                <w:b/>
                <w:color w:val="0D0D0D" w:themeColor="text1" w:themeTint="F2"/>
                <w:szCs w:val="24"/>
              </w:rPr>
            </w:pPr>
            <w:r w:rsidRPr="00EB0C5F">
              <w:rPr>
                <w:rFonts w:ascii="Arial" w:hAnsi="Arial" w:cs="Arial"/>
                <w:b/>
                <w:color w:val="0D0D0D" w:themeColor="text1" w:themeTint="F2"/>
                <w:szCs w:val="24"/>
              </w:rPr>
              <w:t>European Directives</w:t>
            </w:r>
          </w:p>
        </w:tc>
      </w:tr>
      <w:tr w:rsidR="000F6B97" w:rsidRPr="000F6B97" w14:paraId="0FF152BA" w14:textId="77777777" w:rsidTr="396B50C7">
        <w:trPr>
          <w:gridAfter w:val="1"/>
          <w:wAfter w:w="13" w:type="dxa"/>
        </w:trPr>
        <w:tc>
          <w:tcPr>
            <w:tcW w:w="1951" w:type="dxa"/>
          </w:tcPr>
          <w:p w14:paraId="0FF152B4" w14:textId="77777777" w:rsidR="007820C3" w:rsidRPr="00EB0C5F" w:rsidRDefault="007820C3" w:rsidP="0016775A">
            <w:pPr>
              <w:rPr>
                <w:rFonts w:ascii="Arial" w:hAnsi="Arial" w:cs="Arial"/>
                <w:color w:val="0D0D0D" w:themeColor="text1" w:themeTint="F2"/>
                <w:szCs w:val="24"/>
              </w:rPr>
            </w:pPr>
            <w:r w:rsidRPr="00EB0C5F">
              <w:rPr>
                <w:rFonts w:ascii="Arial" w:hAnsi="Arial" w:cs="Arial"/>
                <w:color w:val="0D0D0D" w:themeColor="text1" w:themeTint="F2"/>
                <w:szCs w:val="24"/>
              </w:rPr>
              <w:t xml:space="preserve">Applicable </w:t>
            </w:r>
            <w:r w:rsidR="002436CC" w:rsidRPr="00EB0C5F">
              <w:rPr>
                <w:rFonts w:ascii="Arial" w:hAnsi="Arial" w:cs="Arial"/>
                <w:color w:val="0D0D0D" w:themeColor="text1" w:themeTint="F2"/>
                <w:szCs w:val="24"/>
              </w:rPr>
              <w:t>d</w:t>
            </w:r>
            <w:r w:rsidRPr="00EB0C5F">
              <w:rPr>
                <w:rFonts w:ascii="Arial" w:hAnsi="Arial" w:cs="Arial"/>
                <w:color w:val="0D0D0D" w:themeColor="text1" w:themeTint="F2"/>
                <w:szCs w:val="24"/>
              </w:rPr>
              <w:t xml:space="preserve">irectives </w:t>
            </w:r>
          </w:p>
        </w:tc>
        <w:tc>
          <w:tcPr>
            <w:tcW w:w="6266" w:type="dxa"/>
          </w:tcPr>
          <w:p w14:paraId="0FF152B5" w14:textId="77777777" w:rsidR="007820C3" w:rsidRPr="00EB0C5F" w:rsidRDefault="007820C3" w:rsidP="0016775A">
            <w:pPr>
              <w:rPr>
                <w:rFonts w:ascii="Arial" w:hAnsi="Arial" w:cs="Arial"/>
                <w:color w:val="0D0D0D" w:themeColor="text1" w:themeTint="F2"/>
                <w:szCs w:val="24"/>
              </w:rPr>
            </w:pPr>
            <w:r w:rsidRPr="00EB0C5F">
              <w:rPr>
                <w:rFonts w:ascii="Arial" w:hAnsi="Arial" w:cs="Arial"/>
                <w:color w:val="0D0D0D" w:themeColor="text1" w:themeTint="F2"/>
                <w:szCs w:val="24"/>
              </w:rPr>
              <w:t xml:space="preserve">All applicable European </w:t>
            </w:r>
            <w:r w:rsidR="002436CC" w:rsidRPr="00EB0C5F">
              <w:rPr>
                <w:rFonts w:ascii="Arial" w:hAnsi="Arial" w:cs="Arial"/>
                <w:color w:val="0D0D0D" w:themeColor="text1" w:themeTint="F2"/>
                <w:szCs w:val="24"/>
              </w:rPr>
              <w:t>di</w:t>
            </w:r>
            <w:r w:rsidRPr="00EB0C5F">
              <w:rPr>
                <w:rFonts w:ascii="Arial" w:hAnsi="Arial" w:cs="Arial"/>
                <w:color w:val="0D0D0D" w:themeColor="text1" w:themeTint="F2"/>
                <w:szCs w:val="24"/>
              </w:rPr>
              <w:t>rectives have been considered in the determination of the application.</w:t>
            </w:r>
          </w:p>
          <w:p w14:paraId="0FF152B8" w14:textId="77777777" w:rsidR="007820C3" w:rsidRPr="00EB0C5F" w:rsidRDefault="007820C3" w:rsidP="00EB0C5F">
            <w:pPr>
              <w:spacing w:before="60"/>
              <w:rPr>
                <w:rFonts w:ascii="Arial" w:hAnsi="Arial" w:cs="Arial"/>
                <w:color w:val="0D0D0D" w:themeColor="text1" w:themeTint="F2"/>
                <w:szCs w:val="24"/>
              </w:rPr>
            </w:pPr>
          </w:p>
        </w:tc>
        <w:tc>
          <w:tcPr>
            <w:tcW w:w="1072" w:type="dxa"/>
          </w:tcPr>
          <w:p w14:paraId="0FF152B9"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1C781D8D" w14:textId="77777777" w:rsidTr="396B50C7">
        <w:trPr>
          <w:gridAfter w:val="1"/>
          <w:wAfter w:w="13" w:type="dxa"/>
        </w:trPr>
        <w:tc>
          <w:tcPr>
            <w:tcW w:w="1951" w:type="dxa"/>
          </w:tcPr>
          <w:p w14:paraId="20732F65" w14:textId="7F5BE50B" w:rsidR="00D512DF" w:rsidRPr="00EB0C5F" w:rsidRDefault="00D512DF" w:rsidP="0016775A">
            <w:pPr>
              <w:rPr>
                <w:rFonts w:ascii="Arial" w:hAnsi="Arial" w:cs="Arial"/>
                <w:color w:val="0D0D0D" w:themeColor="text1" w:themeTint="F2"/>
                <w:szCs w:val="24"/>
              </w:rPr>
            </w:pPr>
            <w:r w:rsidRPr="00EB0C5F">
              <w:rPr>
                <w:rFonts w:ascii="Arial" w:hAnsi="Arial" w:cs="Arial"/>
                <w:color w:val="0D0D0D" w:themeColor="text1" w:themeTint="F2"/>
                <w:szCs w:val="24"/>
              </w:rPr>
              <w:t>WF</w:t>
            </w:r>
            <w:r w:rsidR="002967CA" w:rsidRPr="00EB0C5F">
              <w:rPr>
                <w:rFonts w:ascii="Arial" w:hAnsi="Arial" w:cs="Arial"/>
                <w:color w:val="0D0D0D" w:themeColor="text1" w:themeTint="F2"/>
                <w:szCs w:val="24"/>
              </w:rPr>
              <w:t>D</w:t>
            </w:r>
          </w:p>
        </w:tc>
        <w:tc>
          <w:tcPr>
            <w:tcW w:w="6266" w:type="dxa"/>
          </w:tcPr>
          <w:p w14:paraId="501CDBDC" w14:textId="7CE629C3" w:rsidR="00D512DF" w:rsidRPr="00EB0C5F" w:rsidRDefault="00AF4C00" w:rsidP="0016775A">
            <w:pPr>
              <w:rPr>
                <w:rFonts w:ascii="Arial" w:hAnsi="Arial" w:cs="Arial"/>
                <w:color w:val="0D0D0D" w:themeColor="text1" w:themeTint="F2"/>
              </w:rPr>
            </w:pPr>
            <w:r w:rsidRPr="00EB0C5F">
              <w:rPr>
                <w:rFonts w:ascii="Arial" w:hAnsi="Arial" w:cs="Arial"/>
                <w:color w:val="0D0D0D" w:themeColor="text1" w:themeTint="F2"/>
                <w:szCs w:val="24"/>
              </w:rPr>
              <w:t xml:space="preserve">The </w:t>
            </w:r>
            <w:r w:rsidR="00EC6B7A" w:rsidRPr="00EB0C5F">
              <w:rPr>
                <w:rFonts w:ascii="Arial" w:hAnsi="Arial" w:cs="Arial"/>
                <w:color w:val="0D0D0D" w:themeColor="text1" w:themeTint="F2"/>
                <w:szCs w:val="24"/>
              </w:rPr>
              <w:t>discharge</w:t>
            </w:r>
            <w:r w:rsidR="003A1935" w:rsidRPr="00EB0C5F">
              <w:rPr>
                <w:rFonts w:ascii="Arial" w:hAnsi="Arial" w:cs="Arial"/>
                <w:color w:val="0D0D0D" w:themeColor="text1" w:themeTint="F2"/>
                <w:szCs w:val="24"/>
              </w:rPr>
              <w:t xml:space="preserve"> activity</w:t>
            </w:r>
            <w:r w:rsidR="00EC6B7A" w:rsidRPr="00EB0C5F">
              <w:rPr>
                <w:rFonts w:ascii="Arial" w:hAnsi="Arial" w:cs="Arial"/>
                <w:color w:val="0D0D0D" w:themeColor="text1" w:themeTint="F2"/>
                <w:szCs w:val="24"/>
              </w:rPr>
              <w:t xml:space="preserve"> screens out from needing further assessment under WFD as it is not in </w:t>
            </w:r>
            <w:r w:rsidR="009A341D" w:rsidRPr="00EB0C5F">
              <w:rPr>
                <w:rFonts w:ascii="Arial" w:hAnsi="Arial" w:cs="Arial"/>
                <w:color w:val="0D0D0D" w:themeColor="text1" w:themeTint="F2"/>
              </w:rPr>
              <w:t xml:space="preserve">a </w:t>
            </w:r>
            <w:r w:rsidR="00930E1C" w:rsidRPr="00EB0C5F">
              <w:rPr>
                <w:rFonts w:ascii="Arial" w:hAnsi="Arial" w:cs="Arial"/>
                <w:color w:val="0D0D0D" w:themeColor="text1" w:themeTint="F2"/>
              </w:rPr>
              <w:t>water body at high status or high status for morphology</w:t>
            </w:r>
            <w:r w:rsidR="00B13426" w:rsidRPr="00EB0C5F">
              <w:rPr>
                <w:rFonts w:ascii="Arial" w:hAnsi="Arial" w:cs="Arial"/>
                <w:color w:val="0D0D0D" w:themeColor="text1" w:themeTint="F2"/>
              </w:rPr>
              <w:t>,</w:t>
            </w:r>
            <w:r w:rsidR="001B000A" w:rsidRPr="00EB0C5F">
              <w:rPr>
                <w:rFonts w:ascii="Arial" w:hAnsi="Arial" w:cs="Arial"/>
                <w:color w:val="0D0D0D" w:themeColor="text1" w:themeTint="F2"/>
              </w:rPr>
              <w:t xml:space="preserve"> and it</w:t>
            </w:r>
            <w:r w:rsidR="00B13426" w:rsidRPr="00EB0C5F">
              <w:rPr>
                <w:rFonts w:ascii="Arial" w:hAnsi="Arial" w:cs="Arial"/>
                <w:color w:val="0D0D0D" w:themeColor="text1" w:themeTint="F2"/>
              </w:rPr>
              <w:t xml:space="preserve"> is </w:t>
            </w:r>
            <w:r w:rsidR="004709A1" w:rsidRPr="00EB0C5F">
              <w:rPr>
                <w:rFonts w:ascii="Arial" w:hAnsi="Arial" w:cs="Arial"/>
                <w:color w:val="0D0D0D" w:themeColor="text1" w:themeTint="F2"/>
              </w:rPr>
              <w:t xml:space="preserve">listed in Annex D as a low risk activity </w:t>
            </w:r>
            <w:r w:rsidR="001B000A" w:rsidRPr="00EB0C5F">
              <w:rPr>
                <w:rFonts w:ascii="Arial" w:hAnsi="Arial" w:cs="Arial"/>
                <w:color w:val="0D0D0D" w:themeColor="text1" w:themeTint="F2"/>
              </w:rPr>
              <w:t>plus</w:t>
            </w:r>
            <w:r w:rsidR="004709A1" w:rsidRPr="00EB0C5F">
              <w:rPr>
                <w:rFonts w:ascii="Arial" w:hAnsi="Arial" w:cs="Arial"/>
                <w:color w:val="0D0D0D" w:themeColor="text1" w:themeTint="F2"/>
              </w:rPr>
              <w:t xml:space="preserve"> there is no in combination </w:t>
            </w:r>
            <w:r w:rsidR="0040420C" w:rsidRPr="00EB0C5F">
              <w:rPr>
                <w:rFonts w:ascii="Arial" w:hAnsi="Arial" w:cs="Arial"/>
                <w:color w:val="0D0D0D" w:themeColor="text1" w:themeTint="F2"/>
              </w:rPr>
              <w:t>impact</w:t>
            </w:r>
            <w:r w:rsidR="00C920B9" w:rsidRPr="00EB0C5F">
              <w:rPr>
                <w:rFonts w:ascii="Arial" w:hAnsi="Arial" w:cs="Arial"/>
                <w:color w:val="0D0D0D" w:themeColor="text1" w:themeTint="F2"/>
              </w:rPr>
              <w:t>.</w:t>
            </w:r>
          </w:p>
          <w:p w14:paraId="5318DFFA" w14:textId="77777777" w:rsidR="00EA77C3" w:rsidRPr="00EB0C5F" w:rsidRDefault="00EA77C3" w:rsidP="0016775A">
            <w:pPr>
              <w:rPr>
                <w:rFonts w:ascii="Arial" w:hAnsi="Arial" w:cs="Arial"/>
                <w:color w:val="0D0D0D" w:themeColor="text1" w:themeTint="F2"/>
              </w:rPr>
            </w:pPr>
          </w:p>
          <w:p w14:paraId="00B5B026" w14:textId="702A8703" w:rsidR="00EA77C3" w:rsidRPr="00EB0C5F" w:rsidRDefault="00EA77C3" w:rsidP="0016775A">
            <w:pPr>
              <w:rPr>
                <w:rFonts w:ascii="Arial" w:hAnsi="Arial" w:cs="Arial"/>
                <w:color w:val="0D0D0D" w:themeColor="text1" w:themeTint="F2"/>
              </w:rPr>
            </w:pPr>
            <w:r w:rsidRPr="00EB0C5F">
              <w:rPr>
                <w:rFonts w:ascii="Arial" w:hAnsi="Arial" w:cs="Arial"/>
                <w:color w:val="0D0D0D" w:themeColor="text1" w:themeTint="F2"/>
              </w:rPr>
              <w:t xml:space="preserve">The application has been assessed via bespoke Ground Water Risk Assessment </w:t>
            </w:r>
            <w:r w:rsidR="00841DA3">
              <w:rPr>
                <w:rFonts w:ascii="Arial" w:hAnsi="Arial" w:cs="Arial"/>
                <w:color w:val="0D0D0D" w:themeColor="text1" w:themeTint="F2"/>
              </w:rPr>
              <w:t xml:space="preserve">assessing the risk to the Source Protection Zone </w:t>
            </w:r>
            <w:r w:rsidRPr="00EB0C5F">
              <w:rPr>
                <w:rFonts w:ascii="Arial" w:hAnsi="Arial" w:cs="Arial"/>
                <w:color w:val="0D0D0D" w:themeColor="text1" w:themeTint="F2"/>
              </w:rPr>
              <w:t xml:space="preserve">and has been reviewed and the findings agreed with by NRW Geoscience team. </w:t>
            </w:r>
          </w:p>
          <w:p w14:paraId="7DEDFFF1" w14:textId="75D6F5CA" w:rsidR="002967CA" w:rsidRPr="00EB0C5F" w:rsidRDefault="002967CA" w:rsidP="00EB0C5F">
            <w:pPr>
              <w:spacing w:before="60"/>
              <w:rPr>
                <w:rFonts w:ascii="Arial" w:hAnsi="Arial" w:cs="Arial"/>
                <w:color w:val="0D0D0D" w:themeColor="text1" w:themeTint="F2"/>
                <w:szCs w:val="24"/>
              </w:rPr>
            </w:pPr>
          </w:p>
        </w:tc>
        <w:tc>
          <w:tcPr>
            <w:tcW w:w="1072" w:type="dxa"/>
          </w:tcPr>
          <w:p w14:paraId="2E80C0FB" w14:textId="6D7BFF08" w:rsidR="00D512DF" w:rsidRPr="00EB0C5F" w:rsidRDefault="00EA77C3" w:rsidP="00792CEE">
            <w:pPr>
              <w:rPr>
                <w:rFonts w:ascii="Wingdings" w:eastAsia="Wingdings" w:hAnsi="Wingdings" w:cs="Wingdings"/>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0FF152BC" w14:textId="77777777" w:rsidTr="396B50C7">
        <w:tc>
          <w:tcPr>
            <w:tcW w:w="9302" w:type="dxa"/>
            <w:gridSpan w:val="4"/>
            <w:shd w:val="clear" w:color="auto" w:fill="0070C0"/>
          </w:tcPr>
          <w:p w14:paraId="0FF152BB" w14:textId="77777777" w:rsidR="00792CEE" w:rsidRPr="00EB0C5F" w:rsidRDefault="00792CEE" w:rsidP="00792CEE">
            <w:pPr>
              <w:rPr>
                <w:rFonts w:ascii="Arial" w:hAnsi="Arial" w:cs="Arial"/>
                <w:b/>
                <w:color w:val="0D0D0D" w:themeColor="text1" w:themeTint="F2"/>
                <w:szCs w:val="24"/>
              </w:rPr>
            </w:pPr>
            <w:r w:rsidRPr="00EB0C5F">
              <w:rPr>
                <w:rFonts w:ascii="Arial" w:hAnsi="Arial" w:cs="Arial"/>
                <w:b/>
                <w:color w:val="0D0D0D" w:themeColor="text1" w:themeTint="F2"/>
                <w:szCs w:val="24"/>
              </w:rPr>
              <w:t>The site</w:t>
            </w:r>
          </w:p>
        </w:tc>
      </w:tr>
      <w:tr w:rsidR="000F6B97" w:rsidRPr="000F6B97" w14:paraId="0FF152C4" w14:textId="77777777" w:rsidTr="396B50C7">
        <w:trPr>
          <w:gridAfter w:val="1"/>
          <w:wAfter w:w="13" w:type="dxa"/>
        </w:trPr>
        <w:tc>
          <w:tcPr>
            <w:tcW w:w="1951" w:type="dxa"/>
          </w:tcPr>
          <w:p w14:paraId="0FF152BD" w14:textId="77777777"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 xml:space="preserve">Extent of the site of the facility </w:t>
            </w:r>
          </w:p>
        </w:tc>
        <w:tc>
          <w:tcPr>
            <w:tcW w:w="6266" w:type="dxa"/>
          </w:tcPr>
          <w:p w14:paraId="0FF152BE" w14:textId="2F59A04E" w:rsidR="007820C3" w:rsidRPr="00EB0C5F" w:rsidRDefault="007820C3" w:rsidP="0016775A">
            <w:pPr>
              <w:rPr>
                <w:rFonts w:ascii="Arial" w:hAnsi="Arial" w:cs="Arial"/>
                <w:color w:val="0D0D0D" w:themeColor="text1" w:themeTint="F2"/>
                <w:szCs w:val="24"/>
              </w:rPr>
            </w:pPr>
            <w:r w:rsidRPr="00EB0C5F">
              <w:rPr>
                <w:rFonts w:ascii="Arial" w:hAnsi="Arial" w:cs="Arial"/>
                <w:color w:val="0D0D0D" w:themeColor="text1" w:themeTint="F2"/>
                <w:szCs w:val="24"/>
              </w:rPr>
              <w:t xml:space="preserve">The operator has provided a plan which we consider is satisfactory, showing the extent of the site of the facility including discharge points. </w:t>
            </w:r>
          </w:p>
          <w:p w14:paraId="0FF152BF" w14:textId="77777777" w:rsidR="007820C3" w:rsidRPr="00EB0C5F" w:rsidRDefault="007820C3" w:rsidP="0016775A">
            <w:pPr>
              <w:rPr>
                <w:rFonts w:ascii="Arial" w:hAnsi="Arial" w:cs="Arial"/>
                <w:color w:val="0D0D0D" w:themeColor="text1" w:themeTint="F2"/>
                <w:szCs w:val="24"/>
              </w:rPr>
            </w:pPr>
          </w:p>
          <w:p w14:paraId="0FF152C0" w14:textId="77777777" w:rsidR="007820C3" w:rsidRPr="00EB0C5F" w:rsidRDefault="007820C3" w:rsidP="0016775A">
            <w:pPr>
              <w:rPr>
                <w:rFonts w:ascii="Arial" w:hAnsi="Arial" w:cs="Arial"/>
                <w:color w:val="0D0D0D" w:themeColor="text1" w:themeTint="F2"/>
                <w:szCs w:val="24"/>
              </w:rPr>
            </w:pPr>
            <w:r w:rsidRPr="00EB0C5F">
              <w:rPr>
                <w:rFonts w:ascii="Arial" w:hAnsi="Arial" w:cs="Arial"/>
                <w:color w:val="0D0D0D" w:themeColor="text1" w:themeTint="F2"/>
                <w:szCs w:val="24"/>
              </w:rPr>
              <w:lastRenderedPageBreak/>
              <w:t>A plan is included in the permit and the operator is required to carry on the permitted activities within the site boundary.</w:t>
            </w:r>
          </w:p>
          <w:p w14:paraId="0FF152C2" w14:textId="77777777" w:rsidR="00FB30B4" w:rsidRPr="00EB0C5F" w:rsidRDefault="00FB30B4" w:rsidP="00A20E94">
            <w:pPr>
              <w:rPr>
                <w:rFonts w:ascii="Arial" w:hAnsi="Arial" w:cs="Arial"/>
                <w:color w:val="0D0D0D" w:themeColor="text1" w:themeTint="F2"/>
                <w:szCs w:val="24"/>
              </w:rPr>
            </w:pPr>
          </w:p>
        </w:tc>
        <w:tc>
          <w:tcPr>
            <w:tcW w:w="1072" w:type="dxa"/>
          </w:tcPr>
          <w:p w14:paraId="0FF152C3"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lastRenderedPageBreak/>
              <w:t>ü</w:t>
            </w:r>
          </w:p>
        </w:tc>
      </w:tr>
      <w:tr w:rsidR="000F6B97" w:rsidRPr="000F6B97" w14:paraId="0FF152D1" w14:textId="77777777" w:rsidTr="396B50C7">
        <w:trPr>
          <w:gridAfter w:val="1"/>
          <w:wAfter w:w="13" w:type="dxa"/>
        </w:trPr>
        <w:tc>
          <w:tcPr>
            <w:tcW w:w="1951" w:type="dxa"/>
          </w:tcPr>
          <w:p w14:paraId="0FF152C5" w14:textId="00B5F69F" w:rsidR="007820C3" w:rsidRPr="00EB0C5F" w:rsidRDefault="007820C3" w:rsidP="4E0B47CD">
            <w:pPr>
              <w:rPr>
                <w:rFonts w:ascii="Arial" w:hAnsi="Arial" w:cs="Arial"/>
                <w:color w:val="0D0D0D" w:themeColor="text1" w:themeTint="F2"/>
                <w:highlight w:val="yellow"/>
              </w:rPr>
            </w:pPr>
            <w:r w:rsidRPr="00EB0C5F">
              <w:rPr>
                <w:rFonts w:ascii="Arial" w:hAnsi="Arial" w:cs="Arial"/>
                <w:color w:val="0D0D0D" w:themeColor="text1" w:themeTint="F2"/>
              </w:rPr>
              <w:t>Biodiversity, Heritage, Landscape and Nature Conservation</w:t>
            </w:r>
            <w:r w:rsidR="00136717" w:rsidRPr="00EB0C5F">
              <w:rPr>
                <w:rFonts w:ascii="Arial" w:hAnsi="Arial" w:cs="Arial"/>
                <w:color w:val="0D0D0D" w:themeColor="text1" w:themeTint="F2"/>
              </w:rPr>
              <w:t xml:space="preserve"> and a designated site under the W</w:t>
            </w:r>
            <w:r w:rsidR="26A326B2" w:rsidRPr="00EB0C5F">
              <w:rPr>
                <w:rFonts w:ascii="Arial" w:hAnsi="Arial" w:cs="Arial"/>
                <w:color w:val="0D0D0D" w:themeColor="text1" w:themeTint="F2"/>
              </w:rPr>
              <w:t>ildlife and Countryside</w:t>
            </w:r>
            <w:r w:rsidR="00136717" w:rsidRPr="00EB0C5F">
              <w:rPr>
                <w:rFonts w:ascii="Arial" w:hAnsi="Arial" w:cs="Arial"/>
                <w:color w:val="0D0D0D" w:themeColor="text1" w:themeTint="F2"/>
              </w:rPr>
              <w:t xml:space="preserve"> Act. </w:t>
            </w:r>
          </w:p>
        </w:tc>
        <w:tc>
          <w:tcPr>
            <w:tcW w:w="6266" w:type="dxa"/>
          </w:tcPr>
          <w:p w14:paraId="0FF152C6" w14:textId="44DBC00E" w:rsidR="007820C3" w:rsidRPr="00EB0C5F" w:rsidRDefault="007820C3" w:rsidP="00EF499E">
            <w:pPr>
              <w:rPr>
                <w:rFonts w:ascii="Arial" w:hAnsi="Arial" w:cs="Arial"/>
                <w:color w:val="0D0D0D" w:themeColor="text1" w:themeTint="F2"/>
                <w:szCs w:val="24"/>
              </w:rPr>
            </w:pPr>
            <w:r w:rsidRPr="00EB0C5F">
              <w:rPr>
                <w:rFonts w:ascii="Arial" w:hAnsi="Arial" w:cs="Arial"/>
                <w:color w:val="0D0D0D" w:themeColor="text1" w:themeTint="F2"/>
                <w:szCs w:val="24"/>
              </w:rPr>
              <w:t xml:space="preserve">The application is </w:t>
            </w:r>
            <w:r w:rsidR="00A20E94" w:rsidRPr="00EB0C5F">
              <w:rPr>
                <w:rFonts w:ascii="Arial" w:hAnsi="Arial" w:cs="Arial"/>
                <w:color w:val="0D0D0D" w:themeColor="text1" w:themeTint="F2"/>
                <w:szCs w:val="24"/>
              </w:rPr>
              <w:t xml:space="preserve">not </w:t>
            </w:r>
            <w:r w:rsidRPr="00EB0C5F">
              <w:rPr>
                <w:rFonts w:ascii="Arial" w:hAnsi="Arial" w:cs="Arial"/>
                <w:color w:val="0D0D0D" w:themeColor="text1" w:themeTint="F2"/>
                <w:szCs w:val="24"/>
              </w:rPr>
              <w:t>within the relevant distance criteria of a site of heritage,  landscape or nature conservation, and/or protected species or habitat .</w:t>
            </w:r>
          </w:p>
          <w:p w14:paraId="0FF152C7" w14:textId="77777777" w:rsidR="007820C3" w:rsidRPr="00EB0C5F" w:rsidRDefault="007820C3" w:rsidP="00EF499E">
            <w:pPr>
              <w:rPr>
                <w:rFonts w:ascii="Arial" w:hAnsi="Arial" w:cs="Arial"/>
                <w:color w:val="0D0D0D" w:themeColor="text1" w:themeTint="F2"/>
                <w:szCs w:val="24"/>
              </w:rPr>
            </w:pPr>
          </w:p>
          <w:p w14:paraId="0FF152CF" w14:textId="77777777" w:rsidR="00FB30B4" w:rsidRPr="00EB0C5F" w:rsidRDefault="00FB30B4" w:rsidP="00A20E94">
            <w:pPr>
              <w:rPr>
                <w:rFonts w:ascii="Arial" w:hAnsi="Arial" w:cs="Arial"/>
                <w:color w:val="0D0D0D" w:themeColor="text1" w:themeTint="F2"/>
                <w:szCs w:val="24"/>
              </w:rPr>
            </w:pPr>
          </w:p>
        </w:tc>
        <w:tc>
          <w:tcPr>
            <w:tcW w:w="1072" w:type="dxa"/>
          </w:tcPr>
          <w:p w14:paraId="0FF152D0" w14:textId="77777777" w:rsidR="007820C3" w:rsidRPr="00EB0C5F" w:rsidRDefault="007820C3" w:rsidP="00340EEB">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37022978" w14:textId="77777777" w:rsidTr="396B50C7">
        <w:trPr>
          <w:gridAfter w:val="1"/>
          <w:wAfter w:w="13" w:type="dxa"/>
        </w:trPr>
        <w:tc>
          <w:tcPr>
            <w:tcW w:w="1951" w:type="dxa"/>
          </w:tcPr>
          <w:p w14:paraId="08EF8436" w14:textId="17F8FDB8" w:rsidR="00136717" w:rsidRPr="00EB0C5F" w:rsidRDefault="00136717" w:rsidP="00136717">
            <w:pPr>
              <w:rPr>
                <w:rFonts w:ascii="Arial" w:hAnsi="Arial" w:cs="Arial"/>
                <w:color w:val="0D0D0D" w:themeColor="text1" w:themeTint="F2"/>
                <w:szCs w:val="24"/>
              </w:rPr>
            </w:pPr>
            <w:r w:rsidRPr="00EB0C5F">
              <w:rPr>
                <w:rFonts w:ascii="Arial" w:hAnsi="Arial" w:cs="Arial"/>
                <w:color w:val="0D0D0D" w:themeColor="text1" w:themeTint="F2"/>
                <w:szCs w:val="24"/>
              </w:rPr>
              <w:t>Habitat Regulation Assessment for a designated site under the EU Habitats Directive</w:t>
            </w:r>
          </w:p>
        </w:tc>
        <w:tc>
          <w:tcPr>
            <w:tcW w:w="6266" w:type="dxa"/>
          </w:tcPr>
          <w:p w14:paraId="7D987494" w14:textId="77777777" w:rsidR="00136717" w:rsidRPr="00EB0C5F" w:rsidRDefault="00136717" w:rsidP="00136717">
            <w:pPr>
              <w:spacing w:before="60"/>
              <w:rPr>
                <w:rFonts w:ascii="Arial" w:hAnsi="Arial" w:cs="Arial"/>
                <w:color w:val="0D0D0D" w:themeColor="text1" w:themeTint="F2"/>
                <w:szCs w:val="24"/>
              </w:rPr>
            </w:pPr>
            <w:r w:rsidRPr="00EB0C5F">
              <w:rPr>
                <w:rFonts w:ascii="Arial" w:hAnsi="Arial" w:cs="Arial"/>
                <w:color w:val="0D0D0D" w:themeColor="text1" w:themeTint="F2"/>
                <w:szCs w:val="24"/>
              </w:rPr>
              <w:t>No FORM 1 completed:</w:t>
            </w:r>
          </w:p>
          <w:p w14:paraId="5CBD4E4C" w14:textId="77777777" w:rsidR="00136717" w:rsidRPr="00EB0C5F" w:rsidRDefault="00136717" w:rsidP="00136717">
            <w:pPr>
              <w:spacing w:before="60"/>
              <w:rPr>
                <w:rFonts w:ascii="Arial" w:hAnsi="Arial" w:cs="Arial"/>
                <w:color w:val="0D0D0D" w:themeColor="text1" w:themeTint="F2"/>
                <w:szCs w:val="24"/>
              </w:rPr>
            </w:pPr>
          </w:p>
          <w:p w14:paraId="65718F40" w14:textId="77777777" w:rsidR="00136717" w:rsidRPr="00EB0C5F" w:rsidRDefault="00136717" w:rsidP="00136717">
            <w:pPr>
              <w:spacing w:before="60"/>
              <w:rPr>
                <w:rFonts w:ascii="Arial" w:hAnsi="Arial" w:cs="Arial"/>
                <w:color w:val="0D0D0D" w:themeColor="text1" w:themeTint="F2"/>
                <w:szCs w:val="24"/>
              </w:rPr>
            </w:pPr>
            <w:r w:rsidRPr="00EB0C5F">
              <w:rPr>
                <w:rFonts w:ascii="Arial" w:hAnsi="Arial" w:cs="Arial"/>
                <w:color w:val="0D0D0D" w:themeColor="text1" w:themeTint="F2"/>
                <w:szCs w:val="24"/>
              </w:rPr>
              <w:t xml:space="preserve">HRA is not required because there is no conceivable impact pathway to any Natura 2000/Ramsar site </w:t>
            </w:r>
          </w:p>
          <w:p w14:paraId="50917BB1" w14:textId="0ACEF446" w:rsidR="00136717" w:rsidRDefault="00046C4F" w:rsidP="7126189C">
            <w:pPr>
              <w:spacing w:before="60"/>
              <w:rPr>
                <w:rFonts w:ascii="Arial" w:hAnsi="Arial" w:cs="Arial"/>
                <w:color w:val="0D0D0D" w:themeColor="text1" w:themeTint="F2"/>
              </w:rPr>
            </w:pPr>
            <w:r w:rsidRPr="00EB0C5F">
              <w:rPr>
                <w:rFonts w:ascii="Arial" w:hAnsi="Arial" w:cs="Arial"/>
                <w:color w:val="0D0D0D" w:themeColor="text1" w:themeTint="F2"/>
              </w:rPr>
              <w:t>There is</w:t>
            </w:r>
            <w:r w:rsidR="00136717" w:rsidRPr="00EB0C5F">
              <w:rPr>
                <w:rFonts w:ascii="Arial" w:hAnsi="Arial" w:cs="Arial"/>
                <w:color w:val="0D0D0D" w:themeColor="text1" w:themeTint="F2"/>
              </w:rPr>
              <w:t xml:space="preserve"> no conceivable impact on any Natura 2000 site, by virtue of the scale or location or nature of the project.</w:t>
            </w:r>
          </w:p>
          <w:p w14:paraId="64A0B0B6" w14:textId="77777777" w:rsidR="00FC0139" w:rsidRDefault="00FC0139" w:rsidP="7126189C">
            <w:pPr>
              <w:spacing w:before="60"/>
              <w:rPr>
                <w:rFonts w:ascii="Arial" w:hAnsi="Arial" w:cs="Arial"/>
                <w:color w:val="0D0D0D" w:themeColor="text1" w:themeTint="F2"/>
              </w:rPr>
            </w:pPr>
          </w:p>
          <w:p w14:paraId="4E776256" w14:textId="0D7FC6BC" w:rsidR="00FC0139" w:rsidRPr="00EB0C5F" w:rsidRDefault="00FC0139" w:rsidP="7126189C">
            <w:pPr>
              <w:spacing w:before="60"/>
              <w:rPr>
                <w:rFonts w:ascii="Arial" w:hAnsi="Arial" w:cs="Arial"/>
                <w:color w:val="0D0D0D" w:themeColor="text1" w:themeTint="F2"/>
              </w:rPr>
            </w:pPr>
            <w:r>
              <w:rPr>
                <w:rFonts w:ascii="Arial" w:hAnsi="Arial" w:cs="Arial"/>
                <w:color w:val="0D0D0D" w:themeColor="text1" w:themeTint="F2"/>
              </w:rPr>
              <w:t xml:space="preserve">Risk screening report for: Discharges greater than 2m3/d to ground did not identify any protected sites within screening distance. Report can be found on the DMS. </w:t>
            </w:r>
            <w:hyperlink r:id="rId12" w:history="1">
              <w:r w:rsidRPr="00FC0139">
                <w:rPr>
                  <w:rStyle w:val="Hyperlink"/>
                  <w:rFonts w:ascii="Arial" w:hAnsi="Arial" w:cs="Arial"/>
                </w:rPr>
                <w:t>https://cyfoethnaturiolcymru.sharepoint.com/teams/Regulatory/Permitting/North%20EPR%20Water%20Discharge%20Consents%20PR/PAN-020219/PAN-020219%20Risk_Screening_Report.pdf</w:t>
              </w:r>
            </w:hyperlink>
            <w:r>
              <w:rPr>
                <w:rFonts w:ascii="Arial" w:hAnsi="Arial" w:cs="Arial"/>
                <w:color w:val="0D0D0D" w:themeColor="text1" w:themeTint="F2"/>
              </w:rPr>
              <w:t xml:space="preserve">  </w:t>
            </w:r>
          </w:p>
          <w:p w14:paraId="67AFC2B0" w14:textId="77777777" w:rsidR="00136717" w:rsidRPr="00EB0C5F" w:rsidRDefault="00136717" w:rsidP="00A20E94">
            <w:pPr>
              <w:rPr>
                <w:rFonts w:ascii="Arial" w:hAnsi="Arial" w:cs="Arial"/>
                <w:color w:val="0D0D0D" w:themeColor="text1" w:themeTint="F2"/>
                <w:szCs w:val="24"/>
              </w:rPr>
            </w:pPr>
          </w:p>
        </w:tc>
        <w:tc>
          <w:tcPr>
            <w:tcW w:w="1072" w:type="dxa"/>
          </w:tcPr>
          <w:p w14:paraId="5CCCC72E" w14:textId="0226FF44" w:rsidR="00136717" w:rsidRPr="00EB0C5F" w:rsidRDefault="00EA77C3" w:rsidP="00340EEB">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0FF152D3" w14:textId="77777777" w:rsidTr="396B50C7">
        <w:tc>
          <w:tcPr>
            <w:tcW w:w="9302" w:type="dxa"/>
            <w:gridSpan w:val="4"/>
            <w:shd w:val="clear" w:color="auto" w:fill="0070C0"/>
          </w:tcPr>
          <w:p w14:paraId="0FF152D2" w14:textId="77777777" w:rsidR="00792CEE" w:rsidRPr="00EB0C5F" w:rsidRDefault="00792CEE" w:rsidP="00792CEE">
            <w:pPr>
              <w:rPr>
                <w:rFonts w:ascii="Arial" w:hAnsi="Arial" w:cs="Arial"/>
                <w:b/>
                <w:color w:val="0D0D0D" w:themeColor="text1" w:themeTint="F2"/>
                <w:szCs w:val="24"/>
              </w:rPr>
            </w:pPr>
            <w:r w:rsidRPr="00EB0C5F">
              <w:rPr>
                <w:rFonts w:ascii="Arial" w:hAnsi="Arial" w:cs="Arial"/>
                <w:b/>
                <w:color w:val="0D0D0D" w:themeColor="text1" w:themeTint="F2"/>
                <w:szCs w:val="24"/>
              </w:rPr>
              <w:t>Environmental Risk Assessment and operating techniques</w:t>
            </w:r>
          </w:p>
        </w:tc>
      </w:tr>
      <w:tr w:rsidR="000F6B97" w:rsidRPr="000F6B97" w14:paraId="0FF152DF" w14:textId="77777777" w:rsidTr="396B50C7">
        <w:trPr>
          <w:gridAfter w:val="1"/>
          <w:wAfter w:w="13" w:type="dxa"/>
        </w:trPr>
        <w:tc>
          <w:tcPr>
            <w:tcW w:w="1951" w:type="dxa"/>
          </w:tcPr>
          <w:p w14:paraId="0FF152D4" w14:textId="77777777"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Environmental risk</w:t>
            </w:r>
          </w:p>
          <w:p w14:paraId="0FF152D5" w14:textId="53FF8F40" w:rsidR="007820C3" w:rsidRPr="00EB0C5F" w:rsidRDefault="007820C3" w:rsidP="00792CEE">
            <w:pPr>
              <w:rPr>
                <w:rFonts w:ascii="Arial" w:hAnsi="Arial" w:cs="Arial"/>
                <w:color w:val="0D0D0D" w:themeColor="text1" w:themeTint="F2"/>
                <w:szCs w:val="24"/>
              </w:rPr>
            </w:pPr>
          </w:p>
        </w:tc>
        <w:tc>
          <w:tcPr>
            <w:tcW w:w="6266" w:type="dxa"/>
          </w:tcPr>
          <w:p w14:paraId="0FF152D6" w14:textId="77777777"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 xml:space="preserve">We have reviewed the operator's assessment of the environmental risk from the facility.  </w:t>
            </w:r>
          </w:p>
          <w:p w14:paraId="0FF152D7" w14:textId="77777777" w:rsidR="00FB30B4" w:rsidRPr="00EB0C5F" w:rsidRDefault="00FB30B4" w:rsidP="00792CEE">
            <w:pPr>
              <w:rPr>
                <w:rFonts w:ascii="Arial" w:hAnsi="Arial" w:cs="Arial"/>
                <w:color w:val="0D0D0D" w:themeColor="text1" w:themeTint="F2"/>
                <w:szCs w:val="24"/>
              </w:rPr>
            </w:pPr>
          </w:p>
          <w:p w14:paraId="0FF152DA" w14:textId="00555EC3" w:rsidR="007820C3" w:rsidRPr="00EB0C5F" w:rsidRDefault="007820C3" w:rsidP="00A20E94">
            <w:pPr>
              <w:rPr>
                <w:rFonts w:ascii="Arial" w:hAnsi="Arial" w:cs="Arial"/>
                <w:color w:val="0D0D0D" w:themeColor="text1" w:themeTint="F2"/>
                <w:szCs w:val="24"/>
              </w:rPr>
            </w:pPr>
            <w:r w:rsidRPr="00EB0C5F">
              <w:rPr>
                <w:rFonts w:ascii="Arial" w:hAnsi="Arial" w:cs="Arial"/>
                <w:color w:val="0D0D0D" w:themeColor="text1" w:themeTint="F2"/>
                <w:szCs w:val="24"/>
              </w:rPr>
              <w:t xml:space="preserve">The operator’s risk assessment is satisfactory. </w:t>
            </w:r>
          </w:p>
          <w:p w14:paraId="0FF152DB" w14:textId="77777777" w:rsidR="007820C3" w:rsidRPr="00EB0C5F" w:rsidRDefault="007820C3" w:rsidP="00792CEE">
            <w:pPr>
              <w:rPr>
                <w:rFonts w:ascii="Arial" w:hAnsi="Arial" w:cs="Arial"/>
                <w:color w:val="0D0D0D" w:themeColor="text1" w:themeTint="F2"/>
                <w:szCs w:val="24"/>
              </w:rPr>
            </w:pPr>
          </w:p>
          <w:p w14:paraId="0FF152DC" w14:textId="37DF2875" w:rsidR="007820C3" w:rsidRPr="00EB0C5F" w:rsidRDefault="007820C3" w:rsidP="00792CEE">
            <w:pPr>
              <w:pStyle w:val="BodyText"/>
              <w:rPr>
                <w:rFonts w:ascii="Arial" w:hAnsi="Arial" w:cs="Arial"/>
                <w:color w:val="0D0D0D" w:themeColor="text1" w:themeTint="F2"/>
                <w:szCs w:val="24"/>
              </w:rPr>
            </w:pPr>
            <w:r w:rsidRPr="00EB0C5F">
              <w:rPr>
                <w:rFonts w:ascii="Arial" w:hAnsi="Arial" w:cs="Arial"/>
                <w:color w:val="0D0D0D" w:themeColor="text1" w:themeTint="F2"/>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EB0C5F" w:rsidRDefault="00FB30B4" w:rsidP="00792CEE">
            <w:pPr>
              <w:pStyle w:val="BodyText"/>
              <w:rPr>
                <w:rFonts w:ascii="Arial" w:hAnsi="Arial" w:cs="Arial"/>
                <w:color w:val="0D0D0D" w:themeColor="text1" w:themeTint="F2"/>
                <w:szCs w:val="24"/>
              </w:rPr>
            </w:pPr>
          </w:p>
        </w:tc>
        <w:tc>
          <w:tcPr>
            <w:tcW w:w="1072" w:type="dxa"/>
          </w:tcPr>
          <w:p w14:paraId="0FF152DE"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0FF152F6" w14:textId="77777777" w:rsidTr="396B50C7">
        <w:trPr>
          <w:gridAfter w:val="1"/>
          <w:wAfter w:w="13" w:type="dxa"/>
        </w:trPr>
        <w:tc>
          <w:tcPr>
            <w:tcW w:w="1951" w:type="dxa"/>
          </w:tcPr>
          <w:p w14:paraId="0FF152EC" w14:textId="77777777"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Operating techniques</w:t>
            </w:r>
          </w:p>
        </w:tc>
        <w:tc>
          <w:tcPr>
            <w:tcW w:w="6266" w:type="dxa"/>
          </w:tcPr>
          <w:p w14:paraId="0FF152ED" w14:textId="77777777" w:rsidR="007820C3" w:rsidRPr="00EB0C5F" w:rsidRDefault="007820C3" w:rsidP="00792CEE">
            <w:pPr>
              <w:pStyle w:val="BodyText"/>
              <w:rPr>
                <w:rFonts w:ascii="Arial" w:hAnsi="Arial" w:cs="Arial"/>
                <w:color w:val="0D0D0D" w:themeColor="text1" w:themeTint="F2"/>
                <w:szCs w:val="24"/>
              </w:rPr>
            </w:pPr>
            <w:r w:rsidRPr="00EB0C5F">
              <w:rPr>
                <w:rFonts w:ascii="Arial" w:hAnsi="Arial" w:cs="Arial"/>
                <w:color w:val="0D0D0D" w:themeColor="text1" w:themeTint="F2"/>
                <w:szCs w:val="24"/>
              </w:rPr>
              <w:t xml:space="preserve">We have reviewed the techniques used by the operator and compared these with the relevant guidance notes. </w:t>
            </w:r>
          </w:p>
          <w:p w14:paraId="0FF152EE" w14:textId="071FD597" w:rsidR="007820C3" w:rsidRPr="00EB0C5F" w:rsidRDefault="00A20E94" w:rsidP="00792CEE">
            <w:pPr>
              <w:pStyle w:val="BodyText"/>
              <w:rPr>
                <w:rFonts w:ascii="Arial" w:hAnsi="Arial" w:cs="Arial"/>
                <w:color w:val="0D0D0D" w:themeColor="text1" w:themeTint="F2"/>
                <w:szCs w:val="24"/>
              </w:rPr>
            </w:pPr>
            <w:r w:rsidRPr="00EB0C5F">
              <w:rPr>
                <w:rFonts w:ascii="Arial" w:hAnsi="Arial" w:cs="Arial"/>
                <w:color w:val="0D0D0D" w:themeColor="text1" w:themeTint="F2"/>
                <w:szCs w:val="24"/>
              </w:rPr>
              <w:t xml:space="preserve">The </w:t>
            </w:r>
            <w:r w:rsidR="00046C4F" w:rsidRPr="00EB0C5F">
              <w:rPr>
                <w:rFonts w:ascii="Arial" w:hAnsi="Arial" w:cs="Arial"/>
                <w:color w:val="0D0D0D" w:themeColor="text1" w:themeTint="F2"/>
                <w:szCs w:val="24"/>
              </w:rPr>
              <w:t>measures</w:t>
            </w:r>
            <w:r w:rsidRPr="00EB0C5F">
              <w:rPr>
                <w:rFonts w:ascii="Arial" w:hAnsi="Arial" w:cs="Arial"/>
                <w:color w:val="0D0D0D" w:themeColor="text1" w:themeTint="F2"/>
                <w:szCs w:val="24"/>
              </w:rPr>
              <w:t xml:space="preserve"> </w:t>
            </w:r>
            <w:r w:rsidR="00046C4F" w:rsidRPr="00EB0C5F">
              <w:rPr>
                <w:rFonts w:ascii="Arial" w:hAnsi="Arial" w:cs="Arial"/>
                <w:color w:val="0D0D0D" w:themeColor="text1" w:themeTint="F2"/>
                <w:szCs w:val="24"/>
              </w:rPr>
              <w:t>proposed</w:t>
            </w:r>
            <w:r w:rsidRPr="00EB0C5F">
              <w:rPr>
                <w:rFonts w:ascii="Arial" w:hAnsi="Arial" w:cs="Arial"/>
                <w:color w:val="0D0D0D" w:themeColor="text1" w:themeTint="F2"/>
                <w:szCs w:val="24"/>
              </w:rPr>
              <w:t xml:space="preserve"> by the operator confirm to those set out in TGN How to comply with your permit. </w:t>
            </w:r>
          </w:p>
          <w:p w14:paraId="49858824" w14:textId="77777777" w:rsidR="00A20E94" w:rsidRPr="00EB0C5F" w:rsidRDefault="00A20E94" w:rsidP="00792CEE">
            <w:pPr>
              <w:pStyle w:val="BodyText"/>
              <w:rPr>
                <w:rFonts w:ascii="Arial" w:hAnsi="Arial" w:cs="Arial"/>
                <w:color w:val="0D0D0D" w:themeColor="text1" w:themeTint="F2"/>
                <w:szCs w:val="24"/>
              </w:rPr>
            </w:pPr>
          </w:p>
          <w:p w14:paraId="0FF152EF" w14:textId="77777777" w:rsidR="007820C3" w:rsidRPr="00EB0C5F" w:rsidRDefault="007820C3" w:rsidP="00792CEE">
            <w:pPr>
              <w:pStyle w:val="BodyText"/>
              <w:rPr>
                <w:rFonts w:ascii="Arial" w:hAnsi="Arial" w:cs="Arial"/>
                <w:color w:val="0D0D0D" w:themeColor="text1" w:themeTint="F2"/>
                <w:szCs w:val="24"/>
              </w:rPr>
            </w:pPr>
            <w:r w:rsidRPr="00EB0C5F">
              <w:rPr>
                <w:rFonts w:ascii="Arial" w:hAnsi="Arial" w:cs="Arial"/>
                <w:color w:val="0D0D0D" w:themeColor="text1" w:themeTint="F2"/>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EB0C5F" w:rsidRDefault="00FB30B4" w:rsidP="00A20E94">
            <w:pPr>
              <w:pStyle w:val="BodyText"/>
              <w:rPr>
                <w:rFonts w:ascii="Arial" w:hAnsi="Arial" w:cs="Arial"/>
                <w:color w:val="0D0D0D" w:themeColor="text1" w:themeTint="F2"/>
                <w:szCs w:val="24"/>
              </w:rPr>
            </w:pPr>
          </w:p>
        </w:tc>
        <w:tc>
          <w:tcPr>
            <w:tcW w:w="1072" w:type="dxa"/>
          </w:tcPr>
          <w:p w14:paraId="0FF152F5"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lastRenderedPageBreak/>
              <w:t>ü</w:t>
            </w:r>
          </w:p>
        </w:tc>
      </w:tr>
      <w:tr w:rsidR="000F6B97" w:rsidRPr="000F6B97" w14:paraId="0FF152F8" w14:textId="77777777" w:rsidTr="396B50C7">
        <w:tc>
          <w:tcPr>
            <w:tcW w:w="9302" w:type="dxa"/>
            <w:gridSpan w:val="4"/>
            <w:shd w:val="clear" w:color="auto" w:fill="0070C0"/>
          </w:tcPr>
          <w:p w14:paraId="0FF152F7" w14:textId="77777777" w:rsidR="00792CEE" w:rsidRPr="00EB0C5F" w:rsidRDefault="00792CEE" w:rsidP="00792CEE">
            <w:pPr>
              <w:rPr>
                <w:rFonts w:ascii="Arial" w:hAnsi="Arial" w:cs="Arial"/>
                <w:b/>
                <w:color w:val="0D0D0D" w:themeColor="text1" w:themeTint="F2"/>
                <w:szCs w:val="24"/>
              </w:rPr>
            </w:pPr>
            <w:r w:rsidRPr="00EB0C5F">
              <w:rPr>
                <w:rFonts w:ascii="Arial" w:hAnsi="Arial" w:cs="Arial"/>
                <w:b/>
                <w:color w:val="0D0D0D" w:themeColor="text1" w:themeTint="F2"/>
                <w:szCs w:val="24"/>
              </w:rPr>
              <w:t>The permit conditions</w:t>
            </w:r>
          </w:p>
        </w:tc>
      </w:tr>
      <w:tr w:rsidR="000F6B97" w:rsidRPr="000F6B97" w14:paraId="0FF15331" w14:textId="77777777" w:rsidTr="396B50C7">
        <w:trPr>
          <w:gridAfter w:val="1"/>
          <w:wAfter w:w="13" w:type="dxa"/>
        </w:trPr>
        <w:tc>
          <w:tcPr>
            <w:tcW w:w="1951" w:type="dxa"/>
          </w:tcPr>
          <w:p w14:paraId="0FF1532B" w14:textId="77777777" w:rsidR="007820C3" w:rsidRPr="00EB0C5F" w:rsidRDefault="007820C3" w:rsidP="00792CEE">
            <w:pPr>
              <w:rPr>
                <w:rFonts w:ascii="Arial" w:hAnsi="Arial" w:cs="Arial"/>
                <w:color w:val="0D0D0D" w:themeColor="text1" w:themeTint="F2"/>
                <w:szCs w:val="24"/>
              </w:rPr>
            </w:pPr>
            <w:r w:rsidRPr="00EB0C5F">
              <w:rPr>
                <w:rFonts w:ascii="Arial" w:hAnsi="Arial" w:cs="Arial"/>
                <w:color w:val="0D0D0D" w:themeColor="text1" w:themeTint="F2"/>
                <w:szCs w:val="24"/>
              </w:rPr>
              <w:t>Emission limits</w:t>
            </w:r>
          </w:p>
        </w:tc>
        <w:tc>
          <w:tcPr>
            <w:tcW w:w="6266" w:type="dxa"/>
          </w:tcPr>
          <w:p w14:paraId="0FF1532C" w14:textId="77777777" w:rsidR="007820C3" w:rsidRPr="00EB0C5F" w:rsidRDefault="007820C3" w:rsidP="007E3284">
            <w:pPr>
              <w:rPr>
                <w:rFonts w:ascii="Arial" w:hAnsi="Arial" w:cs="Arial"/>
                <w:color w:val="0D0D0D" w:themeColor="text1" w:themeTint="F2"/>
                <w:szCs w:val="24"/>
              </w:rPr>
            </w:pPr>
            <w:r w:rsidRPr="00EB0C5F">
              <w:rPr>
                <w:rFonts w:ascii="Arial" w:hAnsi="Arial" w:cs="Arial"/>
                <w:color w:val="0D0D0D" w:themeColor="text1" w:themeTint="F2"/>
                <w:szCs w:val="24"/>
              </w:rPr>
              <w:t xml:space="preserve">We have decided that emission limits should be set for the parameters listed in the permit.   </w:t>
            </w:r>
          </w:p>
          <w:p w14:paraId="0FF1532D" w14:textId="77777777" w:rsidR="007820C3" w:rsidRPr="00EB0C5F" w:rsidRDefault="007820C3" w:rsidP="00792CEE">
            <w:pPr>
              <w:rPr>
                <w:rFonts w:ascii="Arial" w:hAnsi="Arial" w:cs="Arial"/>
                <w:color w:val="0D0D0D" w:themeColor="text1" w:themeTint="F2"/>
                <w:szCs w:val="24"/>
              </w:rPr>
            </w:pPr>
          </w:p>
          <w:p w14:paraId="7E3D078D" w14:textId="77777777" w:rsidR="00A20E94" w:rsidRPr="00EB0C5F" w:rsidRDefault="007820C3" w:rsidP="00C07952">
            <w:pPr>
              <w:rPr>
                <w:rFonts w:ascii="Arial" w:hAnsi="Arial" w:cs="Arial"/>
                <w:color w:val="0D0D0D" w:themeColor="text1" w:themeTint="F2"/>
                <w:szCs w:val="24"/>
              </w:rPr>
            </w:pPr>
            <w:r w:rsidRPr="00EB0C5F">
              <w:rPr>
                <w:rFonts w:ascii="Arial" w:hAnsi="Arial" w:cs="Arial"/>
                <w:color w:val="0D0D0D" w:themeColor="text1" w:themeTint="F2"/>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3F0C3F2A" w14:textId="77777777" w:rsidR="00A20E94" w:rsidRPr="00EB0C5F" w:rsidRDefault="00A20E94" w:rsidP="00C07952">
            <w:pPr>
              <w:rPr>
                <w:rFonts w:ascii="Arial" w:hAnsi="Arial" w:cs="Arial"/>
                <w:color w:val="0D0D0D" w:themeColor="text1" w:themeTint="F2"/>
                <w:szCs w:val="24"/>
              </w:rPr>
            </w:pPr>
          </w:p>
          <w:p w14:paraId="1DDFCDB1" w14:textId="698E4DB4" w:rsidR="00A20E94" w:rsidRPr="00EB0C5F" w:rsidRDefault="00A20E94" w:rsidP="00EB0C5F">
            <w:pPr>
              <w:tabs>
                <w:tab w:val="left" w:pos="4253"/>
                <w:tab w:val="left" w:pos="6804"/>
              </w:tabs>
              <w:spacing w:after="120"/>
              <w:rPr>
                <w:rFonts w:ascii="Arial" w:hAnsi="Arial" w:cs="Arial"/>
                <w:color w:val="0D0D0D" w:themeColor="text1" w:themeTint="F2"/>
                <w:szCs w:val="24"/>
              </w:rPr>
            </w:pPr>
            <w:r w:rsidRPr="00EB0C5F">
              <w:rPr>
                <w:rFonts w:ascii="Arial" w:hAnsi="Arial" w:cs="Arial"/>
                <w:color w:val="0D0D0D" w:themeColor="text1" w:themeTint="F2"/>
                <w:szCs w:val="24"/>
              </w:rPr>
              <w:t>The following limits have been set to be protective of the rece</w:t>
            </w:r>
            <w:r w:rsidR="00EA77C3" w:rsidRPr="00EB0C5F">
              <w:rPr>
                <w:rFonts w:ascii="Arial" w:hAnsi="Arial" w:cs="Arial"/>
                <w:color w:val="0D0D0D" w:themeColor="text1" w:themeTint="F2"/>
                <w:szCs w:val="24"/>
              </w:rPr>
              <w:t>iv</w:t>
            </w:r>
            <w:r w:rsidRPr="00EB0C5F">
              <w:rPr>
                <w:rFonts w:ascii="Arial" w:hAnsi="Arial" w:cs="Arial"/>
                <w:color w:val="0D0D0D" w:themeColor="text1" w:themeTint="F2"/>
                <w:szCs w:val="24"/>
              </w:rPr>
              <w:t>ing g</w:t>
            </w:r>
            <w:r w:rsidR="00EA77C3" w:rsidRPr="00EB0C5F">
              <w:rPr>
                <w:rFonts w:ascii="Arial" w:hAnsi="Arial" w:cs="Arial"/>
                <w:color w:val="0D0D0D" w:themeColor="text1" w:themeTint="F2"/>
                <w:szCs w:val="24"/>
              </w:rPr>
              <w:t>r</w:t>
            </w:r>
            <w:r w:rsidRPr="00EB0C5F">
              <w:rPr>
                <w:rFonts w:ascii="Arial" w:hAnsi="Arial" w:cs="Arial"/>
                <w:color w:val="0D0D0D" w:themeColor="text1" w:themeTint="F2"/>
                <w:szCs w:val="24"/>
              </w:rPr>
              <w:t>oundwater</w:t>
            </w:r>
            <w:r w:rsidR="000F6B97" w:rsidRPr="00EB0C5F">
              <w:rPr>
                <w:rFonts w:ascii="Arial" w:hAnsi="Arial" w:cs="Arial"/>
                <w:color w:val="0D0D0D" w:themeColor="text1" w:themeTint="F2"/>
                <w:szCs w:val="24"/>
              </w:rPr>
              <w:t xml:space="preserve"> </w:t>
            </w:r>
            <w:r w:rsidR="000F6B97" w:rsidRPr="00EB0C5F">
              <w:rPr>
                <w:rFonts w:ascii="Arial" w:hAnsi="Arial"/>
                <w:color w:val="0D0D0D" w:themeColor="text1" w:themeTint="F2"/>
              </w:rPr>
              <w:t>Ffynnon Asaph spring Source Protection Zone</w:t>
            </w:r>
            <w:r w:rsidRPr="00EB0C5F">
              <w:rPr>
                <w:rFonts w:ascii="Arial" w:hAnsi="Arial" w:cs="Arial"/>
                <w:color w:val="0D0D0D" w:themeColor="text1" w:themeTint="F2"/>
                <w:szCs w:val="24"/>
              </w:rPr>
              <w:t xml:space="preserve"> (SPZ). These limits have been assessed within the operator supplied </w:t>
            </w:r>
            <w:r w:rsidR="00046C4F" w:rsidRPr="00EB0C5F">
              <w:rPr>
                <w:rFonts w:ascii="Arial" w:hAnsi="Arial" w:cs="Arial"/>
                <w:color w:val="0D0D0D" w:themeColor="text1" w:themeTint="F2"/>
                <w:szCs w:val="24"/>
              </w:rPr>
              <w:t>Groundwater</w:t>
            </w:r>
            <w:r w:rsidRPr="00EB0C5F">
              <w:rPr>
                <w:rFonts w:ascii="Arial" w:hAnsi="Arial" w:cs="Arial"/>
                <w:color w:val="0D0D0D" w:themeColor="text1" w:themeTint="F2"/>
                <w:szCs w:val="24"/>
              </w:rPr>
              <w:t xml:space="preserve"> Risk </w:t>
            </w:r>
            <w:r w:rsidR="00EA77C3" w:rsidRPr="00EB0C5F">
              <w:rPr>
                <w:rFonts w:ascii="Arial" w:hAnsi="Arial" w:cs="Arial"/>
                <w:color w:val="0D0D0D" w:themeColor="text1" w:themeTint="F2"/>
                <w:szCs w:val="24"/>
              </w:rPr>
              <w:t>A</w:t>
            </w:r>
            <w:r w:rsidRPr="00EB0C5F">
              <w:rPr>
                <w:rFonts w:ascii="Arial" w:hAnsi="Arial" w:cs="Arial"/>
                <w:color w:val="0D0D0D" w:themeColor="text1" w:themeTint="F2"/>
                <w:szCs w:val="24"/>
              </w:rPr>
              <w:t xml:space="preserve">ssessment and assessed by NRW internal Geoscience team and are </w:t>
            </w:r>
            <w:r w:rsidR="00046C4F" w:rsidRPr="00EB0C5F">
              <w:rPr>
                <w:rFonts w:ascii="Arial" w:hAnsi="Arial" w:cs="Arial"/>
                <w:color w:val="0D0D0D" w:themeColor="text1" w:themeTint="F2"/>
                <w:szCs w:val="24"/>
              </w:rPr>
              <w:t>considered</w:t>
            </w:r>
            <w:r w:rsidRPr="00EB0C5F">
              <w:rPr>
                <w:rFonts w:ascii="Arial" w:hAnsi="Arial" w:cs="Arial"/>
                <w:color w:val="0D0D0D" w:themeColor="text1" w:themeTint="F2"/>
                <w:szCs w:val="24"/>
              </w:rPr>
              <w:t xml:space="preserve"> to be </w:t>
            </w:r>
            <w:r w:rsidR="00046C4F" w:rsidRPr="00EB0C5F">
              <w:rPr>
                <w:rFonts w:ascii="Arial" w:hAnsi="Arial" w:cs="Arial"/>
                <w:color w:val="0D0D0D" w:themeColor="text1" w:themeTint="F2"/>
                <w:szCs w:val="24"/>
              </w:rPr>
              <w:t>sufficient</w:t>
            </w:r>
            <w:r w:rsidRPr="00EB0C5F">
              <w:rPr>
                <w:rFonts w:ascii="Arial" w:hAnsi="Arial" w:cs="Arial"/>
                <w:color w:val="0D0D0D" w:themeColor="text1" w:themeTint="F2"/>
                <w:szCs w:val="24"/>
              </w:rPr>
              <w:t xml:space="preserve"> to </w:t>
            </w:r>
            <w:r w:rsidR="00046C4F" w:rsidRPr="00EB0C5F">
              <w:rPr>
                <w:rFonts w:ascii="Arial" w:hAnsi="Arial" w:cs="Arial"/>
                <w:color w:val="0D0D0D" w:themeColor="text1" w:themeTint="F2"/>
                <w:szCs w:val="24"/>
              </w:rPr>
              <w:t>safeguard</w:t>
            </w:r>
            <w:r w:rsidRPr="00EB0C5F">
              <w:rPr>
                <w:rFonts w:ascii="Arial" w:hAnsi="Arial" w:cs="Arial"/>
                <w:color w:val="0D0D0D" w:themeColor="text1" w:themeTint="F2"/>
                <w:szCs w:val="24"/>
              </w:rPr>
              <w:t xml:space="preserve"> the SPZ.</w:t>
            </w:r>
          </w:p>
          <w:p w14:paraId="1DD7394F" w14:textId="77777777" w:rsidR="00A20E94" w:rsidRPr="00EB0C5F" w:rsidRDefault="00A20E94" w:rsidP="00C07952">
            <w:pPr>
              <w:rPr>
                <w:rFonts w:ascii="Arial" w:hAnsi="Arial" w:cs="Arial"/>
                <w:color w:val="0D0D0D" w:themeColor="text1" w:themeTint="F2"/>
                <w:szCs w:val="24"/>
              </w:rPr>
            </w:pPr>
          </w:p>
          <w:p w14:paraId="0FF1532E" w14:textId="4E8D72EC" w:rsidR="007820C3" w:rsidRPr="00EB0C5F" w:rsidRDefault="00A20E94" w:rsidP="00C07952">
            <w:pPr>
              <w:rPr>
                <w:rFonts w:ascii="Arial" w:hAnsi="Arial" w:cs="Arial"/>
                <w:color w:val="0D0D0D" w:themeColor="text1" w:themeTint="F2"/>
                <w:szCs w:val="24"/>
              </w:rPr>
            </w:pPr>
            <w:r w:rsidRPr="00EB0C5F">
              <w:rPr>
                <w:rFonts w:ascii="Arial" w:hAnsi="Arial" w:cs="Arial"/>
                <w:color w:val="0D0D0D" w:themeColor="text1" w:themeTint="F2"/>
                <w:szCs w:val="24"/>
              </w:rPr>
              <w:t>Ammoniacal nitrogen (as N)</w:t>
            </w:r>
            <w:r w:rsidRPr="00EB0C5F">
              <w:rPr>
                <w:rFonts w:ascii="Arial" w:hAnsi="Arial" w:cs="Arial"/>
                <w:color w:val="0D0D0D" w:themeColor="text1" w:themeTint="F2"/>
                <w:szCs w:val="24"/>
              </w:rPr>
              <w:tab/>
              <w:t xml:space="preserve"> 6 mg/l</w:t>
            </w:r>
            <w:r w:rsidRPr="00EB0C5F" w:rsidDel="00A20E94">
              <w:rPr>
                <w:rFonts w:ascii="Arial" w:hAnsi="Arial" w:cs="Arial"/>
                <w:color w:val="0D0D0D" w:themeColor="text1" w:themeTint="F2"/>
                <w:szCs w:val="24"/>
              </w:rPr>
              <w:t xml:space="preserve"> </w:t>
            </w:r>
          </w:p>
          <w:p w14:paraId="386A70ED" w14:textId="77777777" w:rsidR="00A20E94" w:rsidRPr="00EB0C5F" w:rsidRDefault="00A20E94" w:rsidP="00C07952">
            <w:pPr>
              <w:rPr>
                <w:rFonts w:ascii="Arial" w:hAnsi="Arial" w:cs="Arial"/>
                <w:color w:val="0D0D0D" w:themeColor="text1" w:themeTint="F2"/>
                <w:szCs w:val="24"/>
              </w:rPr>
            </w:pPr>
          </w:p>
          <w:p w14:paraId="017BE79F" w14:textId="658A7698" w:rsidR="00A20E94" w:rsidRPr="00EB0C5F" w:rsidRDefault="00A20E94" w:rsidP="00C07952">
            <w:pPr>
              <w:rPr>
                <w:rFonts w:ascii="Arial" w:hAnsi="Arial" w:cs="Arial"/>
                <w:color w:val="0D0D0D" w:themeColor="text1" w:themeTint="F2"/>
                <w:szCs w:val="24"/>
              </w:rPr>
            </w:pPr>
            <w:r w:rsidRPr="00EB0C5F">
              <w:rPr>
                <w:rFonts w:ascii="Arial" w:hAnsi="Arial" w:cs="Arial"/>
                <w:color w:val="0D0D0D" w:themeColor="text1" w:themeTint="F2"/>
                <w:szCs w:val="24"/>
              </w:rPr>
              <w:t xml:space="preserve">ATU-BOD as O2 </w:t>
            </w:r>
            <w:r w:rsidRPr="00EB0C5F">
              <w:rPr>
                <w:rFonts w:ascii="Arial" w:hAnsi="Arial" w:cs="Arial"/>
                <w:color w:val="0D0D0D" w:themeColor="text1" w:themeTint="F2"/>
                <w:szCs w:val="24"/>
              </w:rPr>
              <w:tab/>
            </w:r>
            <w:r w:rsidR="00FC0139">
              <w:rPr>
                <w:rFonts w:ascii="Arial" w:hAnsi="Arial" w:cs="Arial"/>
                <w:color w:val="0D0D0D" w:themeColor="text1" w:themeTint="F2"/>
                <w:szCs w:val="24"/>
              </w:rPr>
              <w:t xml:space="preserve">                      </w:t>
            </w:r>
            <w:r w:rsidRPr="00EB0C5F">
              <w:rPr>
                <w:rFonts w:ascii="Arial" w:hAnsi="Arial" w:cs="Arial"/>
                <w:color w:val="0D0D0D" w:themeColor="text1" w:themeTint="F2"/>
                <w:szCs w:val="24"/>
              </w:rPr>
              <w:t>11 mg/l</w:t>
            </w:r>
          </w:p>
          <w:p w14:paraId="0FF1532F" w14:textId="77777777" w:rsidR="00FB30B4" w:rsidRPr="00EB0C5F" w:rsidRDefault="00FB30B4" w:rsidP="00C07952">
            <w:pPr>
              <w:rPr>
                <w:rFonts w:ascii="Arial" w:hAnsi="Arial" w:cs="Arial"/>
                <w:color w:val="0D0D0D" w:themeColor="text1" w:themeTint="F2"/>
                <w:szCs w:val="24"/>
              </w:rPr>
            </w:pPr>
          </w:p>
        </w:tc>
        <w:tc>
          <w:tcPr>
            <w:tcW w:w="1072" w:type="dxa"/>
          </w:tcPr>
          <w:p w14:paraId="0FF15330" w14:textId="77777777" w:rsidR="007820C3" w:rsidRPr="00EB0C5F" w:rsidRDefault="007820C3" w:rsidP="00792CEE">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0FF15349" w14:textId="77777777" w:rsidTr="396B50C7">
        <w:tc>
          <w:tcPr>
            <w:tcW w:w="9302" w:type="dxa"/>
            <w:gridSpan w:val="4"/>
            <w:shd w:val="clear" w:color="auto" w:fill="0070C0"/>
          </w:tcPr>
          <w:p w14:paraId="0FF15348" w14:textId="77777777" w:rsidR="00792CEE" w:rsidRPr="00EB0C5F" w:rsidRDefault="00792CEE" w:rsidP="00792CEE">
            <w:pPr>
              <w:rPr>
                <w:rFonts w:ascii="Arial" w:hAnsi="Arial" w:cs="Arial"/>
                <w:b/>
                <w:color w:val="0D0D0D" w:themeColor="text1" w:themeTint="F2"/>
                <w:szCs w:val="24"/>
              </w:rPr>
            </w:pPr>
            <w:r w:rsidRPr="00EB0C5F">
              <w:rPr>
                <w:rFonts w:ascii="Arial" w:hAnsi="Arial" w:cs="Arial"/>
                <w:b/>
                <w:color w:val="0D0D0D" w:themeColor="text1" w:themeTint="F2"/>
                <w:szCs w:val="24"/>
              </w:rPr>
              <w:t>Operator Competence</w:t>
            </w:r>
          </w:p>
        </w:tc>
      </w:tr>
      <w:tr w:rsidR="000F6B97" w:rsidRPr="000F6B97" w14:paraId="0FF1534E" w14:textId="77777777" w:rsidTr="396B50C7">
        <w:trPr>
          <w:gridAfter w:val="1"/>
          <w:wAfter w:w="13" w:type="dxa"/>
        </w:trPr>
        <w:tc>
          <w:tcPr>
            <w:tcW w:w="1951" w:type="dxa"/>
          </w:tcPr>
          <w:p w14:paraId="0FF1534A" w14:textId="77777777" w:rsidR="007820C3" w:rsidRPr="00EB0C5F" w:rsidRDefault="007820C3" w:rsidP="00D26B49">
            <w:pPr>
              <w:rPr>
                <w:rFonts w:ascii="Arial" w:hAnsi="Arial" w:cs="Arial"/>
                <w:color w:val="0D0D0D" w:themeColor="text1" w:themeTint="F2"/>
                <w:szCs w:val="24"/>
              </w:rPr>
            </w:pPr>
            <w:r w:rsidRPr="00EB0C5F">
              <w:rPr>
                <w:rFonts w:ascii="Arial" w:hAnsi="Arial" w:cs="Arial"/>
                <w:color w:val="0D0D0D" w:themeColor="text1" w:themeTint="F2"/>
                <w:szCs w:val="24"/>
              </w:rPr>
              <w:t xml:space="preserve">Environment Management System </w:t>
            </w:r>
          </w:p>
        </w:tc>
        <w:tc>
          <w:tcPr>
            <w:tcW w:w="6266" w:type="dxa"/>
          </w:tcPr>
          <w:p w14:paraId="0FF1534B" w14:textId="77777777" w:rsidR="007820C3" w:rsidRPr="00EB0C5F" w:rsidRDefault="007820C3" w:rsidP="00D26B49">
            <w:pPr>
              <w:rPr>
                <w:rFonts w:ascii="Arial" w:hAnsi="Arial" w:cs="Arial"/>
                <w:color w:val="0D0D0D" w:themeColor="text1" w:themeTint="F2"/>
                <w:szCs w:val="24"/>
              </w:rPr>
            </w:pPr>
            <w:r w:rsidRPr="00EB0C5F">
              <w:rPr>
                <w:rFonts w:ascii="Arial" w:hAnsi="Arial" w:cs="Arial"/>
                <w:color w:val="0D0D0D" w:themeColor="text1" w:themeTint="F2"/>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EB0C5F" w:rsidRDefault="00FB30B4" w:rsidP="00D26B49">
            <w:pPr>
              <w:rPr>
                <w:rFonts w:ascii="Arial" w:hAnsi="Arial" w:cs="Arial"/>
                <w:color w:val="0D0D0D" w:themeColor="text1" w:themeTint="F2"/>
                <w:szCs w:val="24"/>
              </w:rPr>
            </w:pPr>
          </w:p>
        </w:tc>
        <w:tc>
          <w:tcPr>
            <w:tcW w:w="1072" w:type="dxa"/>
          </w:tcPr>
          <w:p w14:paraId="0FF1534D" w14:textId="77777777" w:rsidR="007820C3" w:rsidRPr="00EB0C5F" w:rsidRDefault="007820C3" w:rsidP="00D26B49">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4503D091" w14:textId="77777777" w:rsidTr="396B50C7">
        <w:trPr>
          <w:gridAfter w:val="1"/>
          <w:wAfter w:w="13" w:type="dxa"/>
        </w:trPr>
        <w:tc>
          <w:tcPr>
            <w:tcW w:w="9289" w:type="dxa"/>
            <w:gridSpan w:val="3"/>
            <w:shd w:val="clear" w:color="auto" w:fill="0070C0"/>
          </w:tcPr>
          <w:p w14:paraId="7FAA5820" w14:textId="3A4868B5" w:rsidR="00E96702" w:rsidRPr="00EB0C5F" w:rsidRDefault="00E96702" w:rsidP="00E96702">
            <w:pPr>
              <w:rPr>
                <w:rFonts w:ascii="Arial" w:hAnsi="Arial" w:cs="Arial"/>
                <w:b/>
                <w:color w:val="0D0D0D" w:themeColor="text1" w:themeTint="F2"/>
                <w:szCs w:val="24"/>
              </w:rPr>
            </w:pPr>
            <w:r w:rsidRPr="00EB0C5F">
              <w:rPr>
                <w:rFonts w:ascii="Arial" w:hAnsi="Arial" w:cs="Arial"/>
                <w:b/>
                <w:color w:val="0D0D0D" w:themeColor="text1" w:themeTint="F2"/>
                <w:szCs w:val="24"/>
              </w:rPr>
              <w:t>Sustainable Management of Natural Resources (SMNR)</w:t>
            </w:r>
          </w:p>
        </w:tc>
      </w:tr>
      <w:tr w:rsidR="000F6B97" w:rsidRPr="000F6B97" w14:paraId="033C62BB" w14:textId="77777777" w:rsidTr="396B50C7">
        <w:trPr>
          <w:gridAfter w:val="1"/>
          <w:wAfter w:w="13" w:type="dxa"/>
        </w:trPr>
        <w:tc>
          <w:tcPr>
            <w:tcW w:w="1951" w:type="dxa"/>
          </w:tcPr>
          <w:p w14:paraId="35C25BFE" w14:textId="0AB7DEB0" w:rsidR="00E96702" w:rsidRPr="00EB0C5F" w:rsidRDefault="00E96702" w:rsidP="00D26B49">
            <w:pPr>
              <w:rPr>
                <w:rFonts w:ascii="Arial" w:hAnsi="Arial" w:cs="Arial"/>
                <w:color w:val="0D0D0D" w:themeColor="text1" w:themeTint="F2"/>
                <w:szCs w:val="24"/>
              </w:rPr>
            </w:pPr>
            <w:r w:rsidRPr="00EB0C5F">
              <w:rPr>
                <w:rFonts w:ascii="Arial" w:hAnsi="Arial" w:cs="Arial"/>
                <w:color w:val="0D0D0D" w:themeColor="text1" w:themeTint="F2"/>
                <w:szCs w:val="24"/>
              </w:rPr>
              <w:t xml:space="preserve">Considerations of SMNR - Compliance with </w:t>
            </w:r>
            <w:r w:rsidR="00343BA5" w:rsidRPr="00EB0C5F">
              <w:rPr>
                <w:rFonts w:ascii="Arial" w:hAnsi="Arial" w:cs="Arial"/>
                <w:color w:val="0D0D0D" w:themeColor="text1" w:themeTint="F2"/>
                <w:szCs w:val="24"/>
              </w:rPr>
              <w:t>our</w:t>
            </w:r>
            <w:r w:rsidRPr="00EB0C5F">
              <w:rPr>
                <w:rFonts w:ascii="Arial" w:hAnsi="Arial" w:cs="Arial"/>
                <w:color w:val="0D0D0D" w:themeColor="text1" w:themeTint="F2"/>
                <w:szCs w:val="24"/>
              </w:rPr>
              <w:t xml:space="preserve"> General Purpose</w:t>
            </w:r>
          </w:p>
        </w:tc>
        <w:tc>
          <w:tcPr>
            <w:tcW w:w="6266" w:type="dxa"/>
          </w:tcPr>
          <w:p w14:paraId="2B524C70" w14:textId="237EA9AB" w:rsidR="00EA77C3" w:rsidRPr="00EB0C5F" w:rsidRDefault="00343BA5" w:rsidP="00E96702">
            <w:pPr>
              <w:pStyle w:val="NormalWeb"/>
              <w:rPr>
                <w:rFonts w:ascii="Arial" w:eastAsia="Times New Roman" w:hAnsi="Arial" w:cs="Arial"/>
                <w:color w:val="0D0D0D" w:themeColor="text1" w:themeTint="F2"/>
              </w:rPr>
            </w:pPr>
            <w:r w:rsidRPr="00EB0C5F">
              <w:rPr>
                <w:rFonts w:ascii="Arial" w:hAnsi="Arial" w:cs="Arial"/>
                <w:color w:val="0D0D0D" w:themeColor="text1" w:themeTint="F2"/>
              </w:rPr>
              <w:t>We are</w:t>
            </w:r>
            <w:r w:rsidR="00E96702" w:rsidRPr="00EB0C5F">
              <w:rPr>
                <w:rFonts w:ascii="Arial" w:hAnsi="Arial" w:cs="Arial"/>
                <w:color w:val="0D0D0D" w:themeColor="text1" w:themeTint="F2"/>
              </w:rPr>
              <w:t xml:space="preserve"> satisfied that this decision is compatible with </w:t>
            </w:r>
            <w:r w:rsidRPr="00EB0C5F">
              <w:rPr>
                <w:rFonts w:ascii="Arial" w:hAnsi="Arial" w:cs="Arial"/>
                <w:color w:val="0D0D0D" w:themeColor="text1" w:themeTint="F2"/>
              </w:rPr>
              <w:t>our</w:t>
            </w:r>
            <w:r w:rsidR="00E96702" w:rsidRPr="00EB0C5F">
              <w:rPr>
                <w:rFonts w:ascii="Arial" w:hAnsi="Arial" w:cs="Arial"/>
                <w:color w:val="0D0D0D" w:themeColor="text1" w:themeTint="F2"/>
              </w:rPr>
              <w:t xml:space="preserve"> general purpose of pursuing the sustainable management of natural resources in relation to Wales and applying the principles of sustainable management of natural resources”</w:t>
            </w:r>
          </w:p>
          <w:p w14:paraId="38218B70" w14:textId="77777777" w:rsidR="00EA77C3" w:rsidRPr="00EB0C5F" w:rsidRDefault="00EA77C3" w:rsidP="00E96702">
            <w:pPr>
              <w:pStyle w:val="NormalWeb"/>
              <w:rPr>
                <w:rFonts w:ascii="Arial" w:eastAsia="Times New Roman" w:hAnsi="Arial" w:cs="Arial"/>
                <w:color w:val="0D0D0D" w:themeColor="text1" w:themeTint="F2"/>
              </w:rPr>
            </w:pPr>
          </w:p>
          <w:p w14:paraId="7C4FE69A" w14:textId="77777777" w:rsidR="00E96702" w:rsidRPr="00EB0C5F" w:rsidRDefault="00E96702" w:rsidP="00EB0C5F">
            <w:pPr>
              <w:pStyle w:val="NormalWeb"/>
              <w:rPr>
                <w:rFonts w:ascii="Arial" w:hAnsi="Arial" w:cs="Arial"/>
                <w:color w:val="0D0D0D" w:themeColor="text1" w:themeTint="F2"/>
              </w:rPr>
            </w:pPr>
          </w:p>
        </w:tc>
        <w:tc>
          <w:tcPr>
            <w:tcW w:w="1072" w:type="dxa"/>
          </w:tcPr>
          <w:p w14:paraId="204E9F27" w14:textId="4D8C7B08" w:rsidR="00E96702" w:rsidRPr="00EB0C5F" w:rsidRDefault="00E96702" w:rsidP="00D26B49">
            <w:pPr>
              <w:rPr>
                <w:rFonts w:ascii="Arial" w:hAnsi="Arial" w:cs="Arial"/>
                <w:color w:val="0D0D0D" w:themeColor="text1" w:themeTint="F2"/>
                <w:szCs w:val="24"/>
              </w:rPr>
            </w:pPr>
            <w:r w:rsidRPr="00EB0C5F">
              <w:rPr>
                <w:rFonts w:ascii="Wingdings" w:eastAsia="Wingdings" w:hAnsi="Wingdings" w:cs="Wingdings"/>
                <w:color w:val="0D0D0D" w:themeColor="text1" w:themeTint="F2"/>
                <w:szCs w:val="24"/>
              </w:rPr>
              <w:t>ü</w:t>
            </w:r>
          </w:p>
        </w:tc>
      </w:tr>
      <w:tr w:rsidR="000F6B97" w:rsidRPr="000F6B97" w14:paraId="6777B165" w14:textId="77777777" w:rsidTr="396B50C7">
        <w:trPr>
          <w:gridAfter w:val="1"/>
          <w:wAfter w:w="13" w:type="dxa"/>
        </w:trPr>
        <w:tc>
          <w:tcPr>
            <w:tcW w:w="9289" w:type="dxa"/>
            <w:gridSpan w:val="3"/>
            <w:shd w:val="clear" w:color="auto" w:fill="0070C0"/>
          </w:tcPr>
          <w:p w14:paraId="250BE046" w14:textId="00556724" w:rsidR="0A08D9AA" w:rsidRPr="00EB0C5F" w:rsidRDefault="0A08D9AA" w:rsidP="396B50C7">
            <w:pPr>
              <w:rPr>
                <w:rFonts w:ascii="Arial" w:eastAsia="Arial" w:hAnsi="Arial" w:cs="Arial"/>
                <w:color w:val="0D0D0D" w:themeColor="text1" w:themeTint="F2"/>
                <w:szCs w:val="24"/>
              </w:rPr>
            </w:pPr>
            <w:r w:rsidRPr="00EB0C5F">
              <w:rPr>
                <w:rFonts w:ascii="Arial" w:eastAsia="Arial" w:hAnsi="Arial" w:cs="Arial"/>
                <w:b/>
                <w:bCs/>
                <w:color w:val="0D0D0D" w:themeColor="text1" w:themeTint="F2"/>
                <w:szCs w:val="24"/>
              </w:rPr>
              <w:t>Environment Wales Act 2016</w:t>
            </w:r>
          </w:p>
        </w:tc>
      </w:tr>
      <w:tr w:rsidR="000F6B97" w:rsidRPr="000F6B97" w14:paraId="6994923E" w14:textId="77777777" w:rsidTr="396B50C7">
        <w:trPr>
          <w:gridAfter w:val="1"/>
          <w:wAfter w:w="13" w:type="dxa"/>
        </w:trPr>
        <w:tc>
          <w:tcPr>
            <w:tcW w:w="1951" w:type="dxa"/>
          </w:tcPr>
          <w:p w14:paraId="55441AD6" w14:textId="4172B2C6" w:rsidR="0A08D9AA" w:rsidRPr="00EB0C5F" w:rsidRDefault="0A08D9AA" w:rsidP="396B50C7">
            <w:pPr>
              <w:rPr>
                <w:rFonts w:ascii="Arial" w:eastAsia="Arial" w:hAnsi="Arial" w:cs="Arial"/>
                <w:color w:val="0D0D0D" w:themeColor="text1" w:themeTint="F2"/>
                <w:szCs w:val="24"/>
              </w:rPr>
            </w:pPr>
            <w:r w:rsidRPr="00EB0C5F">
              <w:rPr>
                <w:rFonts w:ascii="Arial" w:eastAsia="Arial" w:hAnsi="Arial" w:cs="Arial"/>
                <w:color w:val="0D0D0D" w:themeColor="text1" w:themeTint="F2"/>
                <w:szCs w:val="24"/>
              </w:rPr>
              <w:t xml:space="preserve">Biodiversity and resilience of </w:t>
            </w:r>
            <w:r w:rsidRPr="00EB0C5F">
              <w:rPr>
                <w:rFonts w:ascii="Arial" w:eastAsia="Arial" w:hAnsi="Arial" w:cs="Arial"/>
                <w:color w:val="0D0D0D" w:themeColor="text1" w:themeTint="F2"/>
                <w:szCs w:val="24"/>
              </w:rPr>
              <w:lastRenderedPageBreak/>
              <w:t>ecosystems duty</w:t>
            </w:r>
          </w:p>
        </w:tc>
        <w:tc>
          <w:tcPr>
            <w:tcW w:w="6266" w:type="dxa"/>
          </w:tcPr>
          <w:p w14:paraId="0E33EB74" w14:textId="684DB7FD" w:rsidR="0A08D9AA" w:rsidRPr="00EB0C5F" w:rsidRDefault="0A08D9AA" w:rsidP="396B50C7">
            <w:pPr>
              <w:pStyle w:val="NormalWeb"/>
              <w:rPr>
                <w:rFonts w:eastAsia="Calibri"/>
                <w:color w:val="0D0D0D" w:themeColor="text1" w:themeTint="F2"/>
              </w:rPr>
            </w:pPr>
            <w:r w:rsidRPr="00EB0C5F">
              <w:rPr>
                <w:rFonts w:ascii="Arial" w:eastAsia="Arial" w:hAnsi="Arial" w:cs="Arial"/>
                <w:color w:val="0D0D0D" w:themeColor="text1" w:themeTint="F2"/>
              </w:rPr>
              <w:lastRenderedPageBreak/>
              <w:t xml:space="preserve">Section 6 of the Environment Wales Act 2016 requires that we seek to maintain and enhance biodiversity in the </w:t>
            </w:r>
            <w:r w:rsidRPr="00EB0C5F">
              <w:rPr>
                <w:rFonts w:ascii="Arial" w:eastAsia="Arial" w:hAnsi="Arial" w:cs="Arial"/>
                <w:color w:val="0D0D0D" w:themeColor="text1" w:themeTint="F2"/>
              </w:rPr>
              <w:lastRenderedPageBreak/>
              <w:t>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groundwater discharge activity permit under EPR2016.</w:t>
            </w:r>
          </w:p>
        </w:tc>
        <w:tc>
          <w:tcPr>
            <w:tcW w:w="1072" w:type="dxa"/>
          </w:tcPr>
          <w:p w14:paraId="2A7A659A" w14:textId="2D58CE48" w:rsidR="0A08D9AA" w:rsidRPr="00EB0C5F" w:rsidRDefault="0A08D9AA" w:rsidP="396B50C7">
            <w:pPr>
              <w:rPr>
                <w:rFonts w:ascii="Arial" w:hAnsi="Arial" w:cs="Arial"/>
                <w:color w:val="0D0D0D" w:themeColor="text1" w:themeTint="F2"/>
              </w:rPr>
            </w:pPr>
            <w:r w:rsidRPr="00EB0C5F">
              <w:rPr>
                <w:rFonts w:ascii="Wingdings" w:eastAsia="Wingdings" w:hAnsi="Wingdings" w:cs="Wingdings"/>
                <w:color w:val="0D0D0D" w:themeColor="text1" w:themeTint="F2"/>
              </w:rPr>
              <w:lastRenderedPageBreak/>
              <w:t>ü</w:t>
            </w:r>
          </w:p>
        </w:tc>
      </w:tr>
    </w:tbl>
    <w:p w14:paraId="0FF1534F" w14:textId="2E2DC4CD" w:rsidR="00FB30B4" w:rsidRPr="00EB0C5F" w:rsidRDefault="006765AE" w:rsidP="00FB30B4">
      <w:pPr>
        <w:pStyle w:val="Heading1"/>
        <w:jc w:val="left"/>
        <w:rPr>
          <w:color w:val="0D0D0D" w:themeColor="text1" w:themeTint="F2"/>
          <w:sz w:val="24"/>
        </w:rPr>
      </w:pPr>
      <w:r w:rsidRPr="00EB0C5F">
        <w:rPr>
          <w:color w:val="0D0D0D" w:themeColor="text1" w:themeTint="F2"/>
        </w:rPr>
        <w:br w:type="page"/>
      </w:r>
      <w:r w:rsidR="00FB30B4" w:rsidRPr="00EB0C5F">
        <w:rPr>
          <w:color w:val="0D0D0D" w:themeColor="text1" w:themeTint="F2"/>
          <w:sz w:val="24"/>
        </w:rPr>
        <w:lastRenderedPageBreak/>
        <w:t>Annex 2: Consultation</w:t>
      </w:r>
    </w:p>
    <w:p w14:paraId="0FF15350" w14:textId="77777777" w:rsidR="00FB30B4" w:rsidRPr="00EB0C5F" w:rsidRDefault="00FB30B4" w:rsidP="00FB30B4">
      <w:pPr>
        <w:pStyle w:val="Footer"/>
        <w:tabs>
          <w:tab w:val="clear" w:pos="4153"/>
          <w:tab w:val="clear" w:pos="8306"/>
        </w:tabs>
        <w:rPr>
          <w:rFonts w:ascii="Arial" w:hAnsi="Arial"/>
          <w:color w:val="0D0D0D" w:themeColor="text1" w:themeTint="F2"/>
        </w:rPr>
      </w:pPr>
    </w:p>
    <w:p w14:paraId="0FF15351" w14:textId="5064CD23" w:rsidR="00FB30B4" w:rsidRPr="00EB0C5F" w:rsidRDefault="00FB30B4" w:rsidP="00FB30B4">
      <w:pPr>
        <w:rPr>
          <w:rFonts w:ascii="Arial" w:hAnsi="Arial"/>
          <w:color w:val="0D0D0D" w:themeColor="text1" w:themeTint="F2"/>
        </w:rPr>
      </w:pPr>
      <w:r w:rsidRPr="00EB0C5F">
        <w:rPr>
          <w:rFonts w:ascii="Arial" w:hAnsi="Arial"/>
          <w:color w:val="0D0D0D" w:themeColor="text1" w:themeTint="F2"/>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79AC778" w:rsidR="00FB30B4" w:rsidRPr="00EB0C5F" w:rsidRDefault="000F6B97" w:rsidP="00FB30B4">
            <w:pPr>
              <w:jc w:val="both"/>
              <w:rPr>
                <w:rFonts w:ascii="Arial" w:hAnsi="Arial" w:cs="Arial"/>
                <w:bCs/>
                <w:color w:val="FFFFFF" w:themeColor="background1"/>
              </w:rPr>
            </w:pPr>
            <w:r w:rsidRPr="00EB0C5F">
              <w:rPr>
                <w:rFonts w:ascii="Arial" w:hAnsi="Arial" w:cs="Arial"/>
                <w:bCs/>
                <w:color w:val="0D0D0D" w:themeColor="text1" w:themeTint="F2"/>
              </w:rPr>
              <w:t>DCWW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41CE3799" w14:textId="77777777" w:rsidR="00FB30B4" w:rsidRPr="00EB0C5F" w:rsidRDefault="00FC0139" w:rsidP="00FC0139">
            <w:pPr>
              <w:pStyle w:val="ListParagraph"/>
              <w:numPr>
                <w:ilvl w:val="0"/>
                <w:numId w:val="20"/>
              </w:numPr>
              <w:jc w:val="both"/>
              <w:rPr>
                <w:rFonts w:ascii="Arial" w:hAnsi="Arial" w:cs="Arial"/>
              </w:rPr>
            </w:pPr>
            <w:r w:rsidRPr="00EB0C5F">
              <w:rPr>
                <w:rFonts w:ascii="Arial" w:hAnsi="Arial" w:cs="Arial"/>
              </w:rPr>
              <w:t>management plan will be followed during the lifetime of the installation.</w:t>
            </w:r>
          </w:p>
          <w:p w14:paraId="30403511" w14:textId="77777777" w:rsidR="00FC0139" w:rsidRPr="00EB0C5F" w:rsidRDefault="00FC0139" w:rsidP="00FC0139">
            <w:pPr>
              <w:pStyle w:val="ListParagraph"/>
              <w:numPr>
                <w:ilvl w:val="0"/>
                <w:numId w:val="20"/>
              </w:numPr>
              <w:jc w:val="both"/>
              <w:rPr>
                <w:rFonts w:ascii="Arial" w:hAnsi="Arial" w:cs="Arial"/>
              </w:rPr>
            </w:pPr>
            <w:r w:rsidRPr="00EB0C5F">
              <w:rPr>
                <w:rFonts w:ascii="Arial" w:hAnsi="Arial" w:cs="Arial"/>
              </w:rPr>
              <w:t>to ensure compliance with current regulations and best practice guidelines with respect to installation and maintenance of this sewage treatment facility</w:t>
            </w:r>
          </w:p>
          <w:p w14:paraId="0FF15359" w14:textId="4D5B6E89" w:rsidR="00FC0139" w:rsidRPr="00EB0C5F" w:rsidRDefault="00FC0139" w:rsidP="00EB0C5F">
            <w:pPr>
              <w:pStyle w:val="ListParagraph"/>
              <w:numPr>
                <w:ilvl w:val="0"/>
                <w:numId w:val="20"/>
              </w:numPr>
              <w:jc w:val="both"/>
              <w:rPr>
                <w:rFonts w:ascii="Arial" w:hAnsi="Arial" w:cs="Arial"/>
                <w:color w:val="FF0000"/>
              </w:rPr>
            </w:pPr>
            <w:r w:rsidRPr="00EB0C5F">
              <w:rPr>
                <w:rFonts w:ascii="Arial" w:hAnsi="Arial" w:cs="Arial"/>
              </w:rPr>
              <w:t>all particulars from the permit will be followed during the lifetime of the installation.</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EF21388" w:rsidR="00FB30B4" w:rsidRPr="004243F4" w:rsidRDefault="00FC0139" w:rsidP="00FB30B4">
            <w:pPr>
              <w:jc w:val="both"/>
              <w:rPr>
                <w:rFonts w:ascii="Arial" w:hAnsi="Arial" w:cs="Arial"/>
              </w:rPr>
            </w:pPr>
            <w:r>
              <w:rPr>
                <w:rFonts w:ascii="Arial" w:hAnsi="Arial" w:cs="Arial"/>
              </w:rPr>
              <w:t xml:space="preserve">Points raised will be covered via continued compliance and regulation of the issued permit.  </w:t>
            </w:r>
          </w:p>
        </w:tc>
      </w:tr>
    </w:tbl>
    <w:p w14:paraId="0FF15360" w14:textId="77777777" w:rsidR="00FB30B4" w:rsidRPr="004243F4" w:rsidRDefault="00FB30B4" w:rsidP="00FB30B4">
      <w:pPr>
        <w:jc w:val="both"/>
        <w:rPr>
          <w:rFonts w:ascii="Arial" w:hAnsi="Arial" w:cs="Arial"/>
        </w:rPr>
      </w:pPr>
    </w:p>
    <w:p w14:paraId="0FF15375" w14:textId="77777777" w:rsidR="00C44B7E" w:rsidRDefault="00C44B7E">
      <w:pPr>
        <w:rPr>
          <w:rFonts w:ascii="Arial" w:hAnsi="Arial"/>
          <w:b/>
          <w:sz w:val="28"/>
        </w:rPr>
      </w:pPr>
    </w:p>
    <w:sectPr w:rsidR="00C44B7E" w:rsidSect="003F4346">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8D9A2" w14:textId="77777777" w:rsidR="00046C4F" w:rsidRDefault="00046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DB39E" w14:textId="742EE8CC" w:rsidR="00046C4F" w:rsidRDefault="00046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F054C" w14:textId="46A5D0B9" w:rsidR="00046C4F" w:rsidRDefault="00046C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02365" w14:textId="009BCDB2" w:rsidR="00046C4F" w:rsidRDefault="00046C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AD3566"/>
    <w:multiLevelType w:val="hybridMultilevel"/>
    <w:tmpl w:val="2C56605E"/>
    <w:lvl w:ilvl="0" w:tplc="8A54293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36357628">
    <w:abstractNumId w:val="1"/>
  </w:num>
  <w:num w:numId="2" w16cid:durableId="231356698">
    <w:abstractNumId w:val="16"/>
  </w:num>
  <w:num w:numId="3" w16cid:durableId="802383788">
    <w:abstractNumId w:val="13"/>
  </w:num>
  <w:num w:numId="4" w16cid:durableId="349525936">
    <w:abstractNumId w:val="2"/>
  </w:num>
  <w:num w:numId="5" w16cid:durableId="1858231537">
    <w:abstractNumId w:val="4"/>
  </w:num>
  <w:num w:numId="6" w16cid:durableId="2094810619">
    <w:abstractNumId w:val="3"/>
  </w:num>
  <w:num w:numId="7" w16cid:durableId="1324813">
    <w:abstractNumId w:val="7"/>
  </w:num>
  <w:num w:numId="8" w16cid:durableId="658272613">
    <w:abstractNumId w:val="15"/>
  </w:num>
  <w:num w:numId="9" w16cid:durableId="1290282558">
    <w:abstractNumId w:val="19"/>
  </w:num>
  <w:num w:numId="10" w16cid:durableId="1879464020">
    <w:abstractNumId w:val="11"/>
  </w:num>
  <w:num w:numId="11" w16cid:durableId="1404719486">
    <w:abstractNumId w:val="14"/>
  </w:num>
  <w:num w:numId="12" w16cid:durableId="1177038515">
    <w:abstractNumId w:val="18"/>
  </w:num>
  <w:num w:numId="13" w16cid:durableId="138620241">
    <w:abstractNumId w:val="17"/>
  </w:num>
  <w:num w:numId="14" w16cid:durableId="819226721">
    <w:abstractNumId w:val="9"/>
  </w:num>
  <w:num w:numId="15" w16cid:durableId="948001945">
    <w:abstractNumId w:val="12"/>
  </w:num>
  <w:num w:numId="16" w16cid:durableId="1769352600">
    <w:abstractNumId w:val="5"/>
  </w:num>
  <w:num w:numId="17" w16cid:durableId="1675104905">
    <w:abstractNumId w:val="0"/>
  </w:num>
  <w:num w:numId="18" w16cid:durableId="623733403">
    <w:abstractNumId w:val="8"/>
  </w:num>
  <w:num w:numId="19" w16cid:durableId="489520258">
    <w:abstractNumId w:val="6"/>
  </w:num>
  <w:num w:numId="20" w16cid:durableId="1300724068">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6C4F"/>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0F6B97"/>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1DA3"/>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22A5"/>
    <w:rsid w:val="00945712"/>
    <w:rsid w:val="0096635C"/>
    <w:rsid w:val="009779C1"/>
    <w:rsid w:val="009802DC"/>
    <w:rsid w:val="009837ED"/>
    <w:rsid w:val="009864F9"/>
    <w:rsid w:val="00992AD4"/>
    <w:rsid w:val="00995381"/>
    <w:rsid w:val="00996808"/>
    <w:rsid w:val="009A052F"/>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0E9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A77C3"/>
    <w:rsid w:val="00EB010F"/>
    <w:rsid w:val="00EB0C5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13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Revision">
    <w:name w:val="Revision"/>
    <w:hidden/>
    <w:uiPriority w:val="99"/>
    <w:semiHidden/>
    <w:rsid w:val="009422A5"/>
    <w:rPr>
      <w:sz w:val="24"/>
    </w:rPr>
  </w:style>
  <w:style w:type="paragraph" w:styleId="ListParagraph">
    <w:name w:val="List Paragraph"/>
    <w:basedOn w:val="Normal"/>
    <w:uiPriority w:val="34"/>
    <w:qFormat/>
    <w:rsid w:val="00FC0139"/>
    <w:pPr>
      <w:ind w:left="720"/>
      <w:contextualSpacing/>
    </w:pPr>
  </w:style>
  <w:style w:type="character" w:styleId="Hyperlink">
    <w:name w:val="Hyperlink"/>
    <w:basedOn w:val="DefaultParagraphFont"/>
    <w:unhideWhenUsed/>
    <w:rsid w:val="00FC0139"/>
    <w:rPr>
      <w:color w:val="0000FF" w:themeColor="hyperlink"/>
      <w:u w:val="single"/>
    </w:rPr>
  </w:style>
  <w:style w:type="character" w:styleId="UnresolvedMention">
    <w:name w:val="Unresolved Mention"/>
    <w:basedOn w:val="DefaultParagraphFont"/>
    <w:uiPriority w:val="99"/>
    <w:semiHidden/>
    <w:unhideWhenUsed/>
    <w:rsid w:val="00FC01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3284">
      <w:bodyDiv w:val="1"/>
      <w:marLeft w:val="0"/>
      <w:marRight w:val="0"/>
      <w:marTop w:val="0"/>
      <w:marBottom w:val="0"/>
      <w:divBdr>
        <w:top w:val="none" w:sz="0" w:space="0" w:color="auto"/>
        <w:left w:val="none" w:sz="0" w:space="0" w:color="auto"/>
        <w:bottom w:val="none" w:sz="0" w:space="0" w:color="auto"/>
        <w:right w:val="none" w:sz="0" w:space="0" w:color="auto"/>
      </w:divBdr>
    </w:div>
    <w:div w:id="1164584568">
      <w:bodyDiv w:val="1"/>
      <w:marLeft w:val="0"/>
      <w:marRight w:val="0"/>
      <w:marTop w:val="0"/>
      <w:marBottom w:val="0"/>
      <w:divBdr>
        <w:top w:val="none" w:sz="0" w:space="0" w:color="auto"/>
        <w:left w:val="none" w:sz="0" w:space="0" w:color="auto"/>
        <w:bottom w:val="none" w:sz="0" w:space="0" w:color="auto"/>
        <w:right w:val="none" w:sz="0" w:space="0" w:color="auto"/>
      </w:divBdr>
    </w:div>
    <w:div w:id="13339203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PAN-020219/PAN-020219%20Risk_Screening_Report.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REGU-369-2756742</_dlc_DocId>
    <_dlc_DocIdUrl xmlns="9be56660-2c31-41ef-bc00-23e72f632f2a">
      <Url>https://cyfoethnaturiolcymru.sharepoint.com/teams/Regulatory/Permitting/_layouts/15/DocIdRedir.aspx?ID=REGU-369-2756742</Url>
      <Description>REGU-369-2756742</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Pen y Glol Caravan Park</Site_x0020_Name>
    <Internal_x002f_External xmlns="859f7ad6-93f6-4205-b62b-a17f28acbbac">Outgoing document</Internal_x002f_External>
    <Post_x0020_code xmlns="859f7ad6-93f6-4205-b62b-a17f28acbbac">CH8 8RG</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Pen y Glol Caravan Park, Lloc, Holywell, CH8 8RG</Addressee>
    <Process_x0020_Type xmlns="859f7ad6-93f6-4205-b62b-a17f28acbbac">Application</Process_x0020_Type>
    <Surrendered_x002f_Expired xmlns="859f7ad6-93f6-4205-b62b-a17f28acbbac" xsi:nil="true"/>
    <Document_x0020_Date xmlns="859f7ad6-93f6-4205-b62b-a17f28acbbac">2024-08-20T23:00:00+00:00</Document_x0020_Date>
    <Facility_x0020_Address xmlns="859f7ad6-93f6-4205-b62b-a17f28acbbac">Lloc, Holywell</Facility_x0020_Address>
    <Environment_x0020_Sub_x0020_Folder xmlns="859f7ad6-93f6-4205-b62b-a17f28acbbac">Licences applications</Environment_x0020_Sub_x0020_Folder>
    <Customer_x0020_Name xmlns="859f7ad6-93f6-4205-b62b-a17f28acbbac">Pen y Glol Ltd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6e121689-de5b-41b9-a751-bfeda7fa2b07"/>
    <ds:schemaRef ds:uri="http://schemas.microsoft.com/office/infopath/2007/PartnerControls"/>
    <ds:schemaRef ds:uri="9be56660-2c31-41ef-bc00-23e72f632f2a"/>
    <ds:schemaRef ds:uri="cd6faf52-b12f-444c-a3fc-1f0e7a71d996"/>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ABCD3AA2-5533-4AA7-967A-09FF492A9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1160</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7</cp:revision>
  <cp:lastPrinted>2008-01-30T13:54:00Z</cp:lastPrinted>
  <dcterms:created xsi:type="dcterms:W3CDTF">2024-07-17T15:44:00Z</dcterms:created>
  <dcterms:modified xsi:type="dcterms:W3CDTF">2024-09-20T10:45:00Z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9456614d-cc8c-4269-b211-99a034d43b19</vt:lpwstr>
  </property>
  <property fmtid="{D5CDD505-2E9C-101B-9397-08002B2CF9AE}" pid="11" name="SharedWithUsers">
    <vt:lpwstr/>
  </property>
  <property fmtid="{D5CDD505-2E9C-101B-9397-08002B2CF9AE}" pid="12" name="MediaServiceImageTags">
    <vt:lpwstr/>
  </property>
</Properties>
</file>