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AEA2" w14:textId="0B41B14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93E05" w:rsidRPr="00E93E05">
        <w:rPr>
          <w:rFonts w:ascii="Arial" w:hAnsi="Arial" w:cs="Arial"/>
          <w:b/>
          <w:bCs/>
          <w:u w:val="single"/>
          <w:shd w:val="clear" w:color="auto" w:fill="FFFFFF"/>
        </w:rPr>
        <w:t>EPR/AB3497ZT</w:t>
      </w:r>
      <w:r w:rsidR="00E93E0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6032CF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2E07E02" w14:textId="72D0A60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93E05" w:rsidRPr="00E93E05">
        <w:rPr>
          <w:rFonts w:ascii="Arial" w:hAnsi="Arial" w:cs="Arial"/>
          <w:sz w:val="20"/>
          <w:szCs w:val="20"/>
        </w:rPr>
        <w:t>PAN-021524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E93E05">
        <w:rPr>
          <w:rFonts w:ascii="Arial" w:hAnsi="Arial" w:cs="Arial"/>
          <w:sz w:val="20"/>
          <w:szCs w:val="20"/>
        </w:rPr>
        <w:t xml:space="preserve">r the </w:t>
      </w:r>
      <w:r w:rsidRPr="00E93E05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93E05" w:rsidRPr="00E93E05">
        <w:rPr>
          <w:rFonts w:ascii="Arial" w:hAnsi="Arial" w:cs="Arial"/>
          <w:sz w:val="20"/>
          <w:szCs w:val="20"/>
        </w:rPr>
        <w:t>EPR/AB3497ZT</w:t>
      </w:r>
      <w:r w:rsidR="00E93E0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93E05" w:rsidRPr="00E93E05">
        <w:rPr>
          <w:rFonts w:ascii="Arial" w:hAnsi="Arial" w:cs="Arial"/>
          <w:sz w:val="20"/>
          <w:szCs w:val="20"/>
        </w:rPr>
        <w:t>CG0013501</w:t>
      </w:r>
      <w:r w:rsidR="00E93E0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E93E05" w:rsidRPr="00E93E05">
        <w:rPr>
          <w:rFonts w:ascii="Arial" w:hAnsi="Arial" w:cs="Arial"/>
          <w:sz w:val="20"/>
          <w:szCs w:val="20"/>
        </w:rPr>
        <w:t>Llithfaen</w:t>
      </w:r>
      <w:proofErr w:type="spellEnd"/>
      <w:r w:rsidR="00E93E0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94EE5BF" w14:textId="0D23AB1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E93E05">
        <w:rPr>
          <w:rFonts w:ascii="Arial" w:hAnsi="Arial" w:cs="Arial"/>
          <w:sz w:val="20"/>
          <w:szCs w:val="20"/>
        </w:rPr>
        <w:t>,</w:t>
      </w:r>
      <w:r w:rsidR="004A4114" w:rsidRPr="00E93E05">
        <w:rPr>
          <w:rFonts w:ascii="Arial" w:hAnsi="Arial" w:cs="Arial"/>
          <w:sz w:val="20"/>
          <w:szCs w:val="20"/>
        </w:rPr>
        <w:t xml:space="preserve"> </w:t>
      </w:r>
      <w:r w:rsidR="00D05AEA" w:rsidRPr="00E93E05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E93E05" w:rsidRPr="00E93E05">
        <w:rPr>
          <w:rFonts w:ascii="Arial" w:hAnsi="Arial" w:cs="Arial"/>
          <w:sz w:val="20"/>
          <w:szCs w:val="20"/>
        </w:rPr>
        <w:t>EPR/AB3497ZT</w:t>
      </w:r>
      <w:r w:rsidR="00E93E0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2D0B41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B9AB3A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8EB9FF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2653980" w14:textId="2A9BAB9E" w:rsidR="00591EF2" w:rsidRPr="00591EF2" w:rsidRDefault="00E93E0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0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9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2A45A"/>
  <w15:chartTrackingRefBased/>
  <w15:docId w15:val="{203CDE32-4025-442E-84EC-3883AEF37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REGU-369-2757287</_dlc_DocId>
    <_dlc_DocIdUrl xmlns="9be56660-2c31-41ef-bc00-23e72f632f2a">
      <Url>https://cyfoethnaturiolcymru.sharepoint.com/teams/Regulatory/Permitting/_layouts/15/DocIdRedir.aspx?ID=REGU-369-2757287</Url>
      <Description>REGU-369-2757287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Combined Sewer Overflow at Llithfaen Wastewater Treatment Works</Site_x0020_Name>
    <Internal_x002f_External xmlns="859f7ad6-93f6-4205-b62b-a17f28acbbac">Internal document</Internal_x002f_External>
    <Post_x0020_code xmlns="859f7ad6-93f6-4205-b62b-a17f28acbbac">LL53 6NH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2024-10-10T23:00:00+00:00</Document_x0020_Date>
    <Facility_x0020_Address xmlns="859f7ad6-93f6-4205-b62b-a17f28acbbac">Pentre Uchaf Road, Llithfaen,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FA4D0F4-1E3A-4482-B650-C67634B6EF56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2024-10-04T14:45:00Z</dcterms:created>
  <dcterms:modified xsi:type="dcterms:W3CDTF">2024-10-04T14:46:00Z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6db93a54-6af7-4443-821b-cbd01fb62f30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