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Pr="00982BA0" w:rsidRDefault="00F21FE3" w:rsidP="00D04424">
      <w:pPr>
        <w:pStyle w:val="Heading1"/>
        <w:jc w:val="left"/>
        <w:rPr>
          <w:color w:val="auto"/>
          <w:sz w:val="32"/>
          <w:szCs w:val="32"/>
        </w:rPr>
      </w:pPr>
      <w:r w:rsidRPr="00982BA0">
        <w:rPr>
          <w:color w:val="auto"/>
          <w:sz w:val="32"/>
          <w:szCs w:val="32"/>
        </w:rPr>
        <w:t>Natural Resources Wales</w:t>
      </w:r>
      <w:r w:rsidR="00D04424" w:rsidRPr="00982BA0">
        <w:rPr>
          <w:bCs/>
          <w:color w:val="auto"/>
          <w:sz w:val="32"/>
          <w:szCs w:val="32"/>
        </w:rPr>
        <w:t xml:space="preserve"> </w:t>
      </w:r>
      <w:r w:rsidR="0067478B" w:rsidRPr="00982BA0">
        <w:rPr>
          <w:bCs/>
          <w:color w:val="auto"/>
          <w:sz w:val="32"/>
          <w:szCs w:val="32"/>
        </w:rPr>
        <w:t>p</w:t>
      </w:r>
      <w:r w:rsidR="00D04424" w:rsidRPr="00982BA0">
        <w:rPr>
          <w:bCs/>
          <w:color w:val="auto"/>
          <w:sz w:val="32"/>
          <w:szCs w:val="32"/>
        </w:rPr>
        <w:t>ermitting</w:t>
      </w:r>
      <w:r w:rsidR="00D04424" w:rsidRPr="00982BA0">
        <w:rPr>
          <w:color w:val="auto"/>
          <w:sz w:val="32"/>
          <w:szCs w:val="32"/>
        </w:rPr>
        <w:t xml:space="preserve"> decisions</w:t>
      </w:r>
    </w:p>
    <w:p w14:paraId="38DDE788" w14:textId="77777777" w:rsidR="003719AD" w:rsidRPr="00982BA0" w:rsidRDefault="003719AD" w:rsidP="003719AD">
      <w:pPr>
        <w:pStyle w:val="Heading1"/>
        <w:spacing w:before="0" w:after="0"/>
        <w:jc w:val="left"/>
        <w:rPr>
          <w:bCs/>
          <w:color w:val="auto"/>
          <w:sz w:val="24"/>
          <w:szCs w:val="24"/>
        </w:rPr>
      </w:pPr>
    </w:p>
    <w:p w14:paraId="38DDE789" w14:textId="3ED11CC1" w:rsidR="00D04424" w:rsidRPr="00982BA0" w:rsidRDefault="001F0E23" w:rsidP="003719AD">
      <w:pPr>
        <w:pStyle w:val="Heading1"/>
        <w:spacing w:before="0" w:after="0"/>
        <w:jc w:val="left"/>
        <w:rPr>
          <w:bCs/>
          <w:color w:val="auto"/>
          <w:sz w:val="32"/>
        </w:rPr>
      </w:pPr>
      <w:r w:rsidRPr="00982BA0">
        <w:rPr>
          <w:bCs/>
          <w:color w:val="auto"/>
          <w:sz w:val="32"/>
        </w:rPr>
        <w:t>Variation</w:t>
      </w:r>
      <w:r w:rsidR="00B73ECB" w:rsidRPr="00982BA0">
        <w:rPr>
          <w:bCs/>
          <w:color w:val="auto"/>
          <w:sz w:val="32"/>
        </w:rPr>
        <w:t xml:space="preserve"> </w:t>
      </w:r>
    </w:p>
    <w:p w14:paraId="25B48EC3" w14:textId="77777777" w:rsidR="00982BA0" w:rsidRPr="00982BA0" w:rsidRDefault="00982BA0" w:rsidP="00982BA0">
      <w:pPr>
        <w:spacing w:after="120"/>
        <w:rPr>
          <w:rFonts w:ascii="Arial" w:hAnsi="Arial" w:cs="Arial"/>
          <w:szCs w:val="24"/>
        </w:rPr>
      </w:pPr>
      <w:r w:rsidRPr="00982BA0">
        <w:rPr>
          <w:rFonts w:ascii="Arial" w:hAnsi="Arial" w:cs="Arial"/>
          <w:szCs w:val="24"/>
        </w:rPr>
        <w:t>We have decided to issue the variation for Bulky Waste Recycling Centre operated by JLA Recycling Limited.</w:t>
      </w:r>
    </w:p>
    <w:p w14:paraId="1AD5A6A9" w14:textId="77777777" w:rsidR="00982BA0" w:rsidRPr="00982BA0" w:rsidRDefault="00982BA0" w:rsidP="00982BA0">
      <w:pPr>
        <w:tabs>
          <w:tab w:val="left" w:pos="4253"/>
          <w:tab w:val="left" w:pos="6804"/>
        </w:tabs>
        <w:spacing w:after="120"/>
        <w:rPr>
          <w:rFonts w:ascii="Arial" w:hAnsi="Arial"/>
          <w:szCs w:val="24"/>
        </w:rPr>
      </w:pPr>
      <w:bookmarkStart w:id="0" w:name="OLE_LINK1"/>
      <w:bookmarkStart w:id="1" w:name="OLE_LINK2"/>
      <w:r w:rsidRPr="00982BA0">
        <w:rPr>
          <w:rFonts w:ascii="Arial" w:hAnsi="Arial"/>
          <w:kern w:val="28"/>
          <w:szCs w:val="24"/>
        </w:rPr>
        <w:t>The</w:t>
      </w:r>
      <w:r w:rsidRPr="00982BA0">
        <w:rPr>
          <w:rFonts w:ascii="Arial" w:hAnsi="Arial"/>
          <w:b/>
          <w:kern w:val="28"/>
          <w:szCs w:val="24"/>
        </w:rPr>
        <w:t xml:space="preserve"> </w:t>
      </w:r>
      <w:r w:rsidRPr="00982BA0">
        <w:rPr>
          <w:rFonts w:ascii="Arial" w:hAnsi="Arial"/>
          <w:szCs w:val="24"/>
        </w:rPr>
        <w:t>variation number is EPR/NP3498FK/V004</w:t>
      </w:r>
    </w:p>
    <w:bookmarkEnd w:id="0"/>
    <w:bookmarkEnd w:id="1"/>
    <w:p w14:paraId="38DDE790" w14:textId="77777777" w:rsidR="00D04424" w:rsidRPr="0067478B" w:rsidRDefault="00D04424" w:rsidP="0067478B">
      <w:pPr>
        <w:spacing w:after="120"/>
        <w:rPr>
          <w:rFonts w:ascii="Arial" w:hAnsi="Arial"/>
          <w:szCs w:val="24"/>
        </w:rPr>
      </w:pPr>
      <w:r w:rsidRPr="00982BA0">
        <w:rPr>
          <w:rFonts w:ascii="Arial" w:hAnsi="Arial"/>
          <w:szCs w:val="24"/>
        </w:rPr>
        <w:t xml:space="preserve">We consider in </w:t>
      </w:r>
      <w:r w:rsidRPr="0067478B">
        <w:rPr>
          <w:rFonts w:ascii="Arial" w:hAnsi="Arial"/>
          <w:szCs w:val="24"/>
        </w:rPr>
        <w:t>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1E7F0187"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38DDE7E2" w14:textId="615823FF" w:rsidR="00A656E7" w:rsidRPr="00DA70FE" w:rsidRDefault="00F42026" w:rsidP="00982BA0">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7" w14:textId="6408F332" w:rsidR="00982BA0" w:rsidRPr="00DA70FE" w:rsidRDefault="00F42026" w:rsidP="00982BA0">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r w:rsidR="00982BA0">
              <w:rPr>
                <w:rFonts w:ascii="Arial" w:hAnsi="Arial" w:cs="Arial"/>
                <w:szCs w:val="24"/>
              </w:rPr>
              <w:t xml:space="preserve">, </w:t>
            </w:r>
            <w:r w:rsidR="00E31377">
              <w:rPr>
                <w:rFonts w:ascii="Arial" w:hAnsi="Arial" w:cs="Arial"/>
                <w:szCs w:val="24"/>
              </w:rPr>
              <w:t>namely</w:t>
            </w:r>
            <w:r w:rsidR="00982BA0">
              <w:rPr>
                <w:rFonts w:ascii="Arial" w:hAnsi="Arial" w:cs="Arial"/>
                <w:szCs w:val="24"/>
              </w:rPr>
              <w:t xml:space="preserve"> the </w:t>
            </w:r>
            <w:r w:rsidR="00E31377">
              <w:rPr>
                <w:rFonts w:ascii="Arial" w:hAnsi="Arial" w:cs="Arial"/>
                <w:szCs w:val="24"/>
              </w:rPr>
              <w:t>Industrial</w:t>
            </w:r>
            <w:r w:rsidR="00982BA0">
              <w:rPr>
                <w:rFonts w:ascii="Arial" w:hAnsi="Arial" w:cs="Arial"/>
                <w:szCs w:val="24"/>
              </w:rPr>
              <w:t xml:space="preserve"> Emissions Directive in relation to what wastes were being shredded, and how they were being shredded.</w:t>
            </w: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6FA886B3"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982BA0">
              <w:rPr>
                <w:rFonts w:ascii="Arial" w:hAnsi="Arial" w:cs="Arial"/>
              </w:rPr>
              <w:t>.</w:t>
            </w:r>
          </w:p>
          <w:p w14:paraId="0B460773" w14:textId="6F8F23AA" w:rsidR="006B5D0B" w:rsidRDefault="006B5D0B">
            <w:pPr>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77007E8C" w:rsidR="00F42026" w:rsidRPr="00982BA0" w:rsidRDefault="00F42026" w:rsidP="00982BA0">
            <w:pPr>
              <w:spacing w:before="60"/>
              <w:rPr>
                <w:rFonts w:ascii="Arial" w:hAnsi="Arial" w:cs="Arial"/>
                <w:szCs w:val="24"/>
              </w:rPr>
            </w:pPr>
            <w:r w:rsidRPr="00982BA0">
              <w:rPr>
                <w:rFonts w:ascii="Arial" w:hAnsi="Arial" w:cs="Arial"/>
                <w:szCs w:val="24"/>
              </w:rPr>
              <w:t>Environmental risk</w:t>
            </w:r>
          </w:p>
        </w:tc>
        <w:tc>
          <w:tcPr>
            <w:tcW w:w="6242" w:type="dxa"/>
          </w:tcPr>
          <w:p w14:paraId="38DDE84D" w14:textId="77777777" w:rsidR="00F42026" w:rsidRPr="00982BA0" w:rsidRDefault="00F42026" w:rsidP="007C0DCA">
            <w:pPr>
              <w:spacing w:before="60"/>
              <w:rPr>
                <w:rFonts w:ascii="Arial" w:hAnsi="Arial" w:cs="Arial"/>
                <w:szCs w:val="24"/>
              </w:rPr>
            </w:pPr>
            <w:r w:rsidRPr="00982BA0">
              <w:rPr>
                <w:rFonts w:ascii="Arial" w:hAnsi="Arial" w:cs="Arial"/>
                <w:szCs w:val="24"/>
              </w:rPr>
              <w:t xml:space="preserve">We have reviewed the operator's assessment of the environmental risk from the facility.  </w:t>
            </w:r>
          </w:p>
          <w:p w14:paraId="38DDE855" w14:textId="6903ADF4" w:rsidR="00A656E7" w:rsidRPr="00982BA0" w:rsidRDefault="00F42026" w:rsidP="00982BA0">
            <w:pPr>
              <w:spacing w:before="60"/>
              <w:rPr>
                <w:rFonts w:ascii="Arial" w:hAnsi="Arial" w:cs="Arial"/>
                <w:szCs w:val="24"/>
              </w:rPr>
            </w:pPr>
            <w:r w:rsidRPr="00982BA0">
              <w:rPr>
                <w:rFonts w:ascii="Arial" w:hAnsi="Arial" w:cs="Arial"/>
                <w:szCs w:val="24"/>
              </w:rPr>
              <w:t xml:space="preserve">The operator’s risk assessment is satisfactory. </w:t>
            </w:r>
          </w:p>
        </w:tc>
        <w:tc>
          <w:tcPr>
            <w:tcW w:w="1135" w:type="dxa"/>
            <w:gridSpan w:val="2"/>
          </w:tcPr>
          <w:p w14:paraId="38DDE856" w14:textId="77777777" w:rsidR="00F42026" w:rsidRPr="00982BA0" w:rsidRDefault="00F42026" w:rsidP="00792CEE">
            <w:pPr>
              <w:rPr>
                <w:rFonts w:ascii="Arial" w:hAnsi="Arial" w:cs="Arial"/>
                <w:szCs w:val="24"/>
              </w:rPr>
            </w:pPr>
            <w:r w:rsidRPr="00982BA0">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982BA0" w:rsidRDefault="00F42026" w:rsidP="007C0DCA">
            <w:pPr>
              <w:spacing w:before="60"/>
              <w:rPr>
                <w:rFonts w:ascii="Arial" w:hAnsi="Arial" w:cs="Arial"/>
                <w:szCs w:val="24"/>
              </w:rPr>
            </w:pPr>
            <w:r w:rsidRPr="00982BA0">
              <w:rPr>
                <w:rFonts w:ascii="Arial" w:hAnsi="Arial" w:cs="Arial"/>
                <w:szCs w:val="24"/>
              </w:rPr>
              <w:t>Operating techniques</w:t>
            </w:r>
          </w:p>
        </w:tc>
        <w:tc>
          <w:tcPr>
            <w:tcW w:w="6242" w:type="dxa"/>
          </w:tcPr>
          <w:p w14:paraId="38DDE874" w14:textId="564A4262" w:rsidR="00A656E7" w:rsidRPr="00982BA0" w:rsidRDefault="00982BA0" w:rsidP="00982BA0">
            <w:pPr>
              <w:pStyle w:val="BodyText"/>
              <w:spacing w:before="60"/>
              <w:rPr>
                <w:rFonts w:ascii="Arial" w:hAnsi="Arial" w:cs="Arial"/>
                <w:color w:val="auto"/>
                <w:szCs w:val="24"/>
              </w:rPr>
            </w:pPr>
            <w:r w:rsidRPr="00982BA0">
              <w:rPr>
                <w:rFonts w:ascii="Arial" w:hAnsi="Arial" w:cs="Arial"/>
                <w:color w:val="auto"/>
                <w:szCs w:val="24"/>
              </w:rPr>
              <w:t>We have reviewed the techniques used by the operator and compared these with the relevant guidance notes.  The operator has identified appropriate measures, as set out in the relevant technical guidance note for waste activities; ‘How to comply with your environmental permit’.</w:t>
            </w:r>
          </w:p>
        </w:tc>
        <w:tc>
          <w:tcPr>
            <w:tcW w:w="1135" w:type="dxa"/>
            <w:gridSpan w:val="2"/>
          </w:tcPr>
          <w:p w14:paraId="38DDE875" w14:textId="77777777" w:rsidR="00F42026" w:rsidRPr="00982BA0" w:rsidRDefault="00F42026" w:rsidP="00792CEE">
            <w:pPr>
              <w:rPr>
                <w:rFonts w:ascii="Arial" w:hAnsi="Arial" w:cs="Arial"/>
                <w:szCs w:val="24"/>
              </w:rPr>
            </w:pPr>
            <w:r w:rsidRPr="00982BA0">
              <w:rPr>
                <w:rFonts w:ascii="Arial" w:hAnsi="Arial" w:cs="Arial"/>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982BA0" w:rsidRPr="00DA70FE" w14:paraId="38DDE8C4" w14:textId="77777777" w:rsidTr="00880F75">
        <w:tc>
          <w:tcPr>
            <w:tcW w:w="1980" w:type="dxa"/>
            <w:gridSpan w:val="2"/>
          </w:tcPr>
          <w:p w14:paraId="38DDE8B2" w14:textId="3127B287" w:rsidR="00982BA0" w:rsidRPr="00DA70FE" w:rsidRDefault="00982BA0" w:rsidP="00982BA0">
            <w:pPr>
              <w:spacing w:before="60"/>
              <w:rPr>
                <w:rFonts w:ascii="Arial" w:hAnsi="Arial" w:cs="Arial"/>
                <w:color w:val="000000"/>
                <w:szCs w:val="24"/>
              </w:rPr>
            </w:pPr>
            <w:r w:rsidRPr="00011B02">
              <w:rPr>
                <w:rFonts w:ascii="Arial" w:hAnsi="Arial" w:cs="Arial"/>
                <w:szCs w:val="24"/>
              </w:rPr>
              <w:t>Improvement conditions</w:t>
            </w:r>
          </w:p>
        </w:tc>
        <w:tc>
          <w:tcPr>
            <w:tcW w:w="6242" w:type="dxa"/>
          </w:tcPr>
          <w:p w14:paraId="5AF8B48A" w14:textId="77777777" w:rsidR="00982BA0" w:rsidRPr="00011B02" w:rsidRDefault="00982BA0" w:rsidP="00982BA0">
            <w:pPr>
              <w:spacing w:before="60"/>
              <w:rPr>
                <w:rFonts w:ascii="Arial" w:hAnsi="Arial" w:cs="Arial"/>
                <w:szCs w:val="24"/>
              </w:rPr>
            </w:pPr>
            <w:r w:rsidRPr="00011B02">
              <w:rPr>
                <w:rFonts w:ascii="Arial" w:hAnsi="Arial" w:cs="Arial"/>
                <w:szCs w:val="24"/>
              </w:rPr>
              <w:t xml:space="preserve">Based on the information on the application, we consider that we need to impose improvement conditions.   </w:t>
            </w:r>
          </w:p>
          <w:p w14:paraId="38DDE8C2" w14:textId="58C25126" w:rsidR="00982BA0" w:rsidRPr="00DA70FE" w:rsidRDefault="00982BA0" w:rsidP="00982BA0">
            <w:pPr>
              <w:spacing w:before="60"/>
              <w:rPr>
                <w:rFonts w:ascii="Arial" w:hAnsi="Arial" w:cs="Arial"/>
                <w:color w:val="FF00FF"/>
                <w:szCs w:val="24"/>
              </w:rPr>
            </w:pPr>
            <w:r w:rsidRPr="00011B02">
              <w:rPr>
                <w:rFonts w:ascii="Arial" w:hAnsi="Arial" w:cs="Arial"/>
                <w:szCs w:val="24"/>
              </w:rPr>
              <w:t>We have imposed improvement conditions to ensure that</w:t>
            </w:r>
            <w:r>
              <w:rPr>
                <w:rFonts w:ascii="Arial" w:hAnsi="Arial" w:cs="Arial"/>
                <w:szCs w:val="24"/>
              </w:rPr>
              <w:t xml:space="preserve"> </w:t>
            </w:r>
            <w:r w:rsidRPr="00011B02">
              <w:rPr>
                <w:rFonts w:ascii="Arial" w:hAnsi="Arial" w:cs="Arial"/>
                <w:szCs w:val="24"/>
              </w:rPr>
              <w:t>appropriate measures are in place to ensure that risk of fires are minimised and prevent fire.</w:t>
            </w:r>
          </w:p>
        </w:tc>
        <w:tc>
          <w:tcPr>
            <w:tcW w:w="1135" w:type="dxa"/>
            <w:gridSpan w:val="2"/>
          </w:tcPr>
          <w:p w14:paraId="38DDE8C3" w14:textId="136FB701" w:rsidR="00982BA0" w:rsidRPr="00DA70FE" w:rsidRDefault="00982BA0" w:rsidP="00982BA0">
            <w:pPr>
              <w:rPr>
                <w:rFonts w:ascii="Arial" w:hAnsi="Arial" w:cs="Arial"/>
                <w:color w:val="000000"/>
                <w:szCs w:val="24"/>
              </w:rPr>
            </w:pPr>
            <w:r w:rsidRPr="00011B02">
              <w:rPr>
                <w:rFonts w:ascii="Arial" w:hAnsi="Arial" w:cs="Arial"/>
                <w:szCs w:val="24"/>
              </w:rPr>
              <w:sym w:font="Wingdings" w:char="F0FC"/>
            </w:r>
          </w:p>
        </w:tc>
      </w:tr>
      <w:tr w:rsidR="00982BA0" w:rsidRPr="00DA70FE" w14:paraId="38DDE8D6" w14:textId="77777777" w:rsidTr="00880F75">
        <w:tc>
          <w:tcPr>
            <w:tcW w:w="1980" w:type="dxa"/>
            <w:gridSpan w:val="2"/>
          </w:tcPr>
          <w:p w14:paraId="38DDE8CE" w14:textId="44889686" w:rsidR="00982BA0" w:rsidRPr="00DA70FE" w:rsidRDefault="00982BA0" w:rsidP="00982BA0">
            <w:pPr>
              <w:spacing w:before="60"/>
              <w:rPr>
                <w:rFonts w:ascii="Arial" w:hAnsi="Arial" w:cs="Arial"/>
                <w:color w:val="000000"/>
                <w:szCs w:val="24"/>
              </w:rPr>
            </w:pPr>
            <w:r w:rsidRPr="00011B02">
              <w:rPr>
                <w:rFonts w:ascii="Arial" w:hAnsi="Arial" w:cs="Arial"/>
                <w:szCs w:val="24"/>
              </w:rPr>
              <w:t>Incorporating the application</w:t>
            </w:r>
          </w:p>
        </w:tc>
        <w:tc>
          <w:tcPr>
            <w:tcW w:w="6242" w:type="dxa"/>
          </w:tcPr>
          <w:p w14:paraId="470368FF" w14:textId="77777777" w:rsidR="00982BA0" w:rsidRPr="00011B02" w:rsidRDefault="00982BA0" w:rsidP="00982BA0">
            <w:pPr>
              <w:spacing w:before="60"/>
              <w:rPr>
                <w:rFonts w:ascii="Arial" w:hAnsi="Arial" w:cs="Arial"/>
                <w:szCs w:val="24"/>
              </w:rPr>
            </w:pPr>
            <w:r w:rsidRPr="00011B02">
              <w:rPr>
                <w:rFonts w:ascii="Arial" w:hAnsi="Arial" w:cs="Arial"/>
                <w:szCs w:val="24"/>
              </w:rPr>
              <w:t xml:space="preserve">We have specified that the applicant must operate the permit in accordance with descriptions in the application, including all additional information received as part of the determination process.  </w:t>
            </w:r>
          </w:p>
          <w:p w14:paraId="38DDE8D4" w14:textId="79E17FD7" w:rsidR="00982BA0" w:rsidRPr="00DA70FE" w:rsidRDefault="00982BA0" w:rsidP="00982BA0">
            <w:pPr>
              <w:spacing w:before="60"/>
              <w:rPr>
                <w:rFonts w:ascii="Arial" w:hAnsi="Arial" w:cs="Arial"/>
                <w:color w:val="000000"/>
                <w:szCs w:val="24"/>
              </w:rPr>
            </w:pPr>
            <w:r w:rsidRPr="00011B02">
              <w:rPr>
                <w:rFonts w:ascii="Arial" w:hAnsi="Arial" w:cs="Arial"/>
                <w:szCs w:val="24"/>
              </w:rPr>
              <w:lastRenderedPageBreak/>
              <w:t>These descriptions are specified in the Operating Techniques table in the permit.</w:t>
            </w:r>
          </w:p>
        </w:tc>
        <w:tc>
          <w:tcPr>
            <w:tcW w:w="1135" w:type="dxa"/>
            <w:gridSpan w:val="2"/>
          </w:tcPr>
          <w:p w14:paraId="38DDE8D5" w14:textId="0E61E004" w:rsidR="00982BA0" w:rsidRPr="00DA70FE" w:rsidRDefault="00982BA0" w:rsidP="00982BA0">
            <w:pPr>
              <w:rPr>
                <w:rFonts w:ascii="Arial" w:hAnsi="Arial" w:cs="Arial"/>
                <w:color w:val="000000"/>
                <w:szCs w:val="24"/>
              </w:rPr>
            </w:pPr>
            <w:r w:rsidRPr="00011B02">
              <w:rPr>
                <w:rFonts w:ascii="Arial" w:hAnsi="Arial" w:cs="Arial"/>
                <w:szCs w:val="24"/>
              </w:rPr>
              <w:lastRenderedPageBreak/>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4" w14:textId="5AF25DEE" w:rsidR="00A656E7" w:rsidRPr="00DA70FE" w:rsidRDefault="00F42026" w:rsidP="00982BA0">
            <w:pPr>
              <w:spacing w:before="60"/>
              <w:rPr>
                <w:rFonts w:ascii="Arial" w:hAnsi="Arial" w:cs="Arial"/>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C" w14:textId="092E74FA" w:rsidR="00C44B7E" w:rsidRDefault="00982BA0" w:rsidP="00982BA0">
      <w:pPr>
        <w:pStyle w:val="Heading1"/>
        <w:jc w:val="left"/>
        <w:rPr>
          <w:b w:val="0"/>
        </w:rPr>
      </w:pPr>
      <w:r>
        <w:rPr>
          <w:b w:val="0"/>
        </w:rPr>
        <w:t xml:space="preserve"> </w:t>
      </w:r>
    </w:p>
    <w:p w14:paraId="38DDE94D" w14:textId="77777777" w:rsidR="00C44B7E" w:rsidRDefault="00C44B7E">
      <w:pPr>
        <w:rPr>
          <w:rFonts w:ascii="Arial" w:hAnsi="Arial"/>
          <w:b/>
          <w:sz w:val="28"/>
        </w:rPr>
      </w:pPr>
    </w:p>
    <w:sectPr w:rsidR="00C44B7E" w:rsidSect="00365084">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BC83752" w:rsidR="00B756D3" w:rsidRPr="002B61AE" w:rsidRDefault="00B756D3" w:rsidP="00BB2721">
          <w:pPr>
            <w:tabs>
              <w:tab w:val="left" w:pos="4335"/>
              <w:tab w:val="right" w:pos="10348"/>
            </w:tabs>
            <w:rPr>
              <w:rStyle w:val="PageNumber"/>
              <w:rFonts w:ascii="Arial" w:hAnsi="Arial" w:cs="Arial"/>
              <w:color w:val="808000"/>
              <w:sz w:val="20"/>
              <w:lang w:val="en-US"/>
            </w:rPr>
          </w:pPr>
          <w:bookmarkStart w:id="2" w:name="_GoBack"/>
          <w:bookmarkEnd w:id="2"/>
        </w:p>
      </w:tc>
      <w:tc>
        <w:tcPr>
          <w:tcW w:w="2659" w:type="dxa"/>
        </w:tcPr>
        <w:p w14:paraId="38DDE955" w14:textId="0D908197" w:rsidR="00B756D3" w:rsidRPr="002B61AE" w:rsidRDefault="00B756D3" w:rsidP="00BB2721">
          <w:pPr>
            <w:tabs>
              <w:tab w:val="left" w:pos="4335"/>
              <w:tab w:val="right" w:pos="10348"/>
            </w:tabs>
            <w:rPr>
              <w:rStyle w:val="PageNumber"/>
              <w:rFonts w:ascii="Arial" w:hAnsi="Arial" w:cs="Arial"/>
              <w:color w:val="808000"/>
              <w:sz w:val="20"/>
              <w:lang w:val="en-US"/>
            </w:rPr>
          </w:pPr>
        </w:p>
      </w:tc>
      <w:tc>
        <w:tcPr>
          <w:tcW w:w="2926" w:type="dxa"/>
        </w:tcPr>
        <w:p w14:paraId="38DDE956" w14:textId="11A54D3B" w:rsidR="00B756D3" w:rsidRPr="002B61AE" w:rsidRDefault="00B756D3" w:rsidP="00BB2721">
          <w:pPr>
            <w:tabs>
              <w:tab w:val="left" w:pos="4335"/>
              <w:tab w:val="right" w:pos="10348"/>
            </w:tabs>
            <w:rPr>
              <w:rStyle w:val="PageNumber"/>
              <w:rFonts w:ascii="Arial" w:hAnsi="Arial" w:cs="Arial"/>
              <w:color w:val="808000"/>
              <w:sz w:val="20"/>
              <w:lang w:val="en-US"/>
            </w:rPr>
          </w:pP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D4D8F" w14:textId="77777777" w:rsidR="005E3C13" w:rsidRDefault="005E3C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4E4B0" w14:textId="77777777" w:rsidR="005E3C13" w:rsidRDefault="005E3C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22A46" w14:textId="77777777" w:rsidR="005E3C13" w:rsidRDefault="005E3C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EC7F9" w14:textId="77777777" w:rsidR="005E3C13" w:rsidRDefault="005E3C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4F4481"/>
    <w:multiLevelType w:val="hybridMultilevel"/>
    <w:tmpl w:val="F6EE9F9A"/>
    <w:lvl w:ilvl="0" w:tplc="3D7AD276">
      <w:numFmt w:val="bullet"/>
      <w:lvlText w:val="-"/>
      <w:lvlJc w:val="left"/>
      <w:pPr>
        <w:ind w:left="720" w:hanging="360"/>
      </w:pPr>
      <w:rPr>
        <w:rFonts w:ascii="Arial" w:eastAsia="Times New Roman"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8"/>
  </w:num>
  <w:num w:numId="3">
    <w:abstractNumId w:val="14"/>
  </w:num>
  <w:num w:numId="4">
    <w:abstractNumId w:val="2"/>
  </w:num>
  <w:num w:numId="5">
    <w:abstractNumId w:val="6"/>
  </w:num>
  <w:num w:numId="6">
    <w:abstractNumId w:val="4"/>
  </w:num>
  <w:num w:numId="7">
    <w:abstractNumId w:val="9"/>
  </w:num>
  <w:num w:numId="8">
    <w:abstractNumId w:val="17"/>
  </w:num>
  <w:num w:numId="9">
    <w:abstractNumId w:val="21"/>
  </w:num>
  <w:num w:numId="10">
    <w:abstractNumId w:val="12"/>
  </w:num>
  <w:num w:numId="11">
    <w:abstractNumId w:val="15"/>
  </w:num>
  <w:num w:numId="12">
    <w:abstractNumId w:val="20"/>
  </w:num>
  <w:num w:numId="13">
    <w:abstractNumId w:val="19"/>
  </w:num>
  <w:num w:numId="14">
    <w:abstractNumId w:val="11"/>
  </w:num>
  <w:num w:numId="15">
    <w:abstractNumId w:val="13"/>
  </w:num>
  <w:num w:numId="16">
    <w:abstractNumId w:val="7"/>
  </w:num>
  <w:num w:numId="17">
    <w:abstractNumId w:val="16"/>
  </w:num>
  <w:num w:numId="18">
    <w:abstractNumId w:val="0"/>
  </w:num>
  <w:num w:numId="19">
    <w:abstractNumId w:val="10"/>
  </w:num>
  <w:num w:numId="20">
    <w:abstractNumId w:val="3"/>
  </w:num>
  <w:num w:numId="21">
    <w:abstractNumId w:val="5"/>
  </w:num>
  <w:num w:numId="22">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7725"/>
    <w:rsid w:val="001500A3"/>
    <w:rsid w:val="0016775A"/>
    <w:rsid w:val="0017110E"/>
    <w:rsid w:val="00173FA0"/>
    <w:rsid w:val="00175981"/>
    <w:rsid w:val="00176DE6"/>
    <w:rsid w:val="001853EC"/>
    <w:rsid w:val="0019078A"/>
    <w:rsid w:val="001A2522"/>
    <w:rsid w:val="001A47AE"/>
    <w:rsid w:val="001A79EC"/>
    <w:rsid w:val="001B35DB"/>
    <w:rsid w:val="001B5BD3"/>
    <w:rsid w:val="001B77CB"/>
    <w:rsid w:val="001C1F18"/>
    <w:rsid w:val="001F0E2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FAA"/>
    <w:rsid w:val="002C2D76"/>
    <w:rsid w:val="002C30C4"/>
    <w:rsid w:val="002C41CA"/>
    <w:rsid w:val="002C510E"/>
    <w:rsid w:val="002D0A0C"/>
    <w:rsid w:val="002E2AF4"/>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1031"/>
    <w:rsid w:val="005E3C13"/>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E77E2"/>
    <w:rsid w:val="008F5198"/>
    <w:rsid w:val="009027F9"/>
    <w:rsid w:val="009047F4"/>
    <w:rsid w:val="009070E1"/>
    <w:rsid w:val="00925040"/>
    <w:rsid w:val="00930ABE"/>
    <w:rsid w:val="009344C0"/>
    <w:rsid w:val="0093480F"/>
    <w:rsid w:val="00945712"/>
    <w:rsid w:val="0094736F"/>
    <w:rsid w:val="0096635C"/>
    <w:rsid w:val="009802DC"/>
    <w:rsid w:val="00982BA0"/>
    <w:rsid w:val="009837ED"/>
    <w:rsid w:val="009864F9"/>
    <w:rsid w:val="00992AD4"/>
    <w:rsid w:val="00995381"/>
    <w:rsid w:val="009B0C2B"/>
    <w:rsid w:val="009B4CE8"/>
    <w:rsid w:val="009B7411"/>
    <w:rsid w:val="009C6433"/>
    <w:rsid w:val="009D4D88"/>
    <w:rsid w:val="009E4BDC"/>
    <w:rsid w:val="00A06754"/>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E370B"/>
    <w:rsid w:val="00BE7950"/>
    <w:rsid w:val="00BF24F6"/>
    <w:rsid w:val="00BF2733"/>
    <w:rsid w:val="00BF379C"/>
    <w:rsid w:val="00BF76FA"/>
    <w:rsid w:val="00C05011"/>
    <w:rsid w:val="00C07952"/>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1377"/>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982B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Tir Canol</Site_x0020_Name>
    <Internal_x002f_External xmlns="859f7ad6-93f6-4205-b62b-a17f28acbbac">Internal document</Internal_x002f_External>
    <Post_x0020_code xmlns="859f7ad6-93f6-4205-b62b-a17f28acbbac">SA9 2QQ</Post_x0020_cod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2019-01-09T00:00:00+00:00</Document_x0020_Date>
    <Facility_x0020_Address xmlns="859f7ad6-93f6-4205-b62b-a17f28acbbac">Tir Canol Landfill, Palleg Road, Lower Cwmtwrch, Swansea  SA9 2QQ</Facility_x0020_Address>
    <Environment_x0020_Sub_x0020_Folder xmlns="859f7ad6-93f6-4205-b62b-a17f28acbbac">Licence variation</Environment_x0020_Sub_x0020_Folder>
    <Customer_x0020_Name xmlns="859f7ad6-93f6-4205-b62b-a17f28acbbac">JLA Recycling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4" ma:contentTypeDescription="Permitting &amp; Compliance Word Document" ma:contentTypeScope="" ma:versionID="10721b6caf3ed2d981395194cfdc0491">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e9bddfd1b267a1ac4854cffb8ffdd7a6"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2.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B6C6D5EA-97C7-4E5D-BEAB-E803D5A91451}"/>
</file>

<file path=customXml/itemProps4.xml><?xml version="1.0" encoding="utf-8"?>
<ds:datastoreItem xmlns:ds="http://schemas.openxmlformats.org/officeDocument/2006/customXml" ds:itemID="{BFC3C1C3-907A-47E1-BC99-3D862113D033}"/>
</file>

<file path=customXml/itemProps5.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6.xml><?xml version="1.0" encoding="utf-8"?>
<ds:datastoreItem xmlns:ds="http://schemas.openxmlformats.org/officeDocument/2006/customXml" ds:itemID="{3DDFC8D9-FB29-4FF8-99DC-4675A530C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501</Words>
  <Characters>2928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4</cp:revision>
  <cp:lastPrinted>2010-09-29T12:15:00Z</cp:lastPrinted>
  <dcterms:created xsi:type="dcterms:W3CDTF">2018-11-23T09:00:00Z</dcterms:created>
  <dcterms:modified xsi:type="dcterms:W3CDTF">2019-01-09T11:28:00Z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568f8e41-34a5-41d3-80d8-2ba9459fb906</vt:lpwstr>
  </property>
  <property fmtid="{D5CDD505-2E9C-101B-9397-08002B2CF9AE}" pid="5" name="_dlc_DocId">
    <vt:lpwstr>REGU-219-146119</vt:lpwstr>
  </property>
  <property fmtid="{D5CDD505-2E9C-101B-9397-08002B2CF9AE}" pid="6" name="_dlc_DocIdUrl">
    <vt:lpwstr>https://cyfoethnaturiolcymru.sharepoint.com/teams/Regulatory/Permitting/_layouts/15/DocIdRedir.aspx?ID=REGU-219-146119, REGU-219-146119</vt:lpwstr>
  </property>
</Properties>
</file>