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69A45501" w:rsidR="008A1FB1" w:rsidRPr="000B5D8D" w:rsidRDefault="00FD2974" w:rsidP="006D061C">
      <w:pPr>
        <w:pStyle w:val="Heading1"/>
        <w:spacing w:before="0" w:after="0"/>
        <w:jc w:val="left"/>
        <w:rPr>
          <w:rFonts w:cs="Arial"/>
          <w:b w:val="0"/>
          <w:color w:val="000000" w:themeColor="text1"/>
          <w:kern w:val="0"/>
          <w:sz w:val="24"/>
        </w:rPr>
      </w:pPr>
      <w:r w:rsidRPr="000B5D8D">
        <w:rPr>
          <w:bCs/>
          <w:color w:val="000000" w:themeColor="text1"/>
          <w:sz w:val="32"/>
        </w:rPr>
        <w:t>Full</w:t>
      </w:r>
      <w:r w:rsidR="00B45EA7" w:rsidRPr="000B5D8D">
        <w:rPr>
          <w:bCs/>
          <w:color w:val="000000" w:themeColor="text1"/>
          <w:sz w:val="32"/>
        </w:rPr>
        <w:t xml:space="preserve"> t</w:t>
      </w:r>
      <w:r w:rsidRPr="000B5D8D">
        <w:rPr>
          <w:bCs/>
          <w:color w:val="000000" w:themeColor="text1"/>
          <w:sz w:val="32"/>
        </w:rPr>
        <w:t>ransfer</w:t>
      </w:r>
      <w:r w:rsidR="00E82945" w:rsidRPr="000B5D8D">
        <w:rPr>
          <w:bCs/>
          <w:color w:val="000000" w:themeColor="text1"/>
          <w:sz w:val="32"/>
        </w:rPr>
        <w:t xml:space="preserve"> </w:t>
      </w:r>
    </w:p>
    <w:p w14:paraId="6C268B69" w14:textId="6D4E0E8E" w:rsidR="00D547B4" w:rsidRPr="00B45EA7" w:rsidRDefault="00D547B4" w:rsidP="007B0A5C">
      <w:pPr>
        <w:spacing w:after="60"/>
        <w:rPr>
          <w:rFonts w:ascii="Arial" w:hAnsi="Arial" w:cs="Arial"/>
          <w:color w:val="FF00FF"/>
          <w:szCs w:val="24"/>
        </w:rPr>
      </w:pPr>
    </w:p>
    <w:p w14:paraId="4D2AE131" w14:textId="3CEF3536" w:rsidR="007E480F" w:rsidRPr="00A70EE2" w:rsidRDefault="00E450D5" w:rsidP="007B0A5C">
      <w:pPr>
        <w:spacing w:after="60"/>
        <w:rPr>
          <w:rFonts w:ascii="Arial" w:hAnsi="Arial" w:cs="Arial"/>
          <w:color w:val="000000" w:themeColor="text1"/>
          <w:szCs w:val="24"/>
        </w:rPr>
      </w:pPr>
      <w:r w:rsidRPr="00A70EE2">
        <w:rPr>
          <w:rFonts w:ascii="Arial" w:hAnsi="Arial" w:cs="Arial"/>
          <w:color w:val="000000" w:themeColor="text1"/>
          <w:szCs w:val="24"/>
        </w:rPr>
        <w:t xml:space="preserve">We have decided to </w:t>
      </w:r>
      <w:r w:rsidR="008A1FB1" w:rsidRPr="00A70EE2">
        <w:rPr>
          <w:rFonts w:ascii="Arial" w:hAnsi="Arial" w:cs="Arial"/>
          <w:color w:val="000000" w:themeColor="text1"/>
          <w:szCs w:val="24"/>
        </w:rPr>
        <w:t>grant</w:t>
      </w:r>
      <w:r w:rsidR="00B5035F" w:rsidRPr="00A70EE2">
        <w:rPr>
          <w:rFonts w:ascii="Arial" w:hAnsi="Arial" w:cs="Arial"/>
          <w:color w:val="000000" w:themeColor="text1"/>
          <w:szCs w:val="24"/>
        </w:rPr>
        <w:t xml:space="preserve"> </w:t>
      </w:r>
      <w:r w:rsidRPr="00A70EE2">
        <w:rPr>
          <w:rFonts w:ascii="Arial" w:hAnsi="Arial" w:cs="Arial"/>
          <w:color w:val="000000" w:themeColor="text1"/>
          <w:szCs w:val="24"/>
        </w:rPr>
        <w:t xml:space="preserve">the </w:t>
      </w:r>
      <w:r w:rsidR="00FD2974" w:rsidRPr="00A70EE2">
        <w:rPr>
          <w:rFonts w:ascii="Arial" w:hAnsi="Arial" w:cs="Arial"/>
          <w:color w:val="000000" w:themeColor="text1"/>
          <w:szCs w:val="24"/>
        </w:rPr>
        <w:t xml:space="preserve">transfer </w:t>
      </w:r>
      <w:r w:rsidRPr="00A70EE2">
        <w:rPr>
          <w:rFonts w:ascii="Arial" w:hAnsi="Arial" w:cs="Arial"/>
          <w:color w:val="000000" w:themeColor="text1"/>
          <w:szCs w:val="24"/>
        </w:rPr>
        <w:t xml:space="preserve">for </w:t>
      </w:r>
      <w:r w:rsidR="007E480F" w:rsidRPr="00A70EE2">
        <w:rPr>
          <w:rFonts w:ascii="Arial" w:hAnsi="Arial" w:cs="Arial"/>
          <w:color w:val="000000" w:themeColor="text1"/>
          <w:szCs w:val="24"/>
        </w:rPr>
        <w:t>Rhuddlan Bach Quarry Landfill</w:t>
      </w:r>
      <w:r w:rsidR="00A20C40">
        <w:rPr>
          <w:rFonts w:ascii="Arial" w:hAnsi="Arial" w:cs="Arial"/>
          <w:color w:val="000000" w:themeColor="text1"/>
          <w:szCs w:val="24"/>
        </w:rPr>
        <w:t xml:space="preserve"> Site</w:t>
      </w:r>
      <w:r w:rsidR="007E480F" w:rsidRPr="00A70EE2">
        <w:rPr>
          <w:rFonts w:ascii="Arial" w:hAnsi="Arial" w:cs="Arial"/>
          <w:color w:val="000000" w:themeColor="text1"/>
          <w:szCs w:val="24"/>
        </w:rPr>
        <w:t xml:space="preserve"> </w:t>
      </w:r>
      <w:r w:rsidR="006D061C" w:rsidRPr="00A70EE2">
        <w:rPr>
          <w:rFonts w:ascii="Arial" w:hAnsi="Arial" w:cs="Arial"/>
          <w:color w:val="000000" w:themeColor="text1"/>
          <w:szCs w:val="24"/>
        </w:rPr>
        <w:t>from</w:t>
      </w:r>
      <w:r w:rsidR="00637D94" w:rsidRPr="00A70EE2">
        <w:rPr>
          <w:rFonts w:ascii="Arial" w:hAnsi="Arial" w:cs="Arial"/>
          <w:color w:val="000000" w:themeColor="text1"/>
          <w:szCs w:val="24"/>
        </w:rPr>
        <w:t xml:space="preserve"> Hurt Plant Hire Limited </w:t>
      </w:r>
      <w:r w:rsidR="007E480F" w:rsidRPr="00A70EE2">
        <w:rPr>
          <w:rFonts w:ascii="Arial" w:hAnsi="Arial" w:cs="Arial"/>
          <w:color w:val="000000" w:themeColor="text1"/>
          <w:szCs w:val="24"/>
        </w:rPr>
        <w:t>to Clive Hurt Anglesey limited.</w:t>
      </w:r>
      <w:r w:rsidR="007E480F" w:rsidRPr="00A70EE2">
        <w:rPr>
          <w:rFonts w:ascii="Arial" w:hAnsi="Arial" w:cs="Arial"/>
          <w:color w:val="000000" w:themeColor="text1"/>
          <w:szCs w:val="24"/>
          <w:lang w:val="en-US"/>
        </w:rPr>
        <w:t> </w:t>
      </w:r>
    </w:p>
    <w:p w14:paraId="6C268B6A" w14:textId="66A46E5D" w:rsidR="008A1FB1" w:rsidRPr="006E71E0" w:rsidRDefault="00351A0A" w:rsidP="007B0A5C">
      <w:pPr>
        <w:spacing w:after="60"/>
        <w:rPr>
          <w:rFonts w:ascii="Arial" w:hAnsi="Arial" w:cs="Arial"/>
          <w:color w:val="000000" w:themeColor="text1"/>
          <w:szCs w:val="24"/>
        </w:rPr>
      </w:pPr>
      <w:r w:rsidRPr="00B45EA7">
        <w:rPr>
          <w:rFonts w:ascii="Arial" w:hAnsi="Arial" w:cs="Arial"/>
          <w:szCs w:val="24"/>
        </w:rPr>
        <w:t xml:space="preserve"> </w:t>
      </w:r>
    </w:p>
    <w:p w14:paraId="6C268B6B" w14:textId="524D1DEB" w:rsidR="00C44B7E" w:rsidRPr="006E71E0" w:rsidRDefault="00E450D5" w:rsidP="007B0A5C">
      <w:pPr>
        <w:tabs>
          <w:tab w:val="left" w:pos="4253"/>
          <w:tab w:val="left" w:pos="6804"/>
        </w:tabs>
        <w:spacing w:after="60"/>
        <w:rPr>
          <w:rFonts w:ascii="Arial" w:hAnsi="Arial" w:cs="Arial"/>
          <w:color w:val="000000" w:themeColor="text1"/>
          <w:szCs w:val="24"/>
        </w:rPr>
      </w:pPr>
      <w:r w:rsidRPr="006E71E0">
        <w:rPr>
          <w:rFonts w:ascii="Arial" w:hAnsi="Arial" w:cs="Arial"/>
          <w:color w:val="000000" w:themeColor="text1"/>
          <w:kern w:val="28"/>
          <w:szCs w:val="24"/>
        </w:rPr>
        <w:t>The</w:t>
      </w:r>
      <w:r w:rsidRPr="006E71E0">
        <w:rPr>
          <w:rFonts w:ascii="Arial" w:hAnsi="Arial" w:cs="Arial"/>
          <w:b/>
          <w:color w:val="000000" w:themeColor="text1"/>
          <w:kern w:val="28"/>
          <w:szCs w:val="24"/>
        </w:rPr>
        <w:t xml:space="preserve"> </w:t>
      </w:r>
      <w:r w:rsidRPr="006E71E0">
        <w:rPr>
          <w:rFonts w:ascii="Arial" w:hAnsi="Arial" w:cs="Arial"/>
          <w:color w:val="000000" w:themeColor="text1"/>
          <w:szCs w:val="24"/>
        </w:rPr>
        <w:t>p</w:t>
      </w:r>
      <w:r w:rsidR="00C44B7E" w:rsidRPr="006E71E0">
        <w:rPr>
          <w:rFonts w:ascii="Arial" w:hAnsi="Arial" w:cs="Arial"/>
          <w:color w:val="000000" w:themeColor="text1"/>
          <w:szCs w:val="24"/>
        </w:rPr>
        <w:t xml:space="preserve">ermit number </w:t>
      </w:r>
      <w:r w:rsidRPr="006E71E0">
        <w:rPr>
          <w:rFonts w:ascii="Arial" w:hAnsi="Arial" w:cs="Arial"/>
          <w:color w:val="000000" w:themeColor="text1"/>
          <w:szCs w:val="24"/>
        </w:rPr>
        <w:t>is</w:t>
      </w:r>
      <w:r w:rsidR="007E480F" w:rsidRPr="006E71E0">
        <w:rPr>
          <w:rFonts w:ascii="Arial" w:hAnsi="Arial" w:cs="Arial"/>
          <w:color w:val="000000" w:themeColor="text1"/>
        </w:rPr>
        <w:t xml:space="preserve"> </w:t>
      </w:r>
      <w:r w:rsidR="006E71E0" w:rsidRPr="006E71E0">
        <w:rPr>
          <w:rFonts w:ascii="Arial" w:hAnsi="Arial" w:cs="Arial"/>
          <w:color w:val="000000" w:themeColor="text1"/>
        </w:rPr>
        <w:t>EPR/FP3590LV/T005</w:t>
      </w:r>
    </w:p>
    <w:p w14:paraId="591A16A2" w14:textId="77777777" w:rsidR="003D1735" w:rsidRDefault="003D1735" w:rsidP="00B45EA7">
      <w:pPr>
        <w:spacing w:after="120"/>
        <w:rPr>
          <w:rFonts w:ascii="Arial" w:hAnsi="Arial"/>
          <w:color w:val="FF00FF"/>
          <w:szCs w:val="24"/>
        </w:rPr>
      </w:pPr>
    </w:p>
    <w:p w14:paraId="6C268B71" w14:textId="7345D570"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11F751B2" w14:textId="5805DC59" w:rsidR="00B15588"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2F90064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4382A0A5" w:rsidR="008B73B1" w:rsidRPr="00465BB5" w:rsidRDefault="008B73B1" w:rsidP="00465BB5">
            <w:pPr>
              <w:pStyle w:val="NormalWeb"/>
              <w:rPr>
                <w:rFonts w:ascii="Arial" w:hAnsi="Arial" w:cs="Arial"/>
                <w:color w:val="FF00FF"/>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2A3DA765"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B168F4">
              <w:rPr>
                <w:rFonts w:ascii="Arial" w:hAnsi="Arial" w:cs="Arial"/>
                <w:szCs w:val="24"/>
              </w:rPr>
              <w:t>Technical competence</w:t>
            </w:r>
          </w:p>
          <w:p w14:paraId="6C268BE3" w14:textId="51CE76A0"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334F16" w:rsidRDefault="00C13334" w:rsidP="00FD2974">
            <w:pPr>
              <w:pStyle w:val="BodyText"/>
              <w:rPr>
                <w:rFonts w:ascii="Arial" w:hAnsi="Arial" w:cs="Arial"/>
                <w:color w:val="000000" w:themeColor="text1"/>
                <w:szCs w:val="24"/>
              </w:rPr>
            </w:pPr>
          </w:p>
          <w:p w14:paraId="6C268BE6" w14:textId="77777777" w:rsidR="00C13334" w:rsidRPr="00334F16" w:rsidRDefault="00C13334" w:rsidP="00FD2974">
            <w:pPr>
              <w:pStyle w:val="BodyText"/>
              <w:rPr>
                <w:rFonts w:ascii="Arial" w:hAnsi="Arial" w:cs="Arial"/>
                <w:color w:val="000000" w:themeColor="text1"/>
                <w:szCs w:val="24"/>
              </w:rPr>
            </w:pPr>
            <w:r w:rsidRPr="00334F16">
              <w:rPr>
                <w:rFonts w:ascii="Arial" w:hAnsi="Arial" w:cs="Arial"/>
                <w:color w:val="000000" w:themeColor="text1"/>
                <w:szCs w:val="24"/>
              </w:rPr>
              <w:t xml:space="preserve">The operator </w:t>
            </w:r>
            <w:r w:rsidR="00EA142C" w:rsidRPr="00334F16">
              <w:rPr>
                <w:rFonts w:ascii="Arial" w:hAnsi="Arial" w:cs="Arial"/>
                <w:color w:val="000000" w:themeColor="text1"/>
                <w:szCs w:val="24"/>
              </w:rPr>
              <w:t>is a member</w:t>
            </w:r>
            <w:r w:rsidRPr="00334F16">
              <w:rPr>
                <w:rFonts w:ascii="Arial" w:hAnsi="Arial" w:cs="Arial"/>
                <w:color w:val="000000" w:themeColor="text1"/>
                <w:szCs w:val="24"/>
              </w:rPr>
              <w:t xml:space="preserve"> of an agreed scheme. </w:t>
            </w:r>
          </w:p>
          <w:p w14:paraId="4E104F3B" w14:textId="77777777" w:rsidR="00C13334" w:rsidRDefault="00C13334" w:rsidP="00AC2187">
            <w:pPr>
              <w:rPr>
                <w:rFonts w:ascii="Arial" w:hAnsi="Arial" w:cs="Arial"/>
                <w:color w:val="FF00FF"/>
                <w:szCs w:val="24"/>
              </w:rPr>
            </w:pPr>
          </w:p>
          <w:p w14:paraId="62BC6BC3" w14:textId="77777777" w:rsidR="00AC2187" w:rsidRPr="00AC2187" w:rsidRDefault="00AC2187" w:rsidP="00AC2187">
            <w:pPr>
              <w:rPr>
                <w:rFonts w:ascii="Arial" w:hAnsi="Arial" w:cs="Arial"/>
                <w:i/>
                <w:iCs/>
                <w:color w:val="000000" w:themeColor="text1"/>
                <w:szCs w:val="24"/>
              </w:rPr>
            </w:pPr>
            <w:r w:rsidRPr="00AC2187">
              <w:rPr>
                <w:rFonts w:ascii="Arial" w:hAnsi="Arial" w:cs="Arial"/>
                <w:color w:val="000000" w:themeColor="text1"/>
                <w:szCs w:val="24"/>
              </w:rPr>
              <w:t>The named TCM is qualified for landfill operations special waste level 4. Following the hierarchy on the WAMITAB website for open inert landfill the primary qualification is appropriate</w:t>
            </w:r>
            <w:r w:rsidRPr="00AC2187">
              <w:rPr>
                <w:rFonts w:ascii="Arial" w:hAnsi="Arial" w:cs="Arial"/>
                <w:i/>
                <w:iCs/>
                <w:color w:val="000000" w:themeColor="text1"/>
                <w:szCs w:val="24"/>
              </w:rPr>
              <w:t xml:space="preserve">. </w:t>
            </w:r>
          </w:p>
          <w:p w14:paraId="717F162B" w14:textId="77777777" w:rsidR="00AC2187" w:rsidRPr="00AC2187" w:rsidRDefault="00AC2187" w:rsidP="00AC2187">
            <w:pPr>
              <w:rPr>
                <w:rFonts w:ascii="Arial" w:hAnsi="Arial" w:cs="Arial"/>
                <w:i/>
                <w:iCs/>
                <w:color w:val="000000" w:themeColor="text1"/>
                <w:szCs w:val="24"/>
              </w:rPr>
            </w:pPr>
          </w:p>
          <w:p w14:paraId="338252E7" w14:textId="77777777" w:rsidR="00AC2187" w:rsidRPr="00AC2187" w:rsidRDefault="00AC2187" w:rsidP="00AC2187">
            <w:pPr>
              <w:rPr>
                <w:rFonts w:ascii="Arial" w:hAnsi="Arial" w:cs="Arial"/>
                <w:color w:val="000000" w:themeColor="text1"/>
                <w:szCs w:val="24"/>
              </w:rPr>
            </w:pPr>
            <w:r w:rsidRPr="00AC2187">
              <w:rPr>
                <w:rFonts w:ascii="Arial" w:hAnsi="Arial" w:cs="Arial"/>
                <w:color w:val="000000" w:themeColor="text1"/>
                <w:szCs w:val="24"/>
              </w:rPr>
              <w:t xml:space="preserve">The named TCM also holds the relevant valid in date continuing competency certificate in ‘LH’ when referring to Appendix 2 of the WAMITAB handbook 2023. </w:t>
            </w:r>
          </w:p>
          <w:p w14:paraId="29B33552" w14:textId="77777777" w:rsidR="00AC2187" w:rsidRPr="00AC2187" w:rsidRDefault="00AC2187" w:rsidP="00AC2187">
            <w:pPr>
              <w:rPr>
                <w:rFonts w:ascii="Arial" w:hAnsi="Arial" w:cs="Arial"/>
                <w:color w:val="FF00FF"/>
                <w:szCs w:val="24"/>
              </w:rPr>
            </w:pPr>
          </w:p>
          <w:p w14:paraId="6C268BEB" w14:textId="77777777" w:rsidR="00AC2187" w:rsidRPr="00CF487C" w:rsidRDefault="00AC2187" w:rsidP="00AC2187">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E87B11" w:rsidRDefault="00C13334" w:rsidP="00053DA9">
            <w:pPr>
              <w:rPr>
                <w:rFonts w:ascii="Arial" w:hAnsi="Arial" w:cs="Arial"/>
                <w:color w:val="000000" w:themeColor="text1"/>
                <w:szCs w:val="24"/>
              </w:rPr>
            </w:pPr>
            <w:r w:rsidRPr="00933BA4">
              <w:rPr>
                <w:rFonts w:ascii="Arial" w:hAnsi="Arial" w:cs="Arial"/>
                <w:color w:val="000000" w:themeColor="text1"/>
                <w:szCs w:val="24"/>
              </w:rPr>
              <w:t xml:space="preserve">Relevant </w:t>
            </w:r>
            <w:r w:rsidR="00874B1A" w:rsidRPr="00933BA4">
              <w:rPr>
                <w:rFonts w:ascii="Arial" w:hAnsi="Arial" w:cs="Arial"/>
                <w:color w:val="000000" w:themeColor="text1"/>
                <w:szCs w:val="24"/>
              </w:rPr>
              <w:lastRenderedPageBreak/>
              <w:t>c</w:t>
            </w:r>
            <w:r w:rsidRPr="00933BA4">
              <w:rPr>
                <w:rFonts w:ascii="Arial" w:hAnsi="Arial" w:cs="Arial"/>
                <w:color w:val="000000" w:themeColor="text1"/>
                <w:szCs w:val="24"/>
              </w:rPr>
              <w:t>onvictions</w:t>
            </w:r>
          </w:p>
          <w:p w14:paraId="6C268BEF" w14:textId="5878638B" w:rsidR="00C13334" w:rsidRPr="00E87B11" w:rsidRDefault="00C13334" w:rsidP="00053DA9">
            <w:pPr>
              <w:rPr>
                <w:rFonts w:ascii="Arial" w:hAnsi="Arial" w:cs="Arial"/>
                <w:color w:val="000000" w:themeColor="text1"/>
                <w:szCs w:val="24"/>
              </w:rPr>
            </w:pPr>
          </w:p>
        </w:tc>
        <w:tc>
          <w:tcPr>
            <w:tcW w:w="5954" w:type="dxa"/>
          </w:tcPr>
          <w:p w14:paraId="6C268BF0" w14:textId="284FD788" w:rsidR="00C13334" w:rsidRPr="00E87B11" w:rsidRDefault="00085AF5" w:rsidP="00053DA9">
            <w:pPr>
              <w:rPr>
                <w:rFonts w:ascii="Arial" w:hAnsi="Arial" w:cs="Arial"/>
                <w:color w:val="000000" w:themeColor="text1"/>
                <w:szCs w:val="24"/>
              </w:rPr>
            </w:pPr>
            <w:r w:rsidRPr="00E87B11">
              <w:rPr>
                <w:rFonts w:ascii="Arial" w:hAnsi="Arial" w:cs="Arial"/>
                <w:color w:val="000000" w:themeColor="text1"/>
                <w:szCs w:val="24"/>
              </w:rPr>
              <w:lastRenderedPageBreak/>
              <w:t xml:space="preserve">Our Enforcement Database </w:t>
            </w:r>
            <w:r w:rsidR="00C13334" w:rsidRPr="00E87B11">
              <w:rPr>
                <w:rFonts w:ascii="Arial" w:hAnsi="Arial" w:cs="Arial"/>
                <w:color w:val="000000" w:themeColor="text1"/>
                <w:szCs w:val="24"/>
              </w:rPr>
              <w:t xml:space="preserve">has been checked to </w:t>
            </w:r>
            <w:r w:rsidR="00C13334" w:rsidRPr="00E87B11">
              <w:rPr>
                <w:rFonts w:ascii="Arial" w:hAnsi="Arial" w:cs="Arial"/>
                <w:color w:val="000000" w:themeColor="text1"/>
                <w:szCs w:val="24"/>
              </w:rPr>
              <w:lastRenderedPageBreak/>
              <w:t xml:space="preserve">ensure that all relevant convictions have been declared.  </w:t>
            </w:r>
          </w:p>
          <w:p w14:paraId="6C268BF1" w14:textId="77777777" w:rsidR="00C13334" w:rsidRPr="00E87B11" w:rsidRDefault="00C13334" w:rsidP="00053DA9">
            <w:pPr>
              <w:rPr>
                <w:rFonts w:ascii="Arial" w:hAnsi="Arial" w:cs="Arial"/>
                <w:color w:val="000000" w:themeColor="text1"/>
                <w:szCs w:val="24"/>
              </w:rPr>
            </w:pPr>
          </w:p>
          <w:p w14:paraId="6C268BF5" w14:textId="69F2A59E" w:rsidR="00C13334" w:rsidRPr="00E87B11" w:rsidRDefault="00C13334" w:rsidP="00053DA9">
            <w:pPr>
              <w:rPr>
                <w:rFonts w:ascii="Arial" w:hAnsi="Arial" w:cs="Arial"/>
                <w:color w:val="000000" w:themeColor="text1"/>
                <w:szCs w:val="24"/>
              </w:rPr>
            </w:pPr>
            <w:r w:rsidRPr="00E87B11">
              <w:rPr>
                <w:rFonts w:ascii="Arial" w:hAnsi="Arial" w:cs="Arial"/>
                <w:color w:val="000000" w:themeColor="text1"/>
                <w:szCs w:val="24"/>
              </w:rPr>
              <w:t xml:space="preserve">No relevant convictions were found. </w:t>
            </w:r>
          </w:p>
          <w:p w14:paraId="5479CE25" w14:textId="77777777" w:rsidR="00E87B11" w:rsidRPr="00E87B11" w:rsidRDefault="00E87B11" w:rsidP="00053DA9">
            <w:pPr>
              <w:rPr>
                <w:rFonts w:ascii="Arial" w:hAnsi="Arial" w:cs="Arial"/>
                <w:color w:val="000000" w:themeColor="text1"/>
                <w:szCs w:val="24"/>
              </w:rPr>
            </w:pPr>
          </w:p>
          <w:p w14:paraId="6C268BF6" w14:textId="77777777" w:rsidR="00C13334" w:rsidRPr="00E87B11" w:rsidRDefault="00C13334" w:rsidP="00053DA9">
            <w:pPr>
              <w:rPr>
                <w:rFonts w:ascii="Arial" w:hAnsi="Arial" w:cs="Arial"/>
                <w:color w:val="000000" w:themeColor="text1"/>
                <w:szCs w:val="24"/>
              </w:rPr>
            </w:pPr>
            <w:r w:rsidRPr="00E87B11">
              <w:rPr>
                <w:rFonts w:ascii="Arial" w:hAnsi="Arial" w:cs="Arial"/>
                <w:color w:val="000000" w:themeColor="text1"/>
                <w:szCs w:val="24"/>
              </w:rPr>
              <w:t>The operator satisfies the criteria in RGN 5 on Operator Competence.</w:t>
            </w:r>
          </w:p>
          <w:p w14:paraId="6C268BF7" w14:textId="77777777" w:rsidR="00CF487C" w:rsidRPr="00E87B11" w:rsidRDefault="00CF487C" w:rsidP="00053DA9">
            <w:pPr>
              <w:rPr>
                <w:rFonts w:ascii="Arial" w:hAnsi="Arial" w:cs="Arial"/>
                <w:color w:val="000000" w:themeColor="text1"/>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102FD2FC" w:rsidR="00C13334" w:rsidRPr="00CF487C" w:rsidRDefault="00DC641F" w:rsidP="00053DA9">
            <w:pPr>
              <w:pStyle w:val="Heading3"/>
              <w:rPr>
                <w:rFonts w:ascii="Arial" w:hAnsi="Arial" w:cs="Arial"/>
                <w:b w:val="0"/>
                <w:color w:val="000000"/>
                <w:szCs w:val="24"/>
              </w:rPr>
            </w:pPr>
            <w:r>
              <w:rPr>
                <w:rFonts w:ascii="Arial" w:hAnsi="Arial" w:cs="Arial"/>
                <w:b w:val="0"/>
                <w:color w:val="000000"/>
                <w:szCs w:val="24"/>
              </w:rPr>
              <w:t>f</w:t>
            </w:r>
            <w:r w:rsidR="00C13334" w:rsidRPr="00C47449">
              <w:rPr>
                <w:rFonts w:ascii="Arial" w:hAnsi="Arial" w:cs="Arial"/>
                <w:b w:val="0"/>
                <w:color w:val="000000"/>
                <w:szCs w:val="24"/>
              </w:rPr>
              <w:t xml:space="preserve">inancial </w:t>
            </w:r>
            <w:r w:rsidR="00085AF5" w:rsidRPr="00C47449">
              <w:rPr>
                <w:rFonts w:ascii="Arial" w:hAnsi="Arial" w:cs="Arial"/>
                <w:b w:val="0"/>
                <w:color w:val="000000"/>
                <w:szCs w:val="24"/>
              </w:rPr>
              <w:t>competence</w:t>
            </w:r>
          </w:p>
          <w:p w14:paraId="6C268BFB" w14:textId="3AC9F251"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E" w14:textId="78537D77" w:rsidR="00C13334" w:rsidRPr="00CF487C" w:rsidRDefault="00C13334" w:rsidP="00C54A1B">
            <w:pPr>
              <w:pStyle w:val="BodyText"/>
              <w:rPr>
                <w:rFonts w:ascii="Arial" w:hAnsi="Arial" w:cs="Arial"/>
                <w:color w:val="FF00FF"/>
                <w:szCs w:val="24"/>
              </w:rPr>
            </w:pPr>
            <w:r w:rsidRPr="00CF487C">
              <w:rPr>
                <w:rFonts w:ascii="Arial" w:hAnsi="Arial" w:cs="Arial"/>
                <w:color w:val="FF00FF"/>
                <w:szCs w:val="24"/>
              </w:rPr>
              <w:t xml:space="preserve"> </w:t>
            </w: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1"/>
      <w:footerReference w:type="default" r:id="rId12"/>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0238A"/>
    <w:rsid w:val="00015BEF"/>
    <w:rsid w:val="000436A8"/>
    <w:rsid w:val="00046EE1"/>
    <w:rsid w:val="00052697"/>
    <w:rsid w:val="00053DA9"/>
    <w:rsid w:val="00061243"/>
    <w:rsid w:val="00067A5C"/>
    <w:rsid w:val="00067E5F"/>
    <w:rsid w:val="00081421"/>
    <w:rsid w:val="00085AF5"/>
    <w:rsid w:val="000A0508"/>
    <w:rsid w:val="000B3080"/>
    <w:rsid w:val="000B5D8D"/>
    <w:rsid w:val="000C3151"/>
    <w:rsid w:val="000E54AC"/>
    <w:rsid w:val="000F3D3D"/>
    <w:rsid w:val="00113038"/>
    <w:rsid w:val="00120FD3"/>
    <w:rsid w:val="00124B9A"/>
    <w:rsid w:val="00130031"/>
    <w:rsid w:val="00132F70"/>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4CE8"/>
    <w:rsid w:val="002B52CB"/>
    <w:rsid w:val="002C2D76"/>
    <w:rsid w:val="002C3036"/>
    <w:rsid w:val="002C41CA"/>
    <w:rsid w:val="002C5B98"/>
    <w:rsid w:val="002D0A0C"/>
    <w:rsid w:val="002E7082"/>
    <w:rsid w:val="002F2FAB"/>
    <w:rsid w:val="002F41D1"/>
    <w:rsid w:val="0032564E"/>
    <w:rsid w:val="00331115"/>
    <w:rsid w:val="00334F16"/>
    <w:rsid w:val="00346CF0"/>
    <w:rsid w:val="00346E0C"/>
    <w:rsid w:val="00351A0A"/>
    <w:rsid w:val="003536E2"/>
    <w:rsid w:val="003636BE"/>
    <w:rsid w:val="0038174A"/>
    <w:rsid w:val="00382F62"/>
    <w:rsid w:val="003869DE"/>
    <w:rsid w:val="0039054D"/>
    <w:rsid w:val="00393524"/>
    <w:rsid w:val="003C0DE9"/>
    <w:rsid w:val="003C6618"/>
    <w:rsid w:val="003D1735"/>
    <w:rsid w:val="003D1803"/>
    <w:rsid w:val="003D5F9D"/>
    <w:rsid w:val="003F3681"/>
    <w:rsid w:val="00404B8A"/>
    <w:rsid w:val="00406AF4"/>
    <w:rsid w:val="00416EA2"/>
    <w:rsid w:val="0041731F"/>
    <w:rsid w:val="0044196C"/>
    <w:rsid w:val="00443A6A"/>
    <w:rsid w:val="00444D3F"/>
    <w:rsid w:val="004528E2"/>
    <w:rsid w:val="00455B72"/>
    <w:rsid w:val="00465BB5"/>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37D94"/>
    <w:rsid w:val="00640584"/>
    <w:rsid w:val="00641913"/>
    <w:rsid w:val="00646BEE"/>
    <w:rsid w:val="00652CCB"/>
    <w:rsid w:val="00672330"/>
    <w:rsid w:val="006765AE"/>
    <w:rsid w:val="006926EA"/>
    <w:rsid w:val="0069286B"/>
    <w:rsid w:val="006933D4"/>
    <w:rsid w:val="006968C0"/>
    <w:rsid w:val="006A204E"/>
    <w:rsid w:val="006A3F57"/>
    <w:rsid w:val="006B36C1"/>
    <w:rsid w:val="006B4555"/>
    <w:rsid w:val="006C1C37"/>
    <w:rsid w:val="006D061C"/>
    <w:rsid w:val="006E1277"/>
    <w:rsid w:val="006E6208"/>
    <w:rsid w:val="006E71E0"/>
    <w:rsid w:val="006F4CBC"/>
    <w:rsid w:val="00702F85"/>
    <w:rsid w:val="00704142"/>
    <w:rsid w:val="00711CD7"/>
    <w:rsid w:val="00712437"/>
    <w:rsid w:val="0071331C"/>
    <w:rsid w:val="0072381C"/>
    <w:rsid w:val="00726B0F"/>
    <w:rsid w:val="007335DF"/>
    <w:rsid w:val="00751B6E"/>
    <w:rsid w:val="00773847"/>
    <w:rsid w:val="00792990"/>
    <w:rsid w:val="00794AAD"/>
    <w:rsid w:val="007A1244"/>
    <w:rsid w:val="007B0A5C"/>
    <w:rsid w:val="007B16D3"/>
    <w:rsid w:val="007C5397"/>
    <w:rsid w:val="007D263F"/>
    <w:rsid w:val="007D2A88"/>
    <w:rsid w:val="007D2C10"/>
    <w:rsid w:val="007E480F"/>
    <w:rsid w:val="007F1354"/>
    <w:rsid w:val="00803A57"/>
    <w:rsid w:val="008250A0"/>
    <w:rsid w:val="0083465D"/>
    <w:rsid w:val="008402B8"/>
    <w:rsid w:val="00842D84"/>
    <w:rsid w:val="00845F8E"/>
    <w:rsid w:val="00850CDB"/>
    <w:rsid w:val="00863D0F"/>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31B89"/>
    <w:rsid w:val="00933BA4"/>
    <w:rsid w:val="00945712"/>
    <w:rsid w:val="00957A72"/>
    <w:rsid w:val="00957F2B"/>
    <w:rsid w:val="0096635C"/>
    <w:rsid w:val="009837ED"/>
    <w:rsid w:val="009864F9"/>
    <w:rsid w:val="00987A94"/>
    <w:rsid w:val="00993308"/>
    <w:rsid w:val="00995381"/>
    <w:rsid w:val="009963FC"/>
    <w:rsid w:val="009B4CE8"/>
    <w:rsid w:val="009B5812"/>
    <w:rsid w:val="009B7411"/>
    <w:rsid w:val="00A20C40"/>
    <w:rsid w:val="00A26D0C"/>
    <w:rsid w:val="00A343C7"/>
    <w:rsid w:val="00A50874"/>
    <w:rsid w:val="00A569FF"/>
    <w:rsid w:val="00A70EE2"/>
    <w:rsid w:val="00A713FE"/>
    <w:rsid w:val="00A77D4D"/>
    <w:rsid w:val="00A9508A"/>
    <w:rsid w:val="00AA4DA1"/>
    <w:rsid w:val="00AB01D1"/>
    <w:rsid w:val="00AC2187"/>
    <w:rsid w:val="00AC3E94"/>
    <w:rsid w:val="00AC66F9"/>
    <w:rsid w:val="00AD3417"/>
    <w:rsid w:val="00AD3B35"/>
    <w:rsid w:val="00AD4B61"/>
    <w:rsid w:val="00AD4DCA"/>
    <w:rsid w:val="00AD731D"/>
    <w:rsid w:val="00AE70BF"/>
    <w:rsid w:val="00AF58E5"/>
    <w:rsid w:val="00B00F7A"/>
    <w:rsid w:val="00B1031F"/>
    <w:rsid w:val="00B10601"/>
    <w:rsid w:val="00B115E1"/>
    <w:rsid w:val="00B14CBC"/>
    <w:rsid w:val="00B15588"/>
    <w:rsid w:val="00B168F4"/>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3482"/>
    <w:rsid w:val="00C13334"/>
    <w:rsid w:val="00C13AFE"/>
    <w:rsid w:val="00C21440"/>
    <w:rsid w:val="00C24149"/>
    <w:rsid w:val="00C43A22"/>
    <w:rsid w:val="00C44B7E"/>
    <w:rsid w:val="00C47449"/>
    <w:rsid w:val="00C54A1B"/>
    <w:rsid w:val="00C55EDD"/>
    <w:rsid w:val="00C55FD8"/>
    <w:rsid w:val="00C805AA"/>
    <w:rsid w:val="00C85FD5"/>
    <w:rsid w:val="00C87C84"/>
    <w:rsid w:val="00C91798"/>
    <w:rsid w:val="00CA4E7D"/>
    <w:rsid w:val="00CA62D3"/>
    <w:rsid w:val="00CA716B"/>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C641F"/>
    <w:rsid w:val="00DE09DD"/>
    <w:rsid w:val="00DE57FB"/>
    <w:rsid w:val="00DE632F"/>
    <w:rsid w:val="00E234E1"/>
    <w:rsid w:val="00E259E7"/>
    <w:rsid w:val="00E450D5"/>
    <w:rsid w:val="00E46E7F"/>
    <w:rsid w:val="00E512FF"/>
    <w:rsid w:val="00E71881"/>
    <w:rsid w:val="00E723B6"/>
    <w:rsid w:val="00E80F5A"/>
    <w:rsid w:val="00E82945"/>
    <w:rsid w:val="00E839B9"/>
    <w:rsid w:val="00E87B11"/>
    <w:rsid w:val="00EA142C"/>
    <w:rsid w:val="00EA3AB8"/>
    <w:rsid w:val="00EA4DEE"/>
    <w:rsid w:val="00EB010F"/>
    <w:rsid w:val="00ED1D92"/>
    <w:rsid w:val="00ED50CB"/>
    <w:rsid w:val="00EE5639"/>
    <w:rsid w:val="00EF24CB"/>
    <w:rsid w:val="00EF3A86"/>
    <w:rsid w:val="00F0619C"/>
    <w:rsid w:val="00F07E4B"/>
    <w:rsid w:val="00F22A07"/>
    <w:rsid w:val="00F23E58"/>
    <w:rsid w:val="00F30DC8"/>
    <w:rsid w:val="00F348D7"/>
    <w:rsid w:val="00F37C15"/>
    <w:rsid w:val="00F43B72"/>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78499d3b-94a8-4059-8763-489d4400b14a" ContentTypeId="0x01010067EB80C5FE939D4A9B3D8BA62129B7F501" PreviousValue="false"/>
</file>

<file path=customXml/item2.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B27737A49D284E44871F7EF7CCD86771" ma:contentTypeVersion="551" ma:contentTypeDescription="" ma:contentTypeScope="" ma:versionID="ce2a4411064c95388fd7e3ff18396cac">
  <xsd:schema xmlns:xsd="http://www.w3.org/2001/XMLSchema" xmlns:xs="http://www.w3.org/2001/XMLSchema" xmlns:p="http://schemas.microsoft.com/office/2006/metadata/properties" xmlns:ns2="9be56660-2c31-41ef-bc00-23e72f632f2a" targetNamespace="http://schemas.microsoft.com/office/2006/metadata/properties" ma:root="true" ma:fieldsID="a496da9bec43fe7af7574a0086ef815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79286B1-0400-4016-9695-579FF39A54C3}">
  <ds:schemaRefs>
    <ds:schemaRef ds:uri="Microsoft.SharePoint.Taxonomy.ContentTypeSync"/>
  </ds:schemaRefs>
</ds:datastoreItem>
</file>

<file path=customXml/itemProps2.xml><?xml version="1.0" encoding="utf-8"?>
<ds:datastoreItem xmlns:ds="http://schemas.openxmlformats.org/officeDocument/2006/customXml" ds:itemID="{9506CA22-0FA9-4734-89B1-71388BE71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5757DF-42B3-48D3-9FA3-41D19B49861B}">
  <ds:schemaRefs>
    <ds:schemaRef ds:uri="http://schemas.microsoft.com/sharepoint/v3/contenttype/forms"/>
  </ds:schemaRefs>
</ds:datastoreItem>
</file>

<file path=customXml/itemProps4.xml><?xml version="1.0" encoding="utf-8"?>
<ds:datastoreItem xmlns:ds="http://schemas.openxmlformats.org/officeDocument/2006/customXml" ds:itemID="{64B0AB28-8591-43C0-9322-A8D35571AF0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3</cp:revision>
  <cp:lastPrinted>2010-03-19T12:06:00Z</cp:lastPrinted>
  <dcterms:created xsi:type="dcterms:W3CDTF">2025-06-19T15:02:00Z</dcterms:created>
  <dcterms:modified xsi:type="dcterms:W3CDTF">2025-08-13T12:45:00Z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0x01010067EB80C5FE939D4A9B3D8BA62129B7F50100B27737A49D284E44871F7EF7CCD86771</vt:lpwstr>
  </property>
</Properties>
</file>