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012"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inline distB="0" distT="0" distL="0" distR="0">
            <wp:extent cx="2148232" cy="2215324"/>
            <wp:effectExtent b="0" l="0" r="0" t="0"/>
            <wp:docPr id="39"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148232" cy="2215324"/>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Style w:val="Heading1"/>
        <w:spacing w:before="52" w:lineRule="auto"/>
        <w:ind w:left="2534" w:right="2688" w:firstLine="0"/>
        <w:jc w:val="center"/>
        <w:rPr/>
      </w:pPr>
      <w:r w:rsidDel="00000000" w:rsidR="00000000" w:rsidRPr="00000000">
        <w:rPr>
          <w:rtl w:val="0"/>
        </w:rPr>
        <w:t xml:space="preserve">For the Love of the Sea Limited A Community Benefit Society</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2" w:line="240" w:lineRule="auto"/>
        <w:ind w:left="0"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5">
      <w:pPr>
        <w:pStyle w:val="Title"/>
        <w:spacing w:line="400" w:lineRule="auto"/>
        <w:ind w:left="151" w:right="306" w:firstLine="0"/>
        <w:rPr/>
      </w:pPr>
      <w:r w:rsidDel="00000000" w:rsidR="00000000" w:rsidRPr="00000000">
        <w:rPr>
          <w:rtl w:val="0"/>
        </w:rPr>
        <w:t xml:space="preserve">An application to expand Câr-Y-Môr’s 2 Trial seaweed &amp; shellfish IMTA sites in the Ramsey Sound,</w:t>
      </w:r>
    </w:p>
    <w:p w:rsidR="00000000" w:rsidDel="00000000" w:rsidP="00000000" w:rsidRDefault="00000000" w:rsidRPr="00000000" w14:paraId="00000006">
      <w:pPr>
        <w:pStyle w:val="Title"/>
        <w:spacing w:line="400" w:lineRule="auto"/>
        <w:rPr/>
      </w:pPr>
      <w:r w:rsidDel="00000000" w:rsidR="00000000" w:rsidRPr="00000000">
        <w:rPr>
          <w:rtl w:val="0"/>
        </w:rPr>
        <w:t xml:space="preserve">Environmental Impact Statement and Document to inform a Habitats Regulation Assessment</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 w:line="240" w:lineRule="auto"/>
        <w:ind w:left="0" w:right="0" w:firstLine="0"/>
        <w:jc w:val="left"/>
        <w:rPr>
          <w:rFonts w:ascii="Arial" w:cs="Arial" w:eastAsia="Arial" w:hAnsi="Arial"/>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A">
      <w:pPr>
        <w:pStyle w:val="Heading3"/>
        <w:ind w:left="0" w:right="154" w:firstLine="0"/>
        <w:jc w:val="center"/>
        <w:rPr/>
      </w:pPr>
      <w:r w:rsidDel="00000000" w:rsidR="00000000" w:rsidRPr="00000000">
        <w:rPr>
          <w:rtl w:val="0"/>
        </w:rPr>
        <w:t xml:space="preserve">An assessment for Natural Resources Wales, to support a license application</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3" w:right="6383" w:firstLine="0"/>
        <w:jc w:val="left"/>
        <w:rPr>
          <w:rFonts w:ascii="Arial" w:cs="Arial" w:eastAsia="Arial" w:hAnsi="Arial"/>
          <w:b w:val="0"/>
          <w:i w:val="0"/>
          <w:smallCaps w:val="0"/>
          <w:strike w:val="0"/>
          <w:color w:val="000000"/>
          <w:sz w:val="22"/>
          <w:szCs w:val="22"/>
          <w:u w:val="none"/>
          <w:shd w:fill="auto" w:val="clear"/>
          <w:vertAlign w:val="baseline"/>
        </w:rPr>
        <w:sectPr>
          <w:pgSz w:h="16840" w:w="11920" w:orient="portrait"/>
          <w:pgMar w:bottom="280" w:top="740" w:left="1275" w:right="1133" w:header="720" w:footer="720"/>
          <w:pgNumType w:start="1"/>
        </w:sect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Contact: </w:t>
      </w:r>
      <w:hyperlink r:id="rId8">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beth@carymor.wales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Arial" w:cs="Arial" w:eastAsia="Arial" w:hAnsi="Arial"/>
          <w:b w:val="0"/>
          <w:i w:val="0"/>
          <w:smallCaps w:val="0"/>
          <w:strike w:val="0"/>
          <w:color w:val="000000"/>
          <w:sz w:val="17"/>
          <w:szCs w:val="17"/>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7"/>
          <w:szCs w:val="17"/>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sectPr>
          <w:headerReference r:id="rId9" w:type="default"/>
          <w:footerReference r:id="rId10" w:type="default"/>
          <w:type w:val="nextPage"/>
          <w:pgSz w:h="16840" w:w="11920" w:orient="portrait"/>
          <w:pgMar w:bottom="1080" w:top="920" w:left="1275" w:right="1133" w:header="716" w:footer="885"/>
        </w:sect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This document is intended to provide NRW with an overview of both the direct and indirect potential impact pathways of the expansions to Carn Ar Wig and Porthlysgi  in Pembrokeshire Marine SAC to enable a HRA to be carried out by their team. The Water Framework Directive (WFD) Assessment guidance has been followed and documents for Scoping, Screening and a Detailed Assessment have been provided. A separate document to inform a Physical Processes Assessment has also been submitted which includes information on hydro-dynamics, and INNS have been assessed already in the “7 - Car-Y-Mor license - INNS Biosecurity RA and Management Plan.docx.” submitted in the original application which details potential pathways for INNS on our farms and what mitigation measures are in place to minimise this. Detailed information on other aspects of the project including the project overview and justification, stakeholder engagement and a detailed report on the benthic habitats and future monitoring of these habitats can be found in the supporting documents submitted with this marine license application.</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 w:line="240" w:lineRule="auto"/>
        <w:ind w:left="0" w:right="0" w:firstLine="0"/>
        <w:jc w:val="left"/>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A">
      <w:pPr>
        <w:pStyle w:val="Heading1"/>
        <w:tabs>
          <w:tab w:val="left" w:leader="none" w:pos="682"/>
        </w:tabs>
        <w:ind w:left="143" w:firstLine="0"/>
        <w:rPr>
          <w:rFonts w:ascii="Times New Roman" w:cs="Times New Roman" w:eastAsia="Times New Roman" w:hAnsi="Times New Roman"/>
        </w:rPr>
      </w:pPr>
      <w:r w:rsidDel="00000000" w:rsidR="00000000" w:rsidRPr="00000000">
        <w:rPr>
          <w:rtl w:val="0"/>
        </w:rPr>
        <w:t xml:space="preserve">Potential impacts, risks and mitigation measures</w:t>
      </w:r>
      <w:r w:rsidDel="00000000" w:rsidR="00000000" w:rsidRPr="00000000">
        <w:rPr>
          <w:rtl w:val="0"/>
        </w:rPr>
      </w:r>
    </w:p>
    <w:p w:rsidR="00000000" w:rsidDel="00000000" w:rsidP="00000000" w:rsidRDefault="00000000" w:rsidRPr="00000000" w14:paraId="0000001B">
      <w:pPr>
        <w:pStyle w:val="Heading2"/>
        <w:tabs>
          <w:tab w:val="left" w:leader="none" w:pos="603"/>
          <w:tab w:val="left" w:leader="none" w:pos="713"/>
        </w:tabs>
        <w:spacing w:before="120" w:line="280" w:lineRule="auto"/>
        <w:ind w:left="143" w:right="308" w:firstLine="0"/>
        <w:rPr/>
      </w:pPr>
      <w:r w:rsidDel="00000000" w:rsidR="00000000" w:rsidRPr="00000000">
        <w:rPr>
          <w:rtl w:val="0"/>
        </w:rPr>
        <w:t xml:space="preserve">Screening Assessment for Appropriate Assessment - for preparation of Habitats Regulation Assessment</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1" w:lineRule="auto"/>
        <w:ind w:left="143" w:right="0" w:firstLine="0"/>
        <w:jc w:val="left"/>
        <w:rPr>
          <w:rFonts w:ascii="Arial" w:cs="Arial" w:eastAsia="Arial" w:hAnsi="Arial"/>
          <w:b w:val="0"/>
          <w:i w:val="0"/>
          <w:smallCaps w:val="0"/>
          <w:strike w:val="0"/>
          <w:color w:val="000000"/>
          <w:sz w:val="22"/>
          <w:szCs w:val="22"/>
          <w:u w:val="single"/>
          <w:shd w:fill="auto" w:val="clear"/>
          <w:vertAlign w:val="baseline"/>
        </w:rPr>
      </w:pP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Table 1 Screening Assessment</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1"/>
        <w:tblW w:w="8840.0" w:type="dxa"/>
        <w:jc w:val="left"/>
        <w:tblInd w:w="2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8840"/>
        <w:tblGridChange w:id="0">
          <w:tblGrid>
            <w:gridCol w:w="8840"/>
          </w:tblGrid>
        </w:tblGridChange>
      </w:tblGrid>
      <w:tr>
        <w:trPr>
          <w:cantSplit w:val="0"/>
          <w:trHeight w:val="919" w:hRule="atLeast"/>
          <w:tblHeader w:val="0"/>
        </w:trPr>
        <w:tc>
          <w:tcPr>
            <w:shd w:fill="99ccff" w:val="clear"/>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233"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 There is no impact pathway from the proposal to the designated feature</w:t>
            </w:r>
          </w:p>
        </w:tc>
      </w:tr>
      <w:tr>
        <w:trPr>
          <w:cantSplit w:val="0"/>
          <w:trHeight w:val="940" w:hRule="atLeast"/>
          <w:tblHeader w:val="0"/>
        </w:trPr>
        <w:tc>
          <w:tcPr>
            <w:shd w:fill="99cc00" w:val="clear"/>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33"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 There is an impact pathway in principle, but significant effects can be ruled out</w:t>
            </w:r>
          </w:p>
        </w:tc>
      </w:tr>
      <w:tr>
        <w:trPr>
          <w:cantSplit w:val="0"/>
          <w:trHeight w:val="919" w:hRule="atLeast"/>
          <w:tblHeader w:val="0"/>
        </w:trPr>
        <w:tc>
          <w:tcPr>
            <w:shd w:fill="ffff99" w:val="clear"/>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233"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 There is an impact pathway and significant effects cannot be ruled out</w:t>
            </w:r>
          </w:p>
        </w:tc>
      </w:tr>
    </w:tbl>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sectPr>
          <w:headerReference r:id="rId11" w:type="default"/>
          <w:footerReference r:id="rId12" w:type="default"/>
          <w:type w:val="nextPage"/>
          <w:pgSz w:h="16840" w:w="11920" w:orient="portrait"/>
          <w:pgMar w:bottom="1060" w:top="920" w:left="1275" w:right="1133" w:header="716" w:footer="877"/>
        </w:sectPr>
      </w:pPr>
      <w:r w:rsidDel="00000000" w:rsidR="00000000" w:rsidRPr="00000000">
        <w:rPr>
          <w:rtl w:val="0"/>
        </w:rPr>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2"/>
        <w:tblW w:w="9387.0" w:type="dxa"/>
        <w:jc w:val="left"/>
        <w:tblInd w:w="14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2263"/>
        <w:gridCol w:w="3680"/>
        <w:gridCol w:w="3444"/>
        <w:tblGridChange w:id="0">
          <w:tblGrid>
            <w:gridCol w:w="2263"/>
            <w:gridCol w:w="3680"/>
            <w:gridCol w:w="3444"/>
          </w:tblGrid>
        </w:tblGridChange>
      </w:tblGrid>
      <w:tr>
        <w:trPr>
          <w:cantSplit w:val="0"/>
          <w:trHeight w:val="959" w:hRule="atLeast"/>
          <w:tblHeader w:val="0"/>
        </w:trPr>
        <w:tc>
          <w:tcPr>
            <w:vMerge w:val="restart"/>
            <w:tcBorders>
              <w:left w:color="000000" w:space="0" w:sz="4" w:val="single"/>
            </w:tcBorders>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48" w:right="256"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European Marine Site and Conservation Features</w:t>
            </w:r>
          </w:p>
        </w:tc>
        <w:tc>
          <w:tcPr>
            <w:gridSpan w:val="2"/>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Assessment of likelihood of significant effect</w:t>
            </w:r>
          </w:p>
        </w:tc>
      </w:tr>
      <w:tr>
        <w:trPr>
          <w:cantSplit w:val="0"/>
          <w:trHeight w:val="2259" w:hRule="atLeast"/>
          <w:tblHeader w:val="0"/>
        </w:trPr>
        <w:tc>
          <w:tcPr>
            <w:vMerge w:val="continue"/>
            <w:tcBorders>
              <w:left w:color="000000" w:space="0" w:sz="4" w:val="single"/>
            </w:tcBorders>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4"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97" w:right="284"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Relevant conservation objectives</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97" w:right="284"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*Insert relevant conservation objectives from NRW Reg 35 advice document</w:t>
            </w:r>
          </w:p>
        </w:tc>
        <w:tc>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4"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6" w:right="195"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Potential impact pathway</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0" w:lineRule="auto"/>
              <w:ind w:left="216" w:right="193"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*For each row assign appropriate colour and number(s) (as above) and give short explanation as required</w:t>
            </w:r>
          </w:p>
        </w:tc>
      </w:tr>
      <w:tr>
        <w:trPr>
          <w:cantSplit w:val="0"/>
          <w:trHeight w:val="960" w:hRule="atLeast"/>
          <w:tblHeader w:val="0"/>
        </w:trPr>
        <w:tc>
          <w:tcPr>
            <w:gridSpan w:val="3"/>
            <w:shd w:fill="bfbfbf" w:val="clear"/>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48"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Pembrokeshire Marine / Sir Benfro Forol SAC</w:t>
            </w:r>
          </w:p>
        </w:tc>
      </w:tr>
      <w:tr>
        <w:trPr>
          <w:cantSplit w:val="0"/>
          <w:trHeight w:val="2020" w:hRule="atLeast"/>
          <w:tblHeader w:val="0"/>
        </w:trPr>
        <w:tc>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4"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48"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Allis shad</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 w:line="240" w:lineRule="auto"/>
              <w:ind w:left="248"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Alosa alosa</w:t>
            </w:r>
          </w:p>
        </w:tc>
        <w:tc>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4"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530" w:lineRule="auto"/>
              <w:ind w:left="233" w:right="1683"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Range Populations Typical species</w:t>
            </w:r>
          </w:p>
        </w:tc>
        <w:tc>
          <w:tcPr>
            <w:shd w:fill="99ccff" w:val="clear"/>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4"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37" w:right="207"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There will be no interaction between the project and this species feature due to the methods and equipment deployed will not capture, harm the species or its habitat.</w:t>
            </w:r>
          </w:p>
        </w:tc>
      </w:tr>
      <w:tr>
        <w:trPr>
          <w:cantSplit w:val="0"/>
          <w:trHeight w:val="2020" w:hRule="atLeast"/>
          <w:tblHeader w:val="0"/>
        </w:trPr>
        <w:tc>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48" w:right="296"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Twaite shad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Alosa fallax</w:t>
            </w:r>
          </w:p>
        </w:tc>
        <w:tc>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530" w:lineRule="auto"/>
              <w:ind w:left="233" w:right="1683"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Range Populations Typical species</w:t>
            </w:r>
          </w:p>
        </w:tc>
        <w:tc>
          <w:tcPr>
            <w:shd w:fill="99ccff" w:val="clear"/>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37" w:right="207"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There will be no interaction between the project and this species feature due to the methods and equipment deployed will not capture, harm the species or its habitat.</w:t>
            </w:r>
          </w:p>
        </w:tc>
      </w:tr>
      <w:tr>
        <w:trPr>
          <w:cantSplit w:val="0"/>
          <w:trHeight w:val="2039" w:hRule="atLeast"/>
          <w:tblHeader w:val="0"/>
        </w:trPr>
        <w:tc>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48" w:right="296"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Sea lamprey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Petromyzo n marinus</w:t>
            </w:r>
          </w:p>
        </w:tc>
        <w:tc>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530" w:lineRule="auto"/>
              <w:ind w:left="233" w:right="1683"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Range Populations Typical species</w:t>
            </w:r>
          </w:p>
        </w:tc>
        <w:tc>
          <w:tcPr>
            <w:shd w:fill="99ccff" w:val="clear"/>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37" w:right="207"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There will be no interaction between the project and this species feature due to the methods and equipment deployed will not capture, harm the species or its habitat.</w:t>
            </w:r>
          </w:p>
        </w:tc>
      </w:tr>
      <w:tr>
        <w:trPr>
          <w:cantSplit w:val="0"/>
          <w:trHeight w:val="2020" w:hRule="atLeast"/>
          <w:tblHeader w:val="0"/>
        </w:trPr>
        <w:tc>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4"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48" w:right="443"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River lamprey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Lampetra fluviatilis</w:t>
            </w:r>
          </w:p>
        </w:tc>
        <w:tc>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4"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530" w:lineRule="auto"/>
              <w:ind w:left="233" w:right="1683"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Range Populations Typical species</w:t>
            </w:r>
          </w:p>
        </w:tc>
        <w:tc>
          <w:tcPr>
            <w:shd w:fill="99ccff" w:val="clear"/>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4"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37" w:right="207"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There will be no interaction between the project and this species feature due to the methods and equipment deployed will not capture, harm the species or its habitat.</w:t>
            </w:r>
          </w:p>
        </w:tc>
      </w:tr>
    </w:tbl>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sectPr>
          <w:type w:val="nextPage"/>
          <w:pgSz w:h="16840" w:w="11920" w:orient="portrait"/>
          <w:pgMar w:bottom="1060" w:top="920" w:left="1275" w:right="1133" w:header="716" w:footer="877"/>
        </w:sectPr>
      </w:pPr>
      <w:r w:rsidDel="00000000" w:rsidR="00000000" w:rsidRPr="00000000">
        <w:rPr>
          <w:rtl w:val="0"/>
        </w:rPr>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3"/>
        <w:tblW w:w="9080.0" w:type="dxa"/>
        <w:jc w:val="left"/>
        <w:tblInd w:w="14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1560"/>
        <w:gridCol w:w="3640"/>
        <w:gridCol w:w="3880"/>
        <w:tblGridChange w:id="0">
          <w:tblGrid>
            <w:gridCol w:w="1560"/>
            <w:gridCol w:w="3640"/>
            <w:gridCol w:w="3880"/>
          </w:tblGrid>
        </w:tblGridChange>
      </w:tblGrid>
      <w:tr>
        <w:trPr>
          <w:cantSplit w:val="0"/>
          <w:trHeight w:val="1980" w:hRule="atLeast"/>
          <w:tblHeader w:val="0"/>
        </w:trPr>
        <w:tc>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48" w:right="33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Otter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Lutra lutra</w:t>
            </w:r>
          </w:p>
        </w:tc>
        <w:tc>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530" w:lineRule="auto"/>
              <w:ind w:left="233" w:right="1683"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Range Populations Typical species</w:t>
            </w:r>
          </w:p>
        </w:tc>
        <w:tc>
          <w:tcPr>
            <w:shd w:fill="91d04f" w:val="clear"/>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37" w:right="207"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There is an impact pathway in principle, but significant effects can be ruled out due to the small scale and location of the activity</w:t>
            </w:r>
          </w:p>
        </w:tc>
      </w:tr>
      <w:tr>
        <w:trPr>
          <w:cantSplit w:val="0"/>
          <w:trHeight w:val="1959" w:hRule="atLeast"/>
          <w:tblHeader w:val="0"/>
        </w:trPr>
        <w:tc>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0" w:lineRule="auto"/>
              <w:ind w:left="248"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Grey Seal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Halichoerus grypus</w:t>
            </w:r>
          </w:p>
        </w:tc>
        <w:tc>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530" w:lineRule="auto"/>
              <w:ind w:left="233" w:right="1683"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Range Populations Typical species</w:t>
            </w:r>
          </w:p>
        </w:tc>
        <w:tc>
          <w:tcPr>
            <w:shd w:fill="ffff99" w:val="clear"/>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216" w:right="195"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1, 3, 6</w:t>
            </w:r>
          </w:p>
        </w:tc>
      </w:tr>
      <w:tr>
        <w:trPr>
          <w:cantSplit w:val="0"/>
          <w:trHeight w:val="1980" w:hRule="atLeast"/>
          <w:tblHeader w:val="0"/>
        </w:trPr>
        <w:tc>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0" w:lineRule="auto"/>
              <w:ind w:left="248" w:right="33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Shore dock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Rumex rupestris</w:t>
            </w:r>
          </w:p>
        </w:tc>
        <w:tc>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530" w:lineRule="auto"/>
              <w:ind w:left="233" w:right="1683"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Range Populations Typical species</w:t>
            </w:r>
          </w:p>
        </w:tc>
        <w:tc>
          <w:tcPr>
            <w:shd w:fill="99ccff" w:val="clear"/>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0" w:lineRule="auto"/>
              <w:ind w:left="237" w:right="207"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There will be no interaction between the project and this species feature due to the disparity in the locations of the activity and the feature.</w:t>
            </w:r>
          </w:p>
        </w:tc>
      </w:tr>
      <w:tr>
        <w:trPr>
          <w:cantSplit w:val="0"/>
          <w:trHeight w:val="2299" w:hRule="atLeast"/>
          <w:tblHeader w:val="0"/>
        </w:trPr>
        <w:tc>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48" w:right="278"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Sandbanks which are slightly covered by sea water all the time</w:t>
            </w:r>
          </w:p>
        </w:tc>
        <w:tc>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530" w:lineRule="auto"/>
              <w:ind w:left="233" w:right="689"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Structure and function Range</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233"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Typical species</w:t>
            </w:r>
          </w:p>
        </w:tc>
        <w:tc>
          <w:tcPr>
            <w:shd w:fill="99ccff" w:val="clear"/>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37" w:right="207"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There will be no interaction between the project and this species feature due to the disparity in the locations of the activity and the feature.</w:t>
            </w:r>
          </w:p>
        </w:tc>
      </w:tr>
      <w:tr>
        <w:trPr>
          <w:cantSplit w:val="0"/>
          <w:trHeight w:val="1960" w:hRule="atLeast"/>
          <w:tblHeader w:val="0"/>
        </w:trPr>
        <w:tc>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48"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Estuaries</w:t>
            </w:r>
          </w:p>
        </w:tc>
        <w:tc>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530" w:lineRule="auto"/>
              <w:ind w:left="233" w:right="689"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Structure and function Range</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33"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Typical species</w:t>
            </w:r>
          </w:p>
        </w:tc>
        <w:tc>
          <w:tcPr>
            <w:shd w:fill="99ccff" w:val="clear"/>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37" w:right="207"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There will be no interaction between the project and this species feature due to the disparity in the locations of the activity and the feature.</w:t>
            </w:r>
          </w:p>
        </w:tc>
      </w:tr>
      <w:tr>
        <w:trPr>
          <w:cantSplit w:val="0"/>
          <w:trHeight w:val="2560" w:hRule="atLeast"/>
          <w:tblHeader w:val="0"/>
        </w:trPr>
        <w:tc>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2"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48" w:right="245"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Mudflats and sandflats not covered by sea water at low tide</w:t>
            </w:r>
          </w:p>
        </w:tc>
        <w:tc>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2"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530" w:lineRule="auto"/>
              <w:ind w:left="233" w:right="689"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Structure and function Range</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33"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Typical species</w:t>
            </w:r>
          </w:p>
        </w:tc>
        <w:tc>
          <w:tcPr>
            <w:shd w:fill="99ccff" w:val="clear"/>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2"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37" w:right="207"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There will be no interaction between the project and this species feature due to the disparity in the locations of the activity and the feature.</w:t>
            </w:r>
          </w:p>
        </w:tc>
      </w:tr>
    </w:tbl>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sectPr>
          <w:type w:val="nextPage"/>
          <w:pgSz w:h="16840" w:w="11920" w:orient="portrait"/>
          <w:pgMar w:bottom="1060" w:top="920" w:left="1275" w:right="1133" w:header="716" w:footer="877"/>
        </w:sectPr>
      </w:pPr>
      <w:r w:rsidDel="00000000" w:rsidR="00000000" w:rsidRPr="00000000">
        <w:rPr>
          <w:rtl w:val="0"/>
        </w:rPr>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4"/>
        <w:tblW w:w="9080.0" w:type="dxa"/>
        <w:jc w:val="left"/>
        <w:tblInd w:w="14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1560"/>
        <w:gridCol w:w="3640"/>
        <w:gridCol w:w="3880"/>
        <w:tblGridChange w:id="0">
          <w:tblGrid>
            <w:gridCol w:w="1560"/>
            <w:gridCol w:w="3640"/>
            <w:gridCol w:w="3880"/>
          </w:tblGrid>
        </w:tblGridChange>
      </w:tblGrid>
      <w:tr>
        <w:trPr>
          <w:cantSplit w:val="0"/>
          <w:trHeight w:val="1980" w:hRule="atLeast"/>
          <w:tblHeader w:val="0"/>
        </w:trPr>
        <w:tc>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48" w:right="585"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Coastal lagoons</w:t>
            </w:r>
          </w:p>
        </w:tc>
        <w:tc>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530" w:lineRule="auto"/>
              <w:ind w:left="233" w:right="689"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Structure and function Range</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33"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Typical species</w:t>
            </w:r>
          </w:p>
        </w:tc>
        <w:tc>
          <w:tcPr>
            <w:shd w:fill="99ccff" w:val="clear"/>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37" w:right="285"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There will be no interaction between the project and this habitat feature due to the disparity in the locations of the activity and the feature.</w:t>
            </w:r>
          </w:p>
        </w:tc>
      </w:tr>
      <w:tr>
        <w:trPr>
          <w:cantSplit w:val="0"/>
          <w:trHeight w:val="1959" w:hRule="atLeast"/>
          <w:tblHeader w:val="0"/>
        </w:trPr>
        <w:tc>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0" w:lineRule="auto"/>
              <w:ind w:left="248" w:right="429"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Large shallow inlets and bays</w:t>
            </w:r>
          </w:p>
        </w:tc>
        <w:tc>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530" w:lineRule="auto"/>
              <w:ind w:left="233" w:right="689"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Structure and function Range</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33"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Typical species</w:t>
            </w:r>
          </w:p>
        </w:tc>
        <w:tc>
          <w:tcPr>
            <w:shd w:fill="ffff99" w:val="clear"/>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216" w:right="195"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2, 4</w:t>
            </w:r>
          </w:p>
        </w:tc>
      </w:tr>
      <w:tr>
        <w:trPr>
          <w:cantSplit w:val="0"/>
          <w:trHeight w:val="1980" w:hRule="atLeast"/>
          <w:tblHeader w:val="0"/>
        </w:trPr>
        <w:tc>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248"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Reefs</w:t>
            </w:r>
          </w:p>
        </w:tc>
        <w:tc>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530" w:lineRule="auto"/>
              <w:ind w:left="233" w:right="689"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Structure and function Range</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33"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Typical species</w:t>
            </w:r>
          </w:p>
        </w:tc>
        <w:tc>
          <w:tcPr>
            <w:shd w:fill="ffff99" w:val="clear"/>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216" w:right="195"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w:t>
            </w:r>
          </w:p>
        </w:tc>
      </w:tr>
      <w:tr>
        <w:trPr>
          <w:cantSplit w:val="0"/>
          <w:trHeight w:val="2560" w:hRule="atLeast"/>
          <w:tblHeader w:val="0"/>
        </w:trPr>
        <w:tc>
          <w:tcPr/>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48" w:right="278"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Atlantic salt meadows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Glauco-P uccinelliet alia maritimae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tc>
        <w:tc>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530" w:lineRule="auto"/>
              <w:ind w:left="233" w:right="689"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Structure and function Range</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233"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Typical species</w:t>
            </w:r>
          </w:p>
        </w:tc>
        <w:tc>
          <w:tcPr>
            <w:shd w:fill="99ccff" w:val="clear"/>
          </w:tcPr>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37" w:right="285"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There will be no interaction between the project and this habitat feature due to the disparity in the locations of the activity and the feature.</w:t>
            </w:r>
          </w:p>
        </w:tc>
      </w:tr>
      <w:tr>
        <w:trPr>
          <w:cantSplit w:val="0"/>
          <w:trHeight w:val="2260" w:hRule="atLeast"/>
          <w:tblHeader w:val="0"/>
        </w:trPr>
        <w:tc>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0" w:lineRule="auto"/>
              <w:ind w:left="248" w:right="256"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Submerged or partially submerged sea-caves</w:t>
            </w:r>
          </w:p>
        </w:tc>
        <w:tc>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530" w:lineRule="auto"/>
              <w:ind w:left="233" w:right="689"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Structure and function Range</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33"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Typical species</w:t>
            </w:r>
          </w:p>
        </w:tc>
        <w:tc>
          <w:tcPr>
            <w:shd w:fill="99ccff" w:val="clear"/>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0" w:lineRule="auto"/>
              <w:ind w:left="237" w:right="285"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There will be no interaction between the project and this habitat feature due to the disparity in the locations of the activity and the feature.</w:t>
            </w:r>
          </w:p>
        </w:tc>
      </w:tr>
      <w:tr>
        <w:trPr>
          <w:cantSplit w:val="0"/>
          <w:trHeight w:val="959" w:hRule="atLeast"/>
          <w:tblHeader w:val="0"/>
        </w:trPr>
        <w:tc>
          <w:tcPr>
            <w:gridSpan w:val="3"/>
            <w:shd w:fill="a6a6a6" w:val="clear"/>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48"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West Wales Marine/ Gorllewin Cymru Forol SAC</w:t>
            </w:r>
          </w:p>
        </w:tc>
      </w:tr>
      <w:tr>
        <w:trPr>
          <w:cantSplit w:val="0"/>
          <w:trHeight w:val="2000" w:hRule="atLeast"/>
          <w:tblHeader w:val="0"/>
        </w:trPr>
        <w:tc>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48" w:right="52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Harbour porpoise</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48" w:right="387"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Phocoena phocoena</w:t>
            </w:r>
          </w:p>
        </w:tc>
        <w:tc>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530" w:lineRule="auto"/>
              <w:ind w:left="233" w:right="1683"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Range Populations Typical species</w:t>
            </w:r>
          </w:p>
        </w:tc>
        <w:tc>
          <w:tcPr>
            <w:shd w:fill="ffff99" w:val="clear"/>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6" w:right="195"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1, 3, 6</w:t>
            </w:r>
          </w:p>
        </w:tc>
      </w:tr>
    </w:tbl>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sectPr>
          <w:type w:val="nextPage"/>
          <w:pgSz w:h="16840" w:w="11920" w:orient="portrait"/>
          <w:pgMar w:bottom="1060" w:top="920" w:left="1275" w:right="1133" w:header="716" w:footer="877"/>
        </w:sectPr>
      </w:pPr>
      <w:r w:rsidDel="00000000" w:rsidR="00000000" w:rsidRPr="00000000">
        <w:rPr>
          <w:rtl w:val="0"/>
        </w:rPr>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6"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143" w:right="298"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ALL rows in the right hand column of the table above are blue or green, it can be concluded that the proposal is not likely to have a significant effect on any European site, and no further consideration under the Habitats Directive/Regulations is required in order to determine the application. Otherwise, an appropriate assessment is required.</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 w:line="240" w:lineRule="auto"/>
        <w:ind w:left="143"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*Brief explanation is given within green cells.</w:t>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4">
      <w:pPr>
        <w:spacing w:before="1" w:line="280" w:lineRule="auto"/>
        <w:ind w:left="143" w:right="301" w:firstLine="0"/>
        <w:jc w:val="both"/>
        <w:rPr>
          <w:rFonts w:ascii="Arial" w:cs="Arial" w:eastAsia="Arial" w:hAnsi="Arial"/>
          <w:b w:val="1"/>
        </w:rPr>
      </w:pPr>
      <w:r w:rsidDel="00000000" w:rsidR="00000000" w:rsidRPr="00000000">
        <w:rPr>
          <w:rFonts w:ascii="Arial" w:cs="Arial" w:eastAsia="Arial" w:hAnsi="Arial"/>
          <w:b w:val="1"/>
          <w:rtl w:val="0"/>
        </w:rPr>
        <w:t xml:space="preserve">Four features have been identified as yellow (There is an impact pathway and significant effects cannot be ruled out), this proposal shall go forward to the AA stage.</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6">
      <w:pPr>
        <w:pStyle w:val="Heading2"/>
        <w:tabs>
          <w:tab w:val="left" w:leader="none" w:pos="601"/>
        </w:tabs>
        <w:spacing w:before="0" w:lineRule="auto"/>
        <w:ind w:left="0" w:firstLine="0"/>
        <w:rPr/>
      </w:pPr>
      <w:r w:rsidDel="00000000" w:rsidR="00000000" w:rsidRPr="00000000">
        <w:rPr>
          <w:rtl w:val="0"/>
        </w:rPr>
        <w:t xml:space="preserve">Appropriate Assessment</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80" w:lineRule="auto"/>
        <w:ind w:left="143" w:right="1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following tables contain the appropriate assessment for the proposal. The two left hand columns list the designated features and the impact pathways identified from the TLSE where likely significant effects are anticipated or cannot be ruled out. Any features recorded in the TLSE as blue or green are not considered in the appropriate assessment.</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 w:line="280" w:lineRule="auto"/>
        <w:ind w:left="143" w:right="129"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Table 2 considers the potential impact in the absence of any additional conditions or restrictions intended to mitigate adverse effects.</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5"/>
        <w:tblW w:w="9930.000000000002" w:type="dxa"/>
        <w:jc w:val="left"/>
        <w:tblInd w:w="14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1283"/>
        <w:gridCol w:w="2268"/>
        <w:gridCol w:w="4678"/>
        <w:gridCol w:w="1701"/>
        <w:tblGridChange w:id="0">
          <w:tblGrid>
            <w:gridCol w:w="1283"/>
            <w:gridCol w:w="2268"/>
            <w:gridCol w:w="4678"/>
            <w:gridCol w:w="1701"/>
          </w:tblGrid>
        </w:tblGridChange>
      </w:tblGrid>
      <w:tr>
        <w:trPr>
          <w:cantSplit w:val="0"/>
          <w:trHeight w:val="1999" w:hRule="atLeast"/>
          <w:tblHeader w:val="0"/>
        </w:trPr>
        <w:tc>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158" w:right="215" w:firstLine="0"/>
              <w:jc w:val="left"/>
              <w:rPr>
                <w:rFonts w:ascii="Arial" w:cs="Arial" w:eastAsia="Arial" w:hAnsi="Arial"/>
                <w:b w:val="1"/>
                <w:i w:val="0"/>
                <w:smallCaps w:val="0"/>
                <w:strike w:val="0"/>
                <w:color w:val="000000"/>
                <w:sz w:val="19"/>
                <w:szCs w:val="19"/>
                <w:u w:val="none"/>
                <w:shd w:fill="auto" w:val="clear"/>
                <w:vertAlign w:val="baseline"/>
              </w:rPr>
            </w:pPr>
            <w:r w:rsidDel="00000000" w:rsidR="00000000" w:rsidRPr="00000000">
              <w:rPr>
                <w:rFonts w:ascii="Arial" w:cs="Arial" w:eastAsia="Arial" w:hAnsi="Arial"/>
                <w:b w:val="1"/>
                <w:i w:val="0"/>
                <w:smallCaps w:val="0"/>
                <w:strike w:val="0"/>
                <w:color w:val="000000"/>
                <w:sz w:val="19"/>
                <w:szCs w:val="19"/>
                <w:u w:val="none"/>
                <w:shd w:fill="auto" w:val="clear"/>
                <w:vertAlign w:val="baseline"/>
                <w:rtl w:val="0"/>
              </w:rPr>
              <w:t xml:space="preserve">Feature (from Table 1)</w:t>
            </w:r>
          </w:p>
        </w:tc>
        <w:tc>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3" w:right="0" w:firstLine="0"/>
              <w:jc w:val="left"/>
              <w:rPr>
                <w:rFonts w:ascii="Arial" w:cs="Arial" w:eastAsia="Arial" w:hAnsi="Arial"/>
                <w:b w:val="1"/>
                <w:i w:val="0"/>
                <w:smallCaps w:val="0"/>
                <w:strike w:val="0"/>
                <w:color w:val="000000"/>
                <w:sz w:val="19"/>
                <w:szCs w:val="19"/>
                <w:u w:val="none"/>
                <w:shd w:fill="auto" w:val="clear"/>
                <w:vertAlign w:val="baseline"/>
              </w:rPr>
            </w:pPr>
            <w:r w:rsidDel="00000000" w:rsidR="00000000" w:rsidRPr="00000000">
              <w:rPr>
                <w:rFonts w:ascii="Arial" w:cs="Arial" w:eastAsia="Arial" w:hAnsi="Arial"/>
                <w:b w:val="1"/>
                <w:i w:val="0"/>
                <w:smallCaps w:val="0"/>
                <w:strike w:val="0"/>
                <w:color w:val="000000"/>
                <w:sz w:val="19"/>
                <w:szCs w:val="19"/>
                <w:u w:val="none"/>
                <w:shd w:fill="auto" w:val="clear"/>
                <w:vertAlign w:val="baseline"/>
                <w:rtl w:val="0"/>
              </w:rPr>
              <w:t xml:space="preserve">Impact pathway(s) (from Table 1) / Description of impacts</w:t>
            </w:r>
          </w:p>
        </w:tc>
        <w:tc>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2" w:right="0" w:firstLine="0"/>
              <w:jc w:val="left"/>
              <w:rPr>
                <w:rFonts w:ascii="Arial" w:cs="Arial" w:eastAsia="Arial" w:hAnsi="Arial"/>
                <w:b w:val="1"/>
                <w:i w:val="0"/>
                <w:smallCaps w:val="0"/>
                <w:strike w:val="0"/>
                <w:color w:val="000000"/>
                <w:sz w:val="19"/>
                <w:szCs w:val="19"/>
                <w:u w:val="none"/>
                <w:shd w:fill="auto" w:val="clear"/>
                <w:vertAlign w:val="baseline"/>
              </w:rPr>
            </w:pPr>
            <w:r w:rsidDel="00000000" w:rsidR="00000000" w:rsidRPr="00000000">
              <w:rPr>
                <w:rFonts w:ascii="Arial" w:cs="Arial" w:eastAsia="Arial" w:hAnsi="Arial"/>
                <w:b w:val="1"/>
                <w:i w:val="0"/>
                <w:smallCaps w:val="0"/>
                <w:strike w:val="0"/>
                <w:color w:val="000000"/>
                <w:sz w:val="19"/>
                <w:szCs w:val="19"/>
                <w:u w:val="none"/>
                <w:shd w:fill="auto" w:val="clear"/>
                <w:vertAlign w:val="baseline"/>
                <w:rtl w:val="0"/>
              </w:rPr>
              <w:t xml:space="preserve">Assessment in view of conservation objectives</w:t>
            </w:r>
          </w:p>
        </w:tc>
        <w:tc>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152" w:right="146" w:firstLine="0"/>
              <w:jc w:val="left"/>
              <w:rPr>
                <w:rFonts w:ascii="Arial" w:cs="Arial" w:eastAsia="Arial" w:hAnsi="Arial"/>
                <w:b w:val="1"/>
                <w:i w:val="0"/>
                <w:smallCaps w:val="0"/>
                <w:strike w:val="0"/>
                <w:color w:val="000000"/>
                <w:sz w:val="19"/>
                <w:szCs w:val="19"/>
                <w:u w:val="none"/>
                <w:shd w:fill="auto" w:val="clear"/>
                <w:vertAlign w:val="baseline"/>
              </w:rPr>
            </w:pPr>
            <w:r w:rsidDel="00000000" w:rsidR="00000000" w:rsidRPr="00000000">
              <w:rPr>
                <w:rFonts w:ascii="Arial" w:cs="Arial" w:eastAsia="Arial" w:hAnsi="Arial"/>
                <w:b w:val="1"/>
                <w:i w:val="0"/>
                <w:smallCaps w:val="0"/>
                <w:strike w:val="0"/>
                <w:color w:val="000000"/>
                <w:sz w:val="19"/>
                <w:szCs w:val="19"/>
                <w:u w:val="none"/>
                <w:shd w:fill="auto" w:val="clear"/>
                <w:vertAlign w:val="baseline"/>
                <w:rtl w:val="0"/>
              </w:rPr>
              <w:t xml:space="preserve">Can adverse effect be ruled out (Y or N)</w:t>
            </w:r>
          </w:p>
        </w:tc>
      </w:tr>
      <w:tr>
        <w:trPr>
          <w:cantSplit w:val="0"/>
          <w:trHeight w:val="815" w:hRule="atLeast"/>
          <w:tblHeader w:val="0"/>
        </w:trPr>
        <w:tc>
          <w:tcPr>
            <w:gridSpan w:val="4"/>
            <w:shd w:fill="a6a6a6" w:val="clear"/>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3"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48" w:right="0" w:firstLine="0"/>
              <w:jc w:val="left"/>
              <w:rPr>
                <w:rFonts w:ascii="Arial" w:cs="Arial" w:eastAsia="Arial" w:hAnsi="Arial"/>
                <w:b w:val="1"/>
                <w:i w:val="0"/>
                <w:smallCaps w:val="0"/>
                <w:strike w:val="0"/>
                <w:color w:val="000000"/>
                <w:sz w:val="19"/>
                <w:szCs w:val="19"/>
                <w:u w:val="none"/>
                <w:shd w:fill="auto" w:val="clear"/>
                <w:vertAlign w:val="baseline"/>
              </w:rPr>
            </w:pPr>
            <w:r w:rsidDel="00000000" w:rsidR="00000000" w:rsidRPr="00000000">
              <w:rPr>
                <w:rFonts w:ascii="Arial" w:cs="Arial" w:eastAsia="Arial" w:hAnsi="Arial"/>
                <w:b w:val="1"/>
                <w:i w:val="0"/>
                <w:smallCaps w:val="0"/>
                <w:strike w:val="0"/>
                <w:color w:val="000000"/>
                <w:sz w:val="19"/>
                <w:szCs w:val="19"/>
                <w:u w:val="none"/>
                <w:shd w:fill="auto" w:val="clear"/>
                <w:vertAlign w:val="baseline"/>
                <w:rtl w:val="0"/>
              </w:rPr>
              <w:t xml:space="preserve">Pembrokeshire Marine SAC</w:t>
            </w:r>
          </w:p>
        </w:tc>
      </w:tr>
      <w:tr>
        <w:trPr>
          <w:cantSplit w:val="0"/>
          <w:trHeight w:val="3755" w:hRule="atLeast"/>
          <w:tblHeader w:val="0"/>
        </w:trPr>
        <w:tc>
          <w:tcPr>
            <w:tcBorders>
              <w:bottom w:color="000000" w:space="0" w:sz="0" w:val="nil"/>
            </w:tcBorders>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248" w:right="0" w:firstLine="0"/>
              <w:jc w:val="left"/>
              <w:rPr>
                <w:rFonts w:ascii="Arial" w:cs="Arial" w:eastAsia="Arial" w:hAnsi="Arial"/>
                <w:b w:val="1"/>
                <w:i w:val="0"/>
                <w:smallCaps w:val="0"/>
                <w:strike w:val="0"/>
                <w:color w:val="000000"/>
                <w:sz w:val="19"/>
                <w:szCs w:val="19"/>
                <w:u w:val="none"/>
                <w:shd w:fill="auto" w:val="clear"/>
                <w:vertAlign w:val="baseline"/>
              </w:rPr>
            </w:pPr>
            <w:r w:rsidDel="00000000" w:rsidR="00000000" w:rsidRPr="00000000">
              <w:rPr>
                <w:rFonts w:ascii="Arial" w:cs="Arial" w:eastAsia="Arial" w:hAnsi="Arial"/>
                <w:b w:val="1"/>
                <w:i w:val="0"/>
                <w:smallCaps w:val="0"/>
                <w:strike w:val="0"/>
                <w:color w:val="000000"/>
                <w:sz w:val="19"/>
                <w:szCs w:val="19"/>
                <w:u w:val="none"/>
                <w:shd w:fill="auto" w:val="clear"/>
                <w:vertAlign w:val="baseline"/>
                <w:rtl w:val="0"/>
              </w:rPr>
              <w:t xml:space="preserve">Reefs</w:t>
            </w:r>
          </w:p>
        </w:tc>
        <w:tc>
          <w:tcPr>
            <w:tcBorders>
              <w:bottom w:color="000000" w:space="0" w:sz="0" w:val="nil"/>
            </w:tcBorders>
          </w:tcPr>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0" w:lineRule="auto"/>
              <w:ind w:left="233" w:right="26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(2): Damage to a designated habitat feature (including through direct physical impact, pollution, changes in thermal regime, hydrodynamic,, light etc).</w:t>
            </w:r>
          </w:p>
        </w:tc>
        <w:tc>
          <w:tcPr>
            <w:tcBorders>
              <w:bottom w:color="000000" w:space="0" w:sz="0" w:val="nil"/>
            </w:tcBorders>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0" w:lineRule="auto"/>
              <w:ind w:left="242" w:right="228"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The anchors and chains proposed will be deployed with the use of a drop down video camera to help micro-site the locations and extensive work has been done to identify and avoid potential reef areas in the Baseline Benthic Habitat Survey Report.</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42" w:right="24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During the operation phase there will be no contact onto the seabed or reef feature from ropes or the lantern nets. The oyster baskets will contact the seabed, but the area of impact will be small, just slightly greater than the actual size of the basket (1m x 0.5m). The baskets will be lowered gently to the seabed to avoid any damage to the baskets. Again, the Baseline Benthic Habitat Survey Report provides more information on the habitat types underneath the farm and will allow for avoiding any potential reefs.</w:t>
            </w:r>
          </w:p>
        </w:tc>
        <w:tc>
          <w:tcPr>
            <w:tcBorders>
              <w:bottom w:color="000000" w:space="0" w:sz="0" w:val="nil"/>
            </w:tcBorders>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 w:right="0" w:firstLine="0"/>
              <w:jc w:val="center"/>
              <w:rPr>
                <w:rFonts w:ascii="Arial" w:cs="Arial" w:eastAsia="Arial" w:hAnsi="Arial"/>
                <w:b w:val="1"/>
                <w:i w:val="0"/>
                <w:smallCaps w:val="0"/>
                <w:strike w:val="0"/>
                <w:color w:val="000000"/>
                <w:sz w:val="19"/>
                <w:szCs w:val="19"/>
                <w:u w:val="none"/>
                <w:shd w:fill="auto" w:val="clear"/>
                <w:vertAlign w:val="baseline"/>
              </w:rPr>
            </w:pPr>
            <w:r w:rsidDel="00000000" w:rsidR="00000000" w:rsidRPr="00000000">
              <w:rPr>
                <w:rFonts w:ascii="Arial" w:cs="Arial" w:eastAsia="Arial" w:hAnsi="Arial"/>
                <w:b w:val="1"/>
                <w:i w:val="0"/>
                <w:smallCaps w:val="0"/>
                <w:strike w:val="0"/>
                <w:color w:val="000000"/>
                <w:sz w:val="19"/>
                <w:szCs w:val="19"/>
                <w:u w:val="none"/>
                <w:shd w:fill="auto" w:val="clear"/>
                <w:vertAlign w:val="baseline"/>
                <w:rtl w:val="0"/>
              </w:rPr>
              <w:t xml:space="preserve">Y</w:t>
            </w:r>
          </w:p>
        </w:tc>
      </w:tr>
      <w:tr>
        <w:trPr>
          <w:cantSplit w:val="0"/>
          <w:trHeight w:val="984" w:hRule="atLeast"/>
          <w:tblHeader w:val="0"/>
        </w:trPr>
        <w:tc>
          <w:tcPr>
            <w:tcBorders>
              <w:top w:color="000000" w:space="0" w:sz="0" w:val="nil"/>
            </w:tcBorders>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42" w:right="27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The baskets will be similar in size and shape to lobster and crab pots and studies have shown that potting has no significant effect on reef features (Stephenson </w:t>
            </w:r>
            <w:r w:rsidDel="00000000" w:rsidR="00000000" w:rsidRPr="00000000">
              <w:rPr>
                <w:rFonts w:ascii="Arial" w:cs="Arial" w:eastAsia="Arial" w:hAnsi="Arial"/>
                <w:b w:val="0"/>
                <w:i w:val="1"/>
                <w:smallCaps w:val="0"/>
                <w:strike w:val="0"/>
                <w:color w:val="000000"/>
                <w:sz w:val="19"/>
                <w:szCs w:val="19"/>
                <w:u w:val="none"/>
                <w:shd w:fill="auto" w:val="clear"/>
                <w:vertAlign w:val="baseline"/>
                <w:rtl w:val="0"/>
              </w:rPr>
              <w:t xml:space="preserve">et al., </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2017; Walmsley </w:t>
            </w:r>
            <w:r w:rsidDel="00000000" w:rsidR="00000000" w:rsidRPr="00000000">
              <w:rPr>
                <w:rFonts w:ascii="Arial" w:cs="Arial" w:eastAsia="Arial" w:hAnsi="Arial"/>
                <w:b w:val="0"/>
                <w:i w:val="1"/>
                <w:smallCaps w:val="0"/>
                <w:strike w:val="0"/>
                <w:color w:val="000000"/>
                <w:sz w:val="19"/>
                <w:szCs w:val="19"/>
                <w:u w:val="none"/>
                <w:shd w:fill="auto" w:val="clear"/>
                <w:vertAlign w:val="baseline"/>
                <w:rtl w:val="0"/>
              </w:rPr>
              <w:t xml:space="preserve">et al., </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2015). The slow descent and the small area of possible impact will have no adverse effect on the reef feature for the European site. Studies have shown that dropper line diameter (Plew </w:t>
            </w:r>
            <w:r w:rsidDel="00000000" w:rsidR="00000000" w:rsidRPr="00000000">
              <w:rPr>
                <w:rFonts w:ascii="Arial" w:cs="Arial" w:eastAsia="Arial" w:hAnsi="Arial"/>
                <w:b w:val="0"/>
                <w:i w:val="1"/>
                <w:smallCaps w:val="0"/>
                <w:strike w:val="0"/>
                <w:color w:val="000000"/>
                <w:sz w:val="19"/>
                <w:szCs w:val="19"/>
                <w:u w:val="none"/>
                <w:shd w:fill="auto" w:val="clear"/>
                <w:vertAlign w:val="baseline"/>
                <w:rtl w:val="0"/>
              </w:rPr>
              <w:t xml:space="preserve">et al</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 2005) and dropper line and larger-scale spacing (i.e., long-line and raft) as well as farm size and configuration may influence current velocities (Boyd &amp; Heasman, 1998; Smith </w:t>
            </w:r>
            <w:r w:rsidDel="00000000" w:rsidR="00000000" w:rsidRPr="00000000">
              <w:rPr>
                <w:rFonts w:ascii="Arial" w:cs="Arial" w:eastAsia="Arial" w:hAnsi="Arial"/>
                <w:b w:val="0"/>
                <w:i w:val="1"/>
                <w:smallCaps w:val="0"/>
                <w:strike w:val="0"/>
                <w:color w:val="000000"/>
                <w:sz w:val="19"/>
                <w:szCs w:val="19"/>
                <w:u w:val="none"/>
                <w:shd w:fill="auto" w:val="clear"/>
                <w:vertAlign w:val="baseline"/>
                <w:rtl w:val="0"/>
              </w:rPr>
              <w:t xml:space="preserve">et al</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 2006; Aure </w:t>
            </w:r>
            <w:r w:rsidDel="00000000" w:rsidR="00000000" w:rsidRPr="00000000">
              <w:rPr>
                <w:rFonts w:ascii="Arial" w:cs="Arial" w:eastAsia="Arial" w:hAnsi="Arial"/>
                <w:b w:val="0"/>
                <w:i w:val="1"/>
                <w:smallCaps w:val="0"/>
                <w:strike w:val="0"/>
                <w:color w:val="000000"/>
                <w:sz w:val="19"/>
                <w:szCs w:val="19"/>
                <w:u w:val="none"/>
                <w:shd w:fill="auto" w:val="clear"/>
                <w:vertAlign w:val="baseline"/>
                <w:rtl w:val="0"/>
              </w:rPr>
              <w:t xml:space="preserve">et al</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 2007; Duarte </w:t>
            </w:r>
            <w:r w:rsidDel="00000000" w:rsidR="00000000" w:rsidRPr="00000000">
              <w:rPr>
                <w:rFonts w:ascii="Arial" w:cs="Arial" w:eastAsia="Arial" w:hAnsi="Arial"/>
                <w:b w:val="0"/>
                <w:i w:val="1"/>
                <w:smallCaps w:val="0"/>
                <w:strike w:val="0"/>
                <w:color w:val="000000"/>
                <w:sz w:val="19"/>
                <w:szCs w:val="19"/>
                <w:u w:val="none"/>
                <w:shd w:fill="auto" w:val="clear"/>
                <w:vertAlign w:val="baseline"/>
                <w:rtl w:val="0"/>
              </w:rPr>
              <w:t xml:space="preserve">et al</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 2008; Stevens </w:t>
            </w:r>
            <w:r w:rsidDel="00000000" w:rsidR="00000000" w:rsidRPr="00000000">
              <w:rPr>
                <w:rFonts w:ascii="Arial" w:cs="Arial" w:eastAsia="Arial" w:hAnsi="Arial"/>
                <w:b w:val="0"/>
                <w:i w:val="1"/>
                <w:smallCaps w:val="0"/>
                <w:strike w:val="0"/>
                <w:color w:val="000000"/>
                <w:sz w:val="19"/>
                <w:szCs w:val="19"/>
                <w:u w:val="none"/>
                <w:shd w:fill="auto" w:val="clear"/>
                <w:vertAlign w:val="baseline"/>
                <w:rtl w:val="0"/>
              </w:rPr>
              <w:t xml:space="preserve">et al</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 2008). Mussel farms can increase flow and retention of water in an embayment (Lo </w:t>
            </w:r>
            <w:r w:rsidDel="00000000" w:rsidR="00000000" w:rsidRPr="00000000">
              <w:rPr>
                <w:rFonts w:ascii="Arial" w:cs="Arial" w:eastAsia="Arial" w:hAnsi="Arial"/>
                <w:b w:val="0"/>
                <w:i w:val="1"/>
                <w:smallCaps w:val="0"/>
                <w:strike w:val="0"/>
                <w:color w:val="000000"/>
                <w:sz w:val="19"/>
                <w:szCs w:val="19"/>
                <w:u w:val="none"/>
                <w:shd w:fill="auto" w:val="clear"/>
                <w:vertAlign w:val="baseline"/>
                <w:rtl w:val="0"/>
              </w:rPr>
              <w:t xml:space="preserve">et al</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 2008). Increased retention and flushing can modify deposition regimes within farms and influence seabed communities, this could include shell deposits below the ropes (de Jong, 1994; Lloyd, 2003).</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42" w:right="272" w:firstLine="0"/>
              <w:jc w:val="both"/>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The scale of this multi-species farm would have little or no impact on the seabed communities in this area within the SAC as there are continual and significant tidal currents that vary throughout the tide cycles. This will always prevent any possible detritus accumulation and smothering of existing marine life. The current trial farms have also been in place for 5 years now with no significant deposits off the farms being recorded.</w:t>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 w:line="280" w:lineRule="auto"/>
              <w:ind w:left="242" w:right="228"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6780" w:hRule="atLeast"/>
          <w:tblHeader w:val="0"/>
        </w:trPr>
        <w:tc>
          <w:tcPr/>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 w:line="240" w:lineRule="auto"/>
              <w:ind w:left="0" w:right="0" w:firstLine="0"/>
              <w:jc w:val="center"/>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48" w:right="248" w:firstLine="0"/>
              <w:jc w:val="center"/>
              <w:rPr>
                <w:rFonts w:ascii="Arial" w:cs="Arial" w:eastAsia="Arial" w:hAnsi="Arial"/>
                <w:b w:val="0"/>
                <w:i w:val="1"/>
                <w:smallCaps w:val="0"/>
                <w:strike w:val="0"/>
                <w:color w:val="000000"/>
                <w:sz w:val="19"/>
                <w:szCs w:val="19"/>
                <w:u w:val="none"/>
                <w:shd w:fill="auto" w:val="clear"/>
                <w:vertAlign w:val="baseline"/>
              </w:rPr>
            </w:pPr>
            <w:r w:rsidDel="00000000" w:rsidR="00000000" w:rsidRPr="00000000">
              <w:rPr>
                <w:rFonts w:ascii="Arial" w:cs="Arial" w:eastAsia="Arial" w:hAnsi="Arial"/>
                <w:b w:val="1"/>
                <w:i w:val="0"/>
                <w:smallCaps w:val="0"/>
                <w:strike w:val="0"/>
                <w:color w:val="000000"/>
                <w:sz w:val="19"/>
                <w:szCs w:val="19"/>
                <w:u w:val="none"/>
                <w:shd w:fill="auto" w:val="clear"/>
                <w:vertAlign w:val="baseline"/>
                <w:rtl w:val="0"/>
              </w:rPr>
              <w:t xml:space="preserve">Grey Seal </w:t>
            </w:r>
            <w:r w:rsidDel="00000000" w:rsidR="00000000" w:rsidRPr="00000000">
              <w:rPr>
                <w:rFonts w:ascii="Arial" w:cs="Arial" w:eastAsia="Arial" w:hAnsi="Arial"/>
                <w:b w:val="0"/>
                <w:i w:val="1"/>
                <w:smallCaps w:val="0"/>
                <w:strike w:val="0"/>
                <w:color w:val="000000"/>
                <w:sz w:val="19"/>
                <w:szCs w:val="19"/>
                <w:u w:val="none"/>
                <w:shd w:fill="auto" w:val="clear"/>
                <w:vertAlign w:val="baseline"/>
                <w:rtl w:val="0"/>
              </w:rPr>
              <w:t xml:space="preserve">Halichoerus grypus</w:t>
            </w:r>
          </w:p>
        </w:tc>
        <w:tc>
          <w:tcPr/>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 w:line="240" w:lineRule="auto"/>
              <w:ind w:left="0" w:right="0" w:firstLine="0"/>
              <w:jc w:val="center"/>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33" w:right="265" w:firstLine="0"/>
              <w:jc w:val="center"/>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(1): Direct capture, removal of prey species of a designated species feature</w:t>
            </w:r>
          </w:p>
        </w:tc>
        <w:tc>
          <w:tcPr/>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42" w:right="228" w:firstLine="0"/>
              <w:jc w:val="center"/>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Seals are known to get entangled in ropes in the marine environment. These are mainly where the rope becomes slack in the water column and could entangle the seal. There are a number of rope grown mussel farms and seaweed farms in bays in Scotland where seals are known to feed and there have been no reports of any entangled in the ropes that hang from the rafts. An MSC assessment of the Shetland and Scottish Mainland rope grown fishery states that “</w:t>
            </w:r>
            <w:r w:rsidDel="00000000" w:rsidR="00000000" w:rsidRPr="00000000">
              <w:rPr>
                <w:rFonts w:ascii="Arial" w:cs="Arial" w:eastAsia="Arial" w:hAnsi="Arial"/>
                <w:b w:val="0"/>
                <w:i w:val="1"/>
                <w:smallCaps w:val="0"/>
                <w:strike w:val="0"/>
                <w:color w:val="000000"/>
                <w:sz w:val="19"/>
                <w:szCs w:val="19"/>
                <w:u w:val="none"/>
                <w:shd w:fill="auto" w:val="clear"/>
                <w:vertAlign w:val="baseline"/>
                <w:rtl w:val="0"/>
              </w:rPr>
              <w:t xml:space="preserve">since the entanglement of marine mammals in mussel ropes has never happened since rope culture started, it can be considered a highly unlikely event</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 (Cappell &amp; Keus, 2017). Considering the scale of the farming in Scotland relative to the small scale proposed sites it can be considered that the proposal will not have an adverse effect on the Grey seal population in the SAC. The current trial sites have been in place for 5 years and have had no entanglement recordings.</w:t>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center"/>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42" w:right="270" w:firstLine="0"/>
              <w:jc w:val="center"/>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Grey Seals are highly mobile species which are not bound by location and actively hunt for prey within the entire European Marine Site. The small scale of the activity (0.6% of the area of Ramsey Sound and 0.002% of the SAC) will not have a significant effect on overall integrity of grey seal populations.</w:t>
            </w:r>
          </w:p>
        </w:tc>
        <w:tc>
          <w:tcPr/>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 w:line="240" w:lineRule="auto"/>
              <w:ind w:left="0" w:right="0" w:firstLine="0"/>
              <w:jc w:val="center"/>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42" w:right="0" w:firstLine="0"/>
              <w:jc w:val="center"/>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Y</w:t>
            </w:r>
          </w:p>
        </w:tc>
      </w:tr>
    </w:tbl>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6"/>
        <w:tblW w:w="9930.0" w:type="dxa"/>
        <w:jc w:val="left"/>
        <w:tblInd w:w="14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1425"/>
        <w:gridCol w:w="2268"/>
        <w:gridCol w:w="4677"/>
        <w:gridCol w:w="1560"/>
        <w:tblGridChange w:id="0">
          <w:tblGrid>
            <w:gridCol w:w="1425"/>
            <w:gridCol w:w="2268"/>
            <w:gridCol w:w="4677"/>
            <w:gridCol w:w="1560"/>
          </w:tblGrid>
        </w:tblGridChange>
      </w:tblGrid>
      <w:tr>
        <w:trPr>
          <w:cantSplit w:val="0"/>
          <w:trHeight w:val="597" w:hRule="atLeast"/>
          <w:tblHeader w:val="0"/>
        </w:trPr>
        <w:tc>
          <w:tcPr>
            <w:tcBorders>
              <w:bottom w:color="000000" w:space="0" w:sz="0" w:val="nil"/>
            </w:tcBorders>
          </w:tcPr>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9"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48" w:right="0" w:firstLine="0"/>
              <w:jc w:val="left"/>
              <w:rPr>
                <w:rFonts w:ascii="Arial" w:cs="Arial" w:eastAsia="Arial" w:hAnsi="Arial"/>
                <w:b w:val="1"/>
                <w:i w:val="0"/>
                <w:smallCaps w:val="0"/>
                <w:strike w:val="0"/>
                <w:color w:val="000000"/>
                <w:sz w:val="19"/>
                <w:szCs w:val="19"/>
                <w:u w:val="none"/>
                <w:shd w:fill="auto" w:val="clear"/>
                <w:vertAlign w:val="baseline"/>
              </w:rPr>
            </w:pPr>
            <w:r w:rsidDel="00000000" w:rsidR="00000000" w:rsidRPr="00000000">
              <w:rPr>
                <w:rFonts w:ascii="Arial" w:cs="Arial" w:eastAsia="Arial" w:hAnsi="Arial"/>
                <w:b w:val="1"/>
                <w:i w:val="0"/>
                <w:smallCaps w:val="0"/>
                <w:strike w:val="0"/>
                <w:color w:val="000000"/>
                <w:sz w:val="19"/>
                <w:szCs w:val="19"/>
                <w:u w:val="none"/>
                <w:shd w:fill="auto" w:val="clear"/>
                <w:vertAlign w:val="baseline"/>
                <w:rtl w:val="0"/>
              </w:rPr>
              <w:t xml:space="preserve">Grey</w:t>
            </w:r>
          </w:p>
        </w:tc>
        <w:tc>
          <w:tcPr>
            <w:tcBorders>
              <w:bottom w:color="000000" w:space="0" w:sz="0" w:val="nil"/>
            </w:tcBorders>
          </w:tcPr>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9"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33"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(3): Damage to</w:t>
            </w:r>
          </w:p>
        </w:tc>
        <w:tc>
          <w:tcPr>
            <w:tcBorders>
              <w:bottom w:color="000000" w:space="0" w:sz="0" w:val="nil"/>
            </w:tcBorders>
          </w:tcPr>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9"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42"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The main habitats of the Grey seals within the SAC</w:t>
            </w:r>
          </w:p>
        </w:tc>
        <w:tc>
          <w:tcPr>
            <w:tcBorders>
              <w:bottom w:color="000000" w:space="0" w:sz="0" w:val="nil"/>
            </w:tcBorders>
          </w:tcPr>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9"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 w:right="0" w:firstLine="0"/>
              <w:jc w:val="center"/>
              <w:rPr>
                <w:rFonts w:ascii="Arial" w:cs="Arial" w:eastAsia="Arial" w:hAnsi="Arial"/>
                <w:b w:val="1"/>
                <w:i w:val="0"/>
                <w:smallCaps w:val="0"/>
                <w:strike w:val="0"/>
                <w:color w:val="000000"/>
                <w:sz w:val="19"/>
                <w:szCs w:val="19"/>
                <w:u w:val="none"/>
                <w:shd w:fill="auto" w:val="clear"/>
                <w:vertAlign w:val="baseline"/>
              </w:rPr>
            </w:pPr>
            <w:r w:rsidDel="00000000" w:rsidR="00000000" w:rsidRPr="00000000">
              <w:rPr>
                <w:rFonts w:ascii="Arial" w:cs="Arial" w:eastAsia="Arial" w:hAnsi="Arial"/>
                <w:b w:val="1"/>
                <w:i w:val="0"/>
                <w:smallCaps w:val="0"/>
                <w:strike w:val="0"/>
                <w:color w:val="000000"/>
                <w:sz w:val="19"/>
                <w:szCs w:val="19"/>
                <w:u w:val="none"/>
                <w:shd w:fill="auto" w:val="clear"/>
                <w:vertAlign w:val="baseline"/>
                <w:rtl w:val="0"/>
              </w:rPr>
              <w:t xml:space="preserve">Y</w:t>
            </w:r>
          </w:p>
        </w:tc>
      </w:tr>
      <w:tr>
        <w:trPr>
          <w:cantSplit w:val="0"/>
          <w:trHeight w:val="254" w:hRule="atLeast"/>
          <w:tblHeader w:val="0"/>
        </w:trPr>
        <w:tc>
          <w:tcPr>
            <w:tcBorders>
              <w:top w:color="000000" w:space="0" w:sz="0" w:val="nil"/>
              <w:bottom w:color="000000" w:space="0" w:sz="0" w:val="nil"/>
            </w:tcBorders>
          </w:tcPr>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48" w:right="0" w:firstLine="0"/>
              <w:jc w:val="left"/>
              <w:rPr>
                <w:rFonts w:ascii="Arial" w:cs="Arial" w:eastAsia="Arial" w:hAnsi="Arial"/>
                <w:b w:val="1"/>
                <w:i w:val="0"/>
                <w:smallCaps w:val="0"/>
                <w:strike w:val="0"/>
                <w:color w:val="000000"/>
                <w:sz w:val="19"/>
                <w:szCs w:val="19"/>
                <w:u w:val="none"/>
                <w:shd w:fill="auto" w:val="clear"/>
                <w:vertAlign w:val="baseline"/>
              </w:rPr>
            </w:pPr>
            <w:r w:rsidDel="00000000" w:rsidR="00000000" w:rsidRPr="00000000">
              <w:rPr>
                <w:rFonts w:ascii="Arial" w:cs="Arial" w:eastAsia="Arial" w:hAnsi="Arial"/>
                <w:b w:val="1"/>
                <w:i w:val="0"/>
                <w:smallCaps w:val="0"/>
                <w:strike w:val="0"/>
                <w:color w:val="000000"/>
                <w:sz w:val="19"/>
                <w:szCs w:val="19"/>
                <w:u w:val="none"/>
                <w:shd w:fill="auto" w:val="clear"/>
                <w:vertAlign w:val="baseline"/>
                <w:rtl w:val="0"/>
              </w:rPr>
              <w:t xml:space="preserve">Seal</w:t>
            </w:r>
          </w:p>
        </w:tc>
        <w:tc>
          <w:tcPr>
            <w:tcBorders>
              <w:top w:color="000000" w:space="0" w:sz="0" w:val="nil"/>
              <w:bottom w:color="000000" w:space="0" w:sz="0" w:val="nil"/>
            </w:tcBorders>
          </w:tcPr>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33"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the habitat of</w:t>
            </w:r>
          </w:p>
        </w:tc>
        <w:tc>
          <w:tcPr>
            <w:tcBorders>
              <w:top w:color="000000" w:space="0" w:sz="0" w:val="nil"/>
              <w:bottom w:color="000000" w:space="0" w:sz="0" w:val="nil"/>
            </w:tcBorders>
          </w:tcPr>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42"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are the intertidal areas used for hauling out, moulting</w:t>
            </w:r>
          </w:p>
        </w:tc>
        <w:tc>
          <w:tcPr>
            <w:tcBorders>
              <w:top w:color="000000" w:space="0" w:sz="0" w:val="nil"/>
              <w:bottom w:color="000000" w:space="0" w:sz="0" w:val="nil"/>
            </w:tcBorders>
          </w:tcPr>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254" w:hRule="atLeast"/>
          <w:tblHeader w:val="0"/>
        </w:trPr>
        <w:tc>
          <w:tcPr>
            <w:tcBorders>
              <w:top w:color="000000" w:space="0" w:sz="0" w:val="nil"/>
              <w:bottom w:color="000000" w:space="0" w:sz="0" w:val="nil"/>
            </w:tcBorders>
          </w:tcPr>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48" w:right="0" w:firstLine="0"/>
              <w:jc w:val="left"/>
              <w:rPr>
                <w:rFonts w:ascii="Arial" w:cs="Arial" w:eastAsia="Arial" w:hAnsi="Arial"/>
                <w:b w:val="0"/>
                <w:i w:val="1"/>
                <w:smallCaps w:val="0"/>
                <w:strike w:val="0"/>
                <w:color w:val="000000"/>
                <w:sz w:val="19"/>
                <w:szCs w:val="19"/>
                <w:u w:val="none"/>
                <w:shd w:fill="auto" w:val="clear"/>
                <w:vertAlign w:val="baseline"/>
              </w:rPr>
            </w:pPr>
            <w:r w:rsidDel="00000000" w:rsidR="00000000" w:rsidRPr="00000000">
              <w:rPr>
                <w:rFonts w:ascii="Arial" w:cs="Arial" w:eastAsia="Arial" w:hAnsi="Arial"/>
                <w:b w:val="0"/>
                <w:i w:val="1"/>
                <w:smallCaps w:val="0"/>
                <w:strike w:val="0"/>
                <w:color w:val="000000"/>
                <w:sz w:val="19"/>
                <w:szCs w:val="19"/>
                <w:u w:val="none"/>
                <w:shd w:fill="auto" w:val="clear"/>
                <w:vertAlign w:val="baseline"/>
                <w:rtl w:val="0"/>
              </w:rPr>
              <w:t xml:space="preserve">Halichoerus grypus</w:t>
            </w:r>
          </w:p>
        </w:tc>
        <w:tc>
          <w:tcPr>
            <w:tcBorders>
              <w:top w:color="000000" w:space="0" w:sz="0" w:val="nil"/>
              <w:bottom w:color="000000" w:space="0" w:sz="0" w:val="nil"/>
            </w:tcBorders>
          </w:tcPr>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33"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Designated species features </w:t>
            </w:r>
          </w:p>
        </w:tc>
        <w:tc>
          <w:tcPr>
            <w:tcBorders>
              <w:top w:color="000000" w:space="0" w:sz="0" w:val="nil"/>
              <w:bottom w:color="000000" w:space="0" w:sz="0" w:val="nil"/>
            </w:tcBorders>
          </w:tcPr>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42"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and pupping. Grey seals also use sub-tidal and water</w:t>
            </w:r>
          </w:p>
        </w:tc>
        <w:tc>
          <w:tcPr>
            <w:tcBorders>
              <w:top w:color="000000" w:space="0" w:sz="0" w:val="nil"/>
              <w:bottom w:color="000000" w:space="0" w:sz="0" w:val="nil"/>
            </w:tcBorders>
          </w:tcPr>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254" w:hRule="atLeast"/>
          <w:tblHeader w:val="0"/>
        </w:trPr>
        <w:tc>
          <w:tcPr>
            <w:tcBorders>
              <w:top w:color="000000" w:space="0" w:sz="0" w:val="nil"/>
              <w:bottom w:color="000000" w:space="0" w:sz="0" w:val="nil"/>
            </w:tcBorders>
          </w:tcPr>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0" w:right="0" w:firstLine="0"/>
              <w:jc w:val="left"/>
              <w:rPr>
                <w:rFonts w:ascii="Arial" w:cs="Arial" w:eastAsia="Arial" w:hAnsi="Arial"/>
                <w:b w:val="0"/>
                <w:i w:val="1"/>
                <w:smallCaps w:val="0"/>
                <w:strike w:val="0"/>
                <w:color w:val="000000"/>
                <w:sz w:val="19"/>
                <w:szCs w:val="19"/>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     column habitats for feeding. This proposal will not</w:t>
            </w:r>
          </w:p>
        </w:tc>
        <w:tc>
          <w:tcPr>
            <w:tcBorders>
              <w:top w:color="000000" w:space="0" w:sz="0" w:val="nil"/>
              <w:bottom w:color="000000" w:space="0" w:sz="0" w:val="nil"/>
            </w:tcBorders>
          </w:tcPr>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254" w:hRule="atLeast"/>
          <w:tblHeader w:val="0"/>
        </w:trPr>
        <w:tc>
          <w:tcPr>
            <w:tcBorders>
              <w:top w:color="000000" w:space="0" w:sz="0" w:val="nil"/>
              <w:bottom w:color="000000" w:space="0" w:sz="0" w:val="nil"/>
            </w:tcBorders>
          </w:tcPr>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0" w:right="0" w:firstLine="0"/>
              <w:jc w:val="left"/>
              <w:rPr>
                <w:rFonts w:ascii="Arial" w:cs="Arial" w:eastAsia="Arial" w:hAnsi="Arial"/>
                <w:b w:val="0"/>
                <w:i w:val="1"/>
                <w:smallCaps w:val="0"/>
                <w:strike w:val="0"/>
                <w:color w:val="000000"/>
                <w:sz w:val="19"/>
                <w:szCs w:val="19"/>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33"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(including</w:t>
            </w:r>
          </w:p>
        </w:tc>
        <w:tc>
          <w:tcPr>
            <w:tcBorders>
              <w:top w:color="000000" w:space="0" w:sz="0" w:val="nil"/>
              <w:bottom w:color="000000" w:space="0" w:sz="0" w:val="nil"/>
            </w:tcBorders>
          </w:tcPr>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42"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impact on any intertidal habitats and although there</w:t>
            </w:r>
          </w:p>
        </w:tc>
        <w:tc>
          <w:tcPr>
            <w:tcBorders>
              <w:top w:color="000000" w:space="0" w:sz="0" w:val="nil"/>
              <w:bottom w:color="000000" w:space="0" w:sz="0" w:val="nil"/>
            </w:tcBorders>
          </w:tcPr>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254" w:hRule="atLeast"/>
          <w:tblHeader w:val="0"/>
        </w:trPr>
        <w:tc>
          <w:tcPr>
            <w:tcBorders>
              <w:top w:color="000000" w:space="0" w:sz="0" w:val="nil"/>
              <w:bottom w:color="000000" w:space="0" w:sz="0" w:val="nil"/>
            </w:tcBorders>
          </w:tcPr>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33"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through direct</w:t>
            </w:r>
          </w:p>
        </w:tc>
        <w:tc>
          <w:tcPr>
            <w:tcBorders>
              <w:top w:color="000000" w:space="0" w:sz="0" w:val="nil"/>
              <w:bottom w:color="000000" w:space="0" w:sz="0" w:val="nil"/>
            </w:tcBorders>
          </w:tcPr>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42"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will be a small loss of subtidal habitat due to the</w:t>
            </w:r>
          </w:p>
        </w:tc>
        <w:tc>
          <w:tcPr>
            <w:tcBorders>
              <w:top w:color="000000" w:space="0" w:sz="0" w:val="nil"/>
              <w:bottom w:color="000000" w:space="0" w:sz="0" w:val="nil"/>
            </w:tcBorders>
          </w:tcPr>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254" w:hRule="atLeast"/>
          <w:tblHeader w:val="0"/>
        </w:trPr>
        <w:tc>
          <w:tcPr>
            <w:tcBorders>
              <w:top w:color="000000" w:space="0" w:sz="0" w:val="nil"/>
              <w:bottom w:color="000000" w:space="0" w:sz="0" w:val="nil"/>
            </w:tcBorders>
          </w:tcPr>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33"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physical impact,</w:t>
            </w:r>
          </w:p>
        </w:tc>
        <w:tc>
          <w:tcPr>
            <w:tcBorders>
              <w:top w:color="000000" w:space="0" w:sz="0" w:val="nil"/>
              <w:bottom w:color="000000" w:space="0" w:sz="0" w:val="nil"/>
            </w:tcBorders>
          </w:tcPr>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42"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baskets and anchors, the small scale and footprint of</w:t>
            </w:r>
          </w:p>
        </w:tc>
        <w:tc>
          <w:tcPr>
            <w:tcBorders>
              <w:top w:color="000000" w:space="0" w:sz="0" w:val="nil"/>
              <w:bottom w:color="000000" w:space="0" w:sz="0" w:val="nil"/>
            </w:tcBorders>
          </w:tcPr>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254" w:hRule="atLeast"/>
          <w:tblHeader w:val="0"/>
        </w:trPr>
        <w:tc>
          <w:tcPr>
            <w:tcBorders>
              <w:top w:color="000000" w:space="0" w:sz="0" w:val="nil"/>
              <w:bottom w:color="000000" w:space="0" w:sz="0" w:val="nil"/>
            </w:tcBorders>
          </w:tcPr>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33"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pollution,</w:t>
            </w:r>
          </w:p>
        </w:tc>
        <w:tc>
          <w:tcPr>
            <w:tcBorders>
              <w:top w:color="000000" w:space="0" w:sz="0" w:val="nil"/>
              <w:bottom w:color="000000" w:space="0" w:sz="0" w:val="nil"/>
            </w:tcBorders>
          </w:tcPr>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42"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the activity will not adversely affect the habitat</w:t>
            </w:r>
          </w:p>
        </w:tc>
        <w:tc>
          <w:tcPr>
            <w:tcBorders>
              <w:top w:color="000000" w:space="0" w:sz="0" w:val="nil"/>
              <w:bottom w:color="000000" w:space="0" w:sz="0" w:val="nil"/>
            </w:tcBorders>
          </w:tcPr>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254" w:hRule="atLeast"/>
          <w:tblHeader w:val="0"/>
        </w:trPr>
        <w:tc>
          <w:tcPr>
            <w:tcBorders>
              <w:top w:color="000000" w:space="0" w:sz="0" w:val="nil"/>
              <w:bottom w:color="000000" w:space="0" w:sz="0" w:val="nil"/>
            </w:tcBorders>
          </w:tcPr>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33"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changes in</w:t>
            </w:r>
          </w:p>
        </w:tc>
        <w:tc>
          <w:tcPr>
            <w:tcBorders>
              <w:top w:color="000000" w:space="0" w:sz="0" w:val="nil"/>
              <w:bottom w:color="000000" w:space="0" w:sz="0" w:val="nil"/>
            </w:tcBorders>
          </w:tcPr>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42"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requirements of the Grey seal. In fact to the contrary</w:t>
            </w:r>
          </w:p>
        </w:tc>
        <w:tc>
          <w:tcPr>
            <w:tcBorders>
              <w:top w:color="000000" w:space="0" w:sz="0" w:val="nil"/>
              <w:bottom w:color="000000" w:space="0" w:sz="0" w:val="nil"/>
            </w:tcBorders>
          </w:tcPr>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254" w:hRule="atLeast"/>
          <w:tblHeader w:val="0"/>
        </w:trPr>
        <w:tc>
          <w:tcPr>
            <w:tcBorders>
              <w:top w:color="000000" w:space="0" w:sz="0" w:val="nil"/>
              <w:bottom w:color="000000" w:space="0" w:sz="0" w:val="nil"/>
            </w:tcBorders>
          </w:tcPr>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33"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thermal regime,</w:t>
            </w:r>
          </w:p>
        </w:tc>
        <w:tc>
          <w:tcPr>
            <w:tcBorders>
              <w:top w:color="000000" w:space="0" w:sz="0" w:val="nil"/>
              <w:bottom w:color="000000" w:space="0" w:sz="0" w:val="nil"/>
            </w:tcBorders>
          </w:tcPr>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42"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the trial sites have already demonstrated that seals</w:t>
            </w:r>
          </w:p>
        </w:tc>
        <w:tc>
          <w:tcPr>
            <w:tcBorders>
              <w:top w:color="000000" w:space="0" w:sz="0" w:val="nil"/>
              <w:bottom w:color="000000" w:space="0" w:sz="0" w:val="nil"/>
            </w:tcBorders>
          </w:tcPr>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254" w:hRule="atLeast"/>
          <w:tblHeader w:val="0"/>
        </w:trPr>
        <w:tc>
          <w:tcPr>
            <w:tcBorders>
              <w:top w:color="000000" w:space="0" w:sz="0" w:val="nil"/>
              <w:bottom w:color="000000" w:space="0" w:sz="0" w:val="nil"/>
            </w:tcBorders>
          </w:tcPr>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33"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hydrodynamics,</w:t>
            </w:r>
          </w:p>
        </w:tc>
        <w:tc>
          <w:tcPr>
            <w:tcBorders>
              <w:top w:color="000000" w:space="0" w:sz="0" w:val="nil"/>
              <w:bottom w:color="000000" w:space="0" w:sz="0" w:val="nil"/>
            </w:tcBorders>
          </w:tcPr>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42"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benefit from the marine life these multi species farms</w:t>
            </w:r>
          </w:p>
        </w:tc>
        <w:tc>
          <w:tcPr>
            <w:tcBorders>
              <w:top w:color="000000" w:space="0" w:sz="0" w:val="nil"/>
              <w:bottom w:color="000000" w:space="0" w:sz="0" w:val="nil"/>
            </w:tcBorders>
          </w:tcPr>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613" w:hRule="atLeast"/>
          <w:tblHeader w:val="0"/>
        </w:trPr>
        <w:tc>
          <w:tcPr>
            <w:tcBorders>
              <w:top w:color="000000" w:space="0" w:sz="0" w:val="nil"/>
            </w:tcBorders>
          </w:tcPr>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33"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light etc)</w:t>
            </w:r>
          </w:p>
        </w:tc>
        <w:tc>
          <w:tcPr>
            <w:tcBorders>
              <w:top w:color="000000" w:space="0" w:sz="0" w:val="nil"/>
            </w:tcBorders>
          </w:tcPr>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42"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create.</w:t>
            </w:r>
          </w:p>
        </w:tc>
        <w:tc>
          <w:tcPr>
            <w:tcBorders>
              <w:top w:color="000000" w:space="0" w:sz="0" w:val="nil"/>
            </w:tcBorders>
          </w:tcPr>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2485" w:hRule="atLeast"/>
          <w:tblHeader w:val="0"/>
        </w:trPr>
        <w:tc>
          <w:tcPr>
            <w:tcBorders>
              <w:bottom w:color="000000" w:space="0" w:sz="0" w:val="nil"/>
            </w:tcBorders>
          </w:tcPr>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48" w:right="248" w:firstLine="0"/>
              <w:jc w:val="left"/>
              <w:rPr>
                <w:rFonts w:ascii="Arial" w:cs="Arial" w:eastAsia="Arial" w:hAnsi="Arial"/>
                <w:b w:val="0"/>
                <w:i w:val="1"/>
                <w:smallCaps w:val="0"/>
                <w:strike w:val="0"/>
                <w:color w:val="000000"/>
                <w:sz w:val="19"/>
                <w:szCs w:val="19"/>
                <w:u w:val="none"/>
                <w:shd w:fill="auto" w:val="clear"/>
                <w:vertAlign w:val="baseline"/>
              </w:rPr>
            </w:pPr>
            <w:r w:rsidDel="00000000" w:rsidR="00000000" w:rsidRPr="00000000">
              <w:rPr>
                <w:rFonts w:ascii="Arial" w:cs="Arial" w:eastAsia="Arial" w:hAnsi="Arial"/>
                <w:b w:val="1"/>
                <w:i w:val="0"/>
                <w:smallCaps w:val="0"/>
                <w:strike w:val="0"/>
                <w:color w:val="000000"/>
                <w:sz w:val="19"/>
                <w:szCs w:val="19"/>
                <w:u w:val="none"/>
                <w:shd w:fill="auto" w:val="clear"/>
                <w:vertAlign w:val="baseline"/>
                <w:rtl w:val="0"/>
              </w:rPr>
              <w:t xml:space="preserve">Grey Seal </w:t>
            </w:r>
            <w:r w:rsidDel="00000000" w:rsidR="00000000" w:rsidRPr="00000000">
              <w:rPr>
                <w:rFonts w:ascii="Arial" w:cs="Arial" w:eastAsia="Arial" w:hAnsi="Arial"/>
                <w:b w:val="0"/>
                <w:i w:val="1"/>
                <w:smallCaps w:val="0"/>
                <w:strike w:val="0"/>
                <w:color w:val="000000"/>
                <w:sz w:val="19"/>
                <w:szCs w:val="19"/>
                <w:u w:val="none"/>
                <w:shd w:fill="auto" w:val="clear"/>
                <w:vertAlign w:val="baseline"/>
                <w:rtl w:val="0"/>
              </w:rPr>
              <w:t xml:space="preserve">Halichoe rus grypus</w:t>
            </w:r>
          </w:p>
        </w:tc>
        <w:tc>
          <w:tcPr>
            <w:tcBorders>
              <w:bottom w:color="000000" w:space="0" w:sz="0" w:val="nil"/>
            </w:tcBorders>
          </w:tcPr>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33"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(6): Damage to habitat of prey species.</w:t>
            </w:r>
          </w:p>
        </w:tc>
        <w:tc>
          <w:tcPr>
            <w:tcBorders>
              <w:bottom w:color="000000" w:space="0" w:sz="0" w:val="nil"/>
            </w:tcBorders>
          </w:tcPr>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42" w:right="233"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Grey seal diet varies by location and season; they largely consume demersal or benthic fish species (Hall, 2002; Prime &amp; Hammond, 1990). Individual prey preferences also exist as well as temporal and geographical variations in diet and differences in prey between age groups (Prime &amp; Hammond, 1990; Hauksson &amp; Bogason, 1997; Beck </w:t>
            </w:r>
            <w:r w:rsidDel="00000000" w:rsidR="00000000" w:rsidRPr="00000000">
              <w:rPr>
                <w:rFonts w:ascii="Arial" w:cs="Arial" w:eastAsia="Arial" w:hAnsi="Arial"/>
                <w:b w:val="0"/>
                <w:i w:val="1"/>
                <w:smallCaps w:val="0"/>
                <w:strike w:val="0"/>
                <w:color w:val="000000"/>
                <w:sz w:val="19"/>
                <w:szCs w:val="19"/>
                <w:u w:val="none"/>
                <w:shd w:fill="auto" w:val="clear"/>
                <w:vertAlign w:val="baseline"/>
                <w:rtl w:val="0"/>
              </w:rPr>
              <w:t xml:space="preserve">et al</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 2005; Tucker </w:t>
            </w:r>
            <w:r w:rsidDel="00000000" w:rsidR="00000000" w:rsidRPr="00000000">
              <w:rPr>
                <w:rFonts w:ascii="Arial" w:cs="Arial" w:eastAsia="Arial" w:hAnsi="Arial"/>
                <w:b w:val="0"/>
                <w:i w:val="1"/>
                <w:smallCaps w:val="0"/>
                <w:strike w:val="0"/>
                <w:color w:val="000000"/>
                <w:sz w:val="19"/>
                <w:szCs w:val="19"/>
                <w:u w:val="none"/>
                <w:shd w:fill="auto" w:val="clear"/>
                <w:vertAlign w:val="baseline"/>
                <w:rtl w:val="0"/>
              </w:rPr>
              <w:t xml:space="preserve">et al., </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2007; Brasseur </w:t>
            </w:r>
            <w:r w:rsidDel="00000000" w:rsidR="00000000" w:rsidRPr="00000000">
              <w:rPr>
                <w:rFonts w:ascii="Arial" w:cs="Arial" w:eastAsia="Arial" w:hAnsi="Arial"/>
                <w:b w:val="0"/>
                <w:i w:val="1"/>
                <w:smallCaps w:val="0"/>
                <w:strike w:val="0"/>
                <w:color w:val="000000"/>
                <w:sz w:val="19"/>
                <w:szCs w:val="19"/>
                <w:u w:val="none"/>
                <w:shd w:fill="auto" w:val="clear"/>
                <w:vertAlign w:val="baseline"/>
                <w:rtl w:val="0"/>
              </w:rPr>
              <w:t xml:space="preserve">et al., </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2010).</w:t>
            </w:r>
          </w:p>
        </w:tc>
        <w:tc>
          <w:tcPr>
            <w:tcBorders>
              <w:bottom w:color="000000" w:space="0" w:sz="0" w:val="nil"/>
            </w:tcBorders>
          </w:tcPr>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 w:right="0" w:firstLine="0"/>
              <w:jc w:val="center"/>
              <w:rPr>
                <w:rFonts w:ascii="Arial" w:cs="Arial" w:eastAsia="Arial" w:hAnsi="Arial"/>
                <w:b w:val="1"/>
                <w:i w:val="0"/>
                <w:smallCaps w:val="0"/>
                <w:strike w:val="0"/>
                <w:color w:val="000000"/>
                <w:sz w:val="19"/>
                <w:szCs w:val="19"/>
                <w:u w:val="none"/>
                <w:shd w:fill="auto" w:val="clear"/>
                <w:vertAlign w:val="baseline"/>
              </w:rPr>
            </w:pPr>
            <w:r w:rsidDel="00000000" w:rsidR="00000000" w:rsidRPr="00000000">
              <w:rPr>
                <w:rFonts w:ascii="Arial" w:cs="Arial" w:eastAsia="Arial" w:hAnsi="Arial"/>
                <w:b w:val="1"/>
                <w:i w:val="0"/>
                <w:smallCaps w:val="0"/>
                <w:strike w:val="0"/>
                <w:color w:val="000000"/>
                <w:sz w:val="19"/>
                <w:szCs w:val="19"/>
                <w:u w:val="none"/>
                <w:shd w:fill="auto" w:val="clear"/>
                <w:vertAlign w:val="baseline"/>
                <w:rtl w:val="0"/>
              </w:rPr>
              <w:t xml:space="preserve">Y</w:t>
            </w:r>
          </w:p>
        </w:tc>
      </w:tr>
      <w:tr>
        <w:trPr>
          <w:cantSplit w:val="0"/>
          <w:trHeight w:val="2788" w:hRule="atLeast"/>
          <w:tblHeader w:val="0"/>
        </w:trPr>
        <w:tc>
          <w:tcPr>
            <w:tcBorders>
              <w:top w:color="000000" w:space="0" w:sz="0" w:val="nil"/>
              <w:bottom w:color="000000" w:space="0" w:sz="0" w:val="nil"/>
            </w:tcBorders>
          </w:tcPr>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 w:line="280" w:lineRule="auto"/>
              <w:ind w:left="242" w:right="27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1"/>
                <w:smallCaps w:val="0"/>
                <w:strike w:val="0"/>
                <w:color w:val="000000"/>
                <w:sz w:val="19"/>
                <w:szCs w:val="19"/>
                <w:u w:val="none"/>
                <w:shd w:fill="auto" w:val="clear"/>
                <w:vertAlign w:val="baseline"/>
                <w:rtl w:val="0"/>
              </w:rPr>
              <w:t xml:space="preserve">Trisopterus </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species (Bib, Norway Pout and Poor Cod), plaice and whiting appeared to be the main prey species of the Grey seal with an increase in flatfish showing in the eastern Irish Sea (Kiely </w:t>
            </w:r>
            <w:r w:rsidDel="00000000" w:rsidR="00000000" w:rsidRPr="00000000">
              <w:rPr>
                <w:rFonts w:ascii="Arial" w:cs="Arial" w:eastAsia="Arial" w:hAnsi="Arial"/>
                <w:b w:val="0"/>
                <w:i w:val="1"/>
                <w:smallCaps w:val="0"/>
                <w:strike w:val="0"/>
                <w:color w:val="000000"/>
                <w:sz w:val="19"/>
                <w:szCs w:val="19"/>
                <w:u w:val="none"/>
                <w:shd w:fill="auto" w:val="clear"/>
                <w:vertAlign w:val="baseline"/>
                <w:rtl w:val="0"/>
              </w:rPr>
              <w:t xml:space="preserve">et al</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 2000). Information by the Sea Mammal Research Unit (SMRU) indicates that the diet of seals mainly consists of sandeel, cod, haddock, saithe, whiting, herring, garfish, sea scorpions and dragonets. Plaice and sole also formed part of their prey in the North Sea (SMRU).</w:t>
            </w:r>
          </w:p>
        </w:tc>
        <w:tc>
          <w:tcPr>
            <w:tcBorders>
              <w:top w:color="000000" w:space="0" w:sz="0" w:val="nil"/>
              <w:bottom w:color="000000" w:space="0" w:sz="0" w:val="nil"/>
            </w:tcBorders>
          </w:tcPr>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1485" w:hRule="atLeast"/>
          <w:tblHeader w:val="0"/>
        </w:trPr>
        <w:tc>
          <w:tcPr>
            <w:tcBorders>
              <w:top w:color="000000" w:space="0" w:sz="0" w:val="nil"/>
            </w:tcBorders>
          </w:tcPr>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 w:line="280" w:lineRule="auto"/>
              <w:ind w:left="242" w:right="282" w:firstLine="0"/>
              <w:jc w:val="both"/>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The small scale and footprint of the proposed activity will not adversely affect the habitat of any of the prey species of the Grey seal. To the contrary they create nursery areas for many of these species.</w:t>
            </w:r>
          </w:p>
        </w:tc>
        <w:tc>
          <w:tcPr>
            <w:tcBorders>
              <w:top w:color="000000" w:space="0" w:sz="0" w:val="nil"/>
            </w:tcBorders>
          </w:tcPr>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594" w:hRule="atLeast"/>
          <w:tblHeader w:val="0"/>
        </w:trPr>
        <w:tc>
          <w:tcPr>
            <w:tcBorders>
              <w:bottom w:color="000000" w:space="0" w:sz="0" w:val="nil"/>
            </w:tcBorders>
          </w:tcPr>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248" w:right="0" w:firstLine="0"/>
              <w:jc w:val="left"/>
              <w:rPr>
                <w:rFonts w:ascii="Arial" w:cs="Arial" w:eastAsia="Arial" w:hAnsi="Arial"/>
                <w:b w:val="1"/>
                <w:i w:val="0"/>
                <w:smallCaps w:val="0"/>
                <w:strike w:val="0"/>
                <w:color w:val="000000"/>
                <w:sz w:val="19"/>
                <w:szCs w:val="19"/>
                <w:u w:val="none"/>
                <w:shd w:fill="auto" w:val="clear"/>
                <w:vertAlign w:val="baseline"/>
              </w:rPr>
            </w:pPr>
            <w:r w:rsidDel="00000000" w:rsidR="00000000" w:rsidRPr="00000000">
              <w:rPr>
                <w:rFonts w:ascii="Arial" w:cs="Arial" w:eastAsia="Arial" w:hAnsi="Arial"/>
                <w:b w:val="1"/>
                <w:i w:val="0"/>
                <w:smallCaps w:val="0"/>
                <w:strike w:val="0"/>
                <w:color w:val="000000"/>
                <w:sz w:val="19"/>
                <w:szCs w:val="19"/>
                <w:u w:val="none"/>
                <w:shd w:fill="auto" w:val="clear"/>
                <w:vertAlign w:val="baseline"/>
                <w:rtl w:val="0"/>
              </w:rPr>
              <w:t xml:space="preserve">Large</w:t>
            </w:r>
          </w:p>
        </w:tc>
        <w:tc>
          <w:tcPr>
            <w:tcBorders>
              <w:bottom w:color="000000" w:space="0" w:sz="0" w:val="nil"/>
            </w:tcBorders>
          </w:tcPr>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233"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(2): Damage to a</w:t>
            </w:r>
          </w:p>
        </w:tc>
        <w:tc>
          <w:tcPr>
            <w:tcBorders>
              <w:bottom w:color="000000" w:space="0" w:sz="0" w:val="nil"/>
            </w:tcBorders>
          </w:tcPr>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242"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The physical extent of the Large shallow inlet and</w:t>
            </w:r>
          </w:p>
        </w:tc>
        <w:tc>
          <w:tcPr>
            <w:tcBorders>
              <w:bottom w:color="000000" w:space="0" w:sz="0" w:val="nil"/>
            </w:tcBorders>
          </w:tcPr>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6" w:right="0" w:firstLine="0"/>
              <w:jc w:val="center"/>
              <w:rPr>
                <w:rFonts w:ascii="Arial" w:cs="Arial" w:eastAsia="Arial" w:hAnsi="Arial"/>
                <w:b w:val="1"/>
                <w:i w:val="0"/>
                <w:smallCaps w:val="0"/>
                <w:strike w:val="0"/>
                <w:color w:val="000000"/>
                <w:sz w:val="19"/>
                <w:szCs w:val="19"/>
                <w:u w:val="none"/>
                <w:shd w:fill="auto" w:val="clear"/>
                <w:vertAlign w:val="baseline"/>
              </w:rPr>
            </w:pPr>
            <w:r w:rsidDel="00000000" w:rsidR="00000000" w:rsidRPr="00000000">
              <w:rPr>
                <w:rFonts w:ascii="Arial" w:cs="Arial" w:eastAsia="Arial" w:hAnsi="Arial"/>
                <w:b w:val="1"/>
                <w:i w:val="0"/>
                <w:smallCaps w:val="0"/>
                <w:strike w:val="0"/>
                <w:color w:val="000000"/>
                <w:sz w:val="19"/>
                <w:szCs w:val="19"/>
                <w:u w:val="none"/>
                <w:shd w:fill="auto" w:val="clear"/>
                <w:vertAlign w:val="baseline"/>
                <w:rtl w:val="0"/>
              </w:rPr>
              <w:t xml:space="preserve">Y</w:t>
            </w:r>
          </w:p>
        </w:tc>
      </w:tr>
      <w:tr>
        <w:trPr>
          <w:cantSplit w:val="0"/>
          <w:trHeight w:val="254" w:hRule="atLeast"/>
          <w:tblHeader w:val="0"/>
        </w:trPr>
        <w:tc>
          <w:tcPr>
            <w:tcBorders>
              <w:top w:color="000000" w:space="0" w:sz="0" w:val="nil"/>
              <w:bottom w:color="000000" w:space="0" w:sz="0" w:val="nil"/>
            </w:tcBorders>
          </w:tcPr>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48" w:right="0" w:firstLine="0"/>
              <w:jc w:val="left"/>
              <w:rPr>
                <w:rFonts w:ascii="Arial" w:cs="Arial" w:eastAsia="Arial" w:hAnsi="Arial"/>
                <w:b w:val="1"/>
                <w:i w:val="0"/>
                <w:smallCaps w:val="0"/>
                <w:strike w:val="0"/>
                <w:color w:val="000000"/>
                <w:sz w:val="19"/>
                <w:szCs w:val="19"/>
                <w:u w:val="none"/>
                <w:shd w:fill="auto" w:val="clear"/>
                <w:vertAlign w:val="baseline"/>
              </w:rPr>
            </w:pPr>
            <w:r w:rsidDel="00000000" w:rsidR="00000000" w:rsidRPr="00000000">
              <w:rPr>
                <w:rFonts w:ascii="Arial" w:cs="Arial" w:eastAsia="Arial" w:hAnsi="Arial"/>
                <w:b w:val="1"/>
                <w:i w:val="0"/>
                <w:smallCaps w:val="0"/>
                <w:strike w:val="0"/>
                <w:color w:val="000000"/>
                <w:sz w:val="19"/>
                <w:szCs w:val="19"/>
                <w:u w:val="none"/>
                <w:shd w:fill="auto" w:val="clear"/>
                <w:vertAlign w:val="baseline"/>
                <w:rtl w:val="0"/>
              </w:rPr>
              <w:t xml:space="preserve">shallow</w:t>
            </w:r>
          </w:p>
        </w:tc>
        <w:tc>
          <w:tcPr>
            <w:tcBorders>
              <w:top w:color="000000" w:space="0" w:sz="0" w:val="nil"/>
              <w:bottom w:color="000000" w:space="0" w:sz="0" w:val="nil"/>
            </w:tcBorders>
          </w:tcPr>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33"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designated</w:t>
            </w:r>
          </w:p>
        </w:tc>
        <w:tc>
          <w:tcPr>
            <w:tcBorders>
              <w:top w:color="000000" w:space="0" w:sz="0" w:val="nil"/>
              <w:bottom w:color="000000" w:space="0" w:sz="0" w:val="nil"/>
            </w:tcBorders>
          </w:tcPr>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42"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bay of the SAC will not be diminished by the small</w:t>
            </w:r>
          </w:p>
        </w:tc>
        <w:tc>
          <w:tcPr>
            <w:tcBorders>
              <w:top w:color="000000" w:space="0" w:sz="0" w:val="nil"/>
              <w:bottom w:color="000000" w:space="0" w:sz="0" w:val="nil"/>
            </w:tcBorders>
          </w:tcPr>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254" w:hRule="atLeast"/>
          <w:tblHeader w:val="0"/>
        </w:trPr>
        <w:tc>
          <w:tcPr>
            <w:tcBorders>
              <w:top w:color="000000" w:space="0" w:sz="0" w:val="nil"/>
              <w:bottom w:color="000000" w:space="0" w:sz="0" w:val="nil"/>
            </w:tcBorders>
          </w:tcPr>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48" w:right="0" w:firstLine="0"/>
              <w:jc w:val="left"/>
              <w:rPr>
                <w:rFonts w:ascii="Arial" w:cs="Arial" w:eastAsia="Arial" w:hAnsi="Arial"/>
                <w:b w:val="1"/>
                <w:i w:val="0"/>
                <w:smallCaps w:val="0"/>
                <w:strike w:val="0"/>
                <w:color w:val="000000"/>
                <w:sz w:val="19"/>
                <w:szCs w:val="19"/>
                <w:u w:val="none"/>
                <w:shd w:fill="auto" w:val="clear"/>
                <w:vertAlign w:val="baseline"/>
              </w:rPr>
            </w:pPr>
            <w:r w:rsidDel="00000000" w:rsidR="00000000" w:rsidRPr="00000000">
              <w:rPr>
                <w:rFonts w:ascii="Arial" w:cs="Arial" w:eastAsia="Arial" w:hAnsi="Arial"/>
                <w:b w:val="1"/>
                <w:i w:val="0"/>
                <w:smallCaps w:val="0"/>
                <w:strike w:val="0"/>
                <w:color w:val="000000"/>
                <w:sz w:val="19"/>
                <w:szCs w:val="19"/>
                <w:u w:val="none"/>
                <w:shd w:fill="auto" w:val="clear"/>
                <w:vertAlign w:val="baseline"/>
                <w:rtl w:val="0"/>
              </w:rPr>
              <w:t xml:space="preserve">inlets</w:t>
            </w:r>
          </w:p>
        </w:tc>
        <w:tc>
          <w:tcPr>
            <w:tcBorders>
              <w:top w:color="000000" w:space="0" w:sz="0" w:val="nil"/>
              <w:bottom w:color="000000" w:space="0" w:sz="0" w:val="nil"/>
            </w:tcBorders>
          </w:tcPr>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33"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habitat feature</w:t>
            </w:r>
          </w:p>
        </w:tc>
        <w:tc>
          <w:tcPr>
            <w:tcBorders>
              <w:top w:color="000000" w:space="0" w:sz="0" w:val="nil"/>
              <w:bottom w:color="000000" w:space="0" w:sz="0" w:val="nil"/>
            </w:tcBorders>
          </w:tcPr>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42"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scale and footprint of the proposal. There may be a</w:t>
            </w:r>
          </w:p>
        </w:tc>
        <w:tc>
          <w:tcPr>
            <w:tcBorders>
              <w:top w:color="000000" w:space="0" w:sz="0" w:val="nil"/>
              <w:bottom w:color="000000" w:space="0" w:sz="0" w:val="nil"/>
            </w:tcBorders>
          </w:tcPr>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254" w:hRule="atLeast"/>
          <w:tblHeader w:val="0"/>
        </w:trPr>
        <w:tc>
          <w:tcPr>
            <w:tcBorders>
              <w:top w:color="000000" w:space="0" w:sz="0" w:val="nil"/>
              <w:bottom w:color="000000" w:space="0" w:sz="0" w:val="nil"/>
            </w:tcBorders>
          </w:tcPr>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48" w:right="0" w:firstLine="0"/>
              <w:jc w:val="left"/>
              <w:rPr>
                <w:rFonts w:ascii="Arial" w:cs="Arial" w:eastAsia="Arial" w:hAnsi="Arial"/>
                <w:b w:val="1"/>
                <w:i w:val="0"/>
                <w:smallCaps w:val="0"/>
                <w:strike w:val="0"/>
                <w:color w:val="000000"/>
                <w:sz w:val="19"/>
                <w:szCs w:val="19"/>
                <w:u w:val="none"/>
                <w:shd w:fill="auto" w:val="clear"/>
                <w:vertAlign w:val="baseline"/>
              </w:rPr>
            </w:pPr>
            <w:r w:rsidDel="00000000" w:rsidR="00000000" w:rsidRPr="00000000">
              <w:rPr>
                <w:rFonts w:ascii="Arial" w:cs="Arial" w:eastAsia="Arial" w:hAnsi="Arial"/>
                <w:b w:val="1"/>
                <w:i w:val="0"/>
                <w:smallCaps w:val="0"/>
                <w:strike w:val="0"/>
                <w:color w:val="000000"/>
                <w:sz w:val="19"/>
                <w:szCs w:val="19"/>
                <w:u w:val="none"/>
                <w:shd w:fill="auto" w:val="clear"/>
                <w:vertAlign w:val="baseline"/>
                <w:rtl w:val="0"/>
              </w:rPr>
              <w:t xml:space="preserve">and</w:t>
            </w:r>
          </w:p>
        </w:tc>
        <w:tc>
          <w:tcPr>
            <w:tcBorders>
              <w:top w:color="000000" w:space="0" w:sz="0" w:val="nil"/>
              <w:bottom w:color="000000" w:space="0" w:sz="0" w:val="nil"/>
            </w:tcBorders>
          </w:tcPr>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33"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(including</w:t>
            </w:r>
          </w:p>
        </w:tc>
        <w:tc>
          <w:tcPr>
            <w:tcBorders>
              <w:top w:color="000000" w:space="0" w:sz="0" w:val="nil"/>
              <w:bottom w:color="000000" w:space="0" w:sz="0" w:val="nil"/>
            </w:tcBorders>
          </w:tcPr>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42"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small loss of habitat due to the footprint of the</w:t>
            </w:r>
          </w:p>
        </w:tc>
        <w:tc>
          <w:tcPr>
            <w:tcBorders>
              <w:top w:color="000000" w:space="0" w:sz="0" w:val="nil"/>
              <w:bottom w:color="000000" w:space="0" w:sz="0" w:val="nil"/>
            </w:tcBorders>
          </w:tcPr>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254" w:hRule="atLeast"/>
          <w:tblHeader w:val="0"/>
        </w:trPr>
        <w:tc>
          <w:tcPr>
            <w:tcBorders>
              <w:top w:color="000000" w:space="0" w:sz="0" w:val="nil"/>
              <w:bottom w:color="000000" w:space="0" w:sz="0" w:val="nil"/>
            </w:tcBorders>
          </w:tcPr>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48" w:right="0" w:firstLine="0"/>
              <w:jc w:val="left"/>
              <w:rPr>
                <w:rFonts w:ascii="Arial" w:cs="Arial" w:eastAsia="Arial" w:hAnsi="Arial"/>
                <w:b w:val="1"/>
                <w:i w:val="0"/>
                <w:smallCaps w:val="0"/>
                <w:strike w:val="0"/>
                <w:color w:val="000000"/>
                <w:sz w:val="19"/>
                <w:szCs w:val="19"/>
                <w:u w:val="none"/>
                <w:shd w:fill="auto" w:val="clear"/>
                <w:vertAlign w:val="baseline"/>
              </w:rPr>
            </w:pPr>
            <w:r w:rsidDel="00000000" w:rsidR="00000000" w:rsidRPr="00000000">
              <w:rPr>
                <w:rFonts w:ascii="Arial" w:cs="Arial" w:eastAsia="Arial" w:hAnsi="Arial"/>
                <w:b w:val="1"/>
                <w:i w:val="0"/>
                <w:smallCaps w:val="0"/>
                <w:strike w:val="0"/>
                <w:color w:val="000000"/>
                <w:sz w:val="19"/>
                <w:szCs w:val="19"/>
                <w:u w:val="none"/>
                <w:shd w:fill="auto" w:val="clear"/>
                <w:vertAlign w:val="baseline"/>
                <w:rtl w:val="0"/>
              </w:rPr>
              <w:t xml:space="preserve">bays</w:t>
            </w:r>
          </w:p>
        </w:tc>
        <w:tc>
          <w:tcPr>
            <w:tcBorders>
              <w:top w:color="000000" w:space="0" w:sz="0" w:val="nil"/>
              <w:bottom w:color="000000" w:space="0" w:sz="0" w:val="nil"/>
            </w:tcBorders>
          </w:tcPr>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33"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through direct</w:t>
            </w:r>
          </w:p>
        </w:tc>
        <w:tc>
          <w:tcPr>
            <w:tcBorders>
              <w:top w:color="000000" w:space="0" w:sz="0" w:val="nil"/>
              <w:bottom w:color="000000" w:space="0" w:sz="0" w:val="nil"/>
            </w:tcBorders>
          </w:tcPr>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42"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baskets and anchors, but this would not be</w:t>
            </w:r>
          </w:p>
        </w:tc>
        <w:tc>
          <w:tcPr>
            <w:tcBorders>
              <w:top w:color="000000" w:space="0" w:sz="0" w:val="nil"/>
              <w:bottom w:color="000000" w:space="0" w:sz="0" w:val="nil"/>
            </w:tcBorders>
          </w:tcPr>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254" w:hRule="atLeast"/>
          <w:tblHeader w:val="0"/>
        </w:trPr>
        <w:tc>
          <w:tcPr>
            <w:tcBorders>
              <w:top w:color="000000" w:space="0" w:sz="0" w:val="nil"/>
              <w:bottom w:color="000000" w:space="0" w:sz="0" w:val="nil"/>
            </w:tcBorders>
          </w:tcPr>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33"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physical impact,</w:t>
            </w:r>
          </w:p>
        </w:tc>
        <w:tc>
          <w:tcPr>
            <w:tcBorders>
              <w:top w:color="000000" w:space="0" w:sz="0" w:val="nil"/>
              <w:bottom w:color="000000" w:space="0" w:sz="0" w:val="nil"/>
            </w:tcBorders>
          </w:tcPr>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42"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considered to have an adverse effect on the Large</w:t>
            </w:r>
          </w:p>
        </w:tc>
        <w:tc>
          <w:tcPr>
            <w:tcBorders>
              <w:top w:color="000000" w:space="0" w:sz="0" w:val="nil"/>
              <w:bottom w:color="000000" w:space="0" w:sz="0" w:val="nil"/>
            </w:tcBorders>
          </w:tcPr>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254" w:hRule="atLeast"/>
          <w:tblHeader w:val="0"/>
        </w:trPr>
        <w:tc>
          <w:tcPr>
            <w:tcBorders>
              <w:top w:color="000000" w:space="0" w:sz="0" w:val="nil"/>
              <w:bottom w:color="000000" w:space="0" w:sz="0" w:val="nil"/>
            </w:tcBorders>
          </w:tcPr>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33"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pollution,</w:t>
            </w:r>
          </w:p>
        </w:tc>
        <w:tc>
          <w:tcPr>
            <w:tcBorders>
              <w:top w:color="000000" w:space="0" w:sz="0" w:val="nil"/>
              <w:bottom w:color="000000" w:space="0" w:sz="0" w:val="nil"/>
            </w:tcBorders>
          </w:tcPr>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42"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shallow inlet and bay feature.</w:t>
            </w:r>
          </w:p>
        </w:tc>
        <w:tc>
          <w:tcPr>
            <w:tcBorders>
              <w:top w:color="000000" w:space="0" w:sz="0" w:val="nil"/>
              <w:bottom w:color="000000" w:space="0" w:sz="0" w:val="nil"/>
            </w:tcBorders>
          </w:tcPr>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254" w:hRule="atLeast"/>
          <w:tblHeader w:val="0"/>
        </w:trPr>
        <w:tc>
          <w:tcPr>
            <w:tcBorders>
              <w:top w:color="000000" w:space="0" w:sz="0" w:val="nil"/>
              <w:bottom w:color="000000" w:space="0" w:sz="0" w:val="nil"/>
            </w:tcBorders>
          </w:tcPr>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33"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changes in</w:t>
            </w:r>
          </w:p>
        </w:tc>
        <w:tc>
          <w:tcPr>
            <w:tcBorders>
              <w:top w:color="000000" w:space="0" w:sz="0" w:val="nil"/>
              <w:bottom w:color="000000" w:space="0" w:sz="0" w:val="nil"/>
            </w:tcBorders>
          </w:tcPr>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361" w:hRule="atLeast"/>
          <w:tblHeader w:val="0"/>
        </w:trPr>
        <w:tc>
          <w:tcPr>
            <w:tcBorders>
              <w:top w:color="000000" w:space="0" w:sz="0" w:val="nil"/>
            </w:tcBorders>
          </w:tcPr>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33"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thermal regime,</w:t>
            </w:r>
          </w:p>
        </w:tc>
        <w:tc>
          <w:tcPr>
            <w:tcBorders>
              <w:top w:color="000000" w:space="0" w:sz="0" w:val="nil"/>
            </w:tcBorders>
          </w:tcPr>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sectPr>
          <w:type w:val="nextPage"/>
          <w:pgSz w:h="16840" w:w="11920" w:orient="portrait"/>
          <w:pgMar w:bottom="1060" w:top="920" w:left="1275" w:right="1133" w:header="716" w:footer="877"/>
        </w:sectPr>
      </w:pPr>
      <w:r w:rsidDel="00000000" w:rsidR="00000000" w:rsidRPr="00000000">
        <w:rPr>
          <w:rtl w:val="0"/>
        </w:rPr>
      </w:r>
    </w:p>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7"/>
        <w:tblW w:w="9240.0" w:type="dxa"/>
        <w:jc w:val="left"/>
        <w:tblInd w:w="14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1260"/>
        <w:gridCol w:w="1940"/>
        <w:gridCol w:w="4980"/>
        <w:gridCol w:w="1060"/>
        <w:tblGridChange w:id="0">
          <w:tblGrid>
            <w:gridCol w:w="1260"/>
            <w:gridCol w:w="1940"/>
            <w:gridCol w:w="4980"/>
            <w:gridCol w:w="1060"/>
          </w:tblGrid>
        </w:tblGridChange>
      </w:tblGrid>
      <w:tr>
        <w:trPr>
          <w:cantSplit w:val="0"/>
          <w:trHeight w:val="1459" w:hRule="atLeast"/>
          <w:tblHeader w:val="0"/>
        </w:trPr>
        <w:tc>
          <w:tcPr/>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 w:line="280" w:lineRule="auto"/>
              <w:ind w:left="233" w:right="15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hydrodynamics, light etc).</w:t>
            </w:r>
          </w:p>
        </w:tc>
        <w:tc>
          <w:tcPr/>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7079" w:hRule="atLeast"/>
          <w:tblHeader w:val="0"/>
        </w:trPr>
        <w:tc>
          <w:tcPr>
            <w:tcBorders>
              <w:bottom w:color="000000" w:space="0" w:sz="0" w:val="nil"/>
            </w:tcBorders>
          </w:tcPr>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48" w:right="289" w:firstLine="0"/>
              <w:jc w:val="left"/>
              <w:rPr>
                <w:rFonts w:ascii="Arial" w:cs="Arial" w:eastAsia="Arial" w:hAnsi="Arial"/>
                <w:b w:val="1"/>
                <w:i w:val="0"/>
                <w:smallCaps w:val="0"/>
                <w:strike w:val="0"/>
                <w:color w:val="000000"/>
                <w:sz w:val="19"/>
                <w:szCs w:val="19"/>
                <w:u w:val="none"/>
                <w:shd w:fill="auto" w:val="clear"/>
                <w:vertAlign w:val="baseline"/>
              </w:rPr>
            </w:pPr>
            <w:r w:rsidDel="00000000" w:rsidR="00000000" w:rsidRPr="00000000">
              <w:rPr>
                <w:rFonts w:ascii="Arial" w:cs="Arial" w:eastAsia="Arial" w:hAnsi="Arial"/>
                <w:b w:val="1"/>
                <w:i w:val="0"/>
                <w:smallCaps w:val="0"/>
                <w:strike w:val="0"/>
                <w:color w:val="000000"/>
                <w:sz w:val="19"/>
                <w:szCs w:val="19"/>
                <w:u w:val="none"/>
                <w:shd w:fill="auto" w:val="clear"/>
                <w:vertAlign w:val="baseline"/>
                <w:rtl w:val="0"/>
              </w:rPr>
              <w:t xml:space="preserve">Large shallow inlets and bays</w:t>
            </w:r>
          </w:p>
        </w:tc>
        <w:tc>
          <w:tcPr>
            <w:tcBorders>
              <w:bottom w:color="000000" w:space="0" w:sz="0" w:val="nil"/>
            </w:tcBorders>
          </w:tcPr>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33" w:right="218"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(4): Damage to a designated habitat feature via removal of, or other detrimental impact on, typical species.</w:t>
            </w:r>
          </w:p>
        </w:tc>
        <w:tc>
          <w:tcPr>
            <w:tcBorders>
              <w:bottom w:color="000000" w:space="0" w:sz="0" w:val="nil"/>
            </w:tcBorders>
          </w:tcPr>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42" w:right="244"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The growing of mussels on ropes and other shellfish in baskets can have an impact on the seabed through deposition from the shellfish and shell deposits. The main concern with suspended culture is a predicted increase in sedimentation beneath the lantern nets and longlines, caused by reduced flow because of the suspension structure, and increased levels of faeces and pseudofaeces from the mussels and associated epibiota. Generally investigations into the effects of suspended culture on sedimentation rates have shown that the effect is minimal and that the risk of adverse effects is low (Grant </w:t>
            </w:r>
            <w:r w:rsidDel="00000000" w:rsidR="00000000" w:rsidRPr="00000000">
              <w:rPr>
                <w:rFonts w:ascii="Arial" w:cs="Arial" w:eastAsia="Arial" w:hAnsi="Arial"/>
                <w:b w:val="0"/>
                <w:i w:val="1"/>
                <w:smallCaps w:val="0"/>
                <w:strike w:val="0"/>
                <w:color w:val="000000"/>
                <w:sz w:val="19"/>
                <w:szCs w:val="19"/>
                <w:u w:val="none"/>
                <w:shd w:fill="auto" w:val="clear"/>
                <w:vertAlign w:val="baseline"/>
                <w:rtl w:val="0"/>
              </w:rPr>
              <w:t xml:space="preserve">et al.</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 1995; Jeffs </w:t>
            </w:r>
            <w:r w:rsidDel="00000000" w:rsidR="00000000" w:rsidRPr="00000000">
              <w:rPr>
                <w:rFonts w:ascii="Arial" w:cs="Arial" w:eastAsia="Arial" w:hAnsi="Arial"/>
                <w:b w:val="0"/>
                <w:i w:val="1"/>
                <w:smallCaps w:val="0"/>
                <w:strike w:val="0"/>
                <w:color w:val="000000"/>
                <w:sz w:val="19"/>
                <w:szCs w:val="19"/>
                <w:u w:val="none"/>
                <w:shd w:fill="auto" w:val="clear"/>
                <w:vertAlign w:val="baseline"/>
                <w:rtl w:val="0"/>
              </w:rPr>
              <w:t xml:space="preserve">et al.</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 1999; Crawford, 2001; Crawford </w:t>
            </w:r>
            <w:r w:rsidDel="00000000" w:rsidR="00000000" w:rsidRPr="00000000">
              <w:rPr>
                <w:rFonts w:ascii="Arial" w:cs="Arial" w:eastAsia="Arial" w:hAnsi="Arial"/>
                <w:b w:val="0"/>
                <w:i w:val="1"/>
                <w:smallCaps w:val="0"/>
                <w:strike w:val="0"/>
                <w:color w:val="000000"/>
                <w:sz w:val="19"/>
                <w:szCs w:val="19"/>
                <w:u w:val="none"/>
                <w:shd w:fill="auto" w:val="clear"/>
                <w:vertAlign w:val="baseline"/>
                <w:rtl w:val="0"/>
              </w:rPr>
              <w:t xml:space="preserve">et al</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 2001; Crawford, 2003; Crawford </w:t>
            </w:r>
            <w:r w:rsidDel="00000000" w:rsidR="00000000" w:rsidRPr="00000000">
              <w:rPr>
                <w:rFonts w:ascii="Arial" w:cs="Arial" w:eastAsia="Arial" w:hAnsi="Arial"/>
                <w:b w:val="0"/>
                <w:i w:val="1"/>
                <w:smallCaps w:val="0"/>
                <w:strike w:val="0"/>
                <w:color w:val="000000"/>
                <w:sz w:val="19"/>
                <w:szCs w:val="19"/>
                <w:u w:val="none"/>
                <w:shd w:fill="auto" w:val="clear"/>
                <w:vertAlign w:val="baseline"/>
                <w:rtl w:val="0"/>
              </w:rPr>
              <w:t xml:space="preserve">et al.</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 2003; Danovaro </w:t>
            </w:r>
            <w:r w:rsidDel="00000000" w:rsidR="00000000" w:rsidRPr="00000000">
              <w:rPr>
                <w:rFonts w:ascii="Arial" w:cs="Arial" w:eastAsia="Arial" w:hAnsi="Arial"/>
                <w:b w:val="0"/>
                <w:i w:val="1"/>
                <w:smallCaps w:val="0"/>
                <w:strike w:val="0"/>
                <w:color w:val="000000"/>
                <w:sz w:val="19"/>
                <w:szCs w:val="19"/>
                <w:u w:val="none"/>
                <w:shd w:fill="auto" w:val="clear"/>
                <w:vertAlign w:val="baseline"/>
                <w:rtl w:val="0"/>
              </w:rPr>
              <w:t xml:space="preserve">et al.</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 2004) although there are examples of suspended mussel culture having adverse effects on the local ecosystem (Freire </w:t>
            </w:r>
            <w:r w:rsidDel="00000000" w:rsidR="00000000" w:rsidRPr="00000000">
              <w:rPr>
                <w:rFonts w:ascii="Arial" w:cs="Arial" w:eastAsia="Arial" w:hAnsi="Arial"/>
                <w:b w:val="0"/>
                <w:i w:val="1"/>
                <w:smallCaps w:val="0"/>
                <w:strike w:val="0"/>
                <w:color w:val="000000"/>
                <w:sz w:val="19"/>
                <w:szCs w:val="19"/>
                <w:u w:val="none"/>
                <w:shd w:fill="auto" w:val="clear"/>
                <w:vertAlign w:val="baseline"/>
                <w:rtl w:val="0"/>
              </w:rPr>
              <w:t xml:space="preserve">et al</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.,1990;</w:t>
            </w:r>
          </w:p>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6" w:lineRule="auto"/>
              <w:ind w:left="242"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Stenton-Dozey </w:t>
            </w:r>
            <w:r w:rsidDel="00000000" w:rsidR="00000000" w:rsidRPr="00000000">
              <w:rPr>
                <w:rFonts w:ascii="Arial" w:cs="Arial" w:eastAsia="Arial" w:hAnsi="Arial"/>
                <w:b w:val="0"/>
                <w:i w:val="1"/>
                <w:smallCaps w:val="0"/>
                <w:strike w:val="0"/>
                <w:color w:val="000000"/>
                <w:sz w:val="19"/>
                <w:szCs w:val="19"/>
                <w:u w:val="none"/>
                <w:shd w:fill="auto" w:val="clear"/>
                <w:vertAlign w:val="baseline"/>
                <w:rtl w:val="0"/>
              </w:rPr>
              <w:t xml:space="preserve">et al.</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 1999). Hartstein and Stevens</w:t>
            </w:r>
          </w:p>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 w:line="280" w:lineRule="auto"/>
              <w:ind w:left="242" w:right="238"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(2005) showed that there was no significant difference in sedimentation rates between a farm and control sites in Marlborough Sound, New Zealand.</w:t>
            </w:r>
          </w:p>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42" w:right="27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They did however; find a significant difference in the total organic matter (TOM) between farm sites and control sites in sheltered bays. Highlighting that local hydrodynamics are important in identifying impacts by rope grown shellfish farms.</w:t>
            </w:r>
          </w:p>
        </w:tc>
        <w:tc>
          <w:tcPr>
            <w:tcBorders>
              <w:bottom w:color="000000" w:space="0" w:sz="0" w:val="nil"/>
            </w:tcBorders>
          </w:tcPr>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 w:right="0" w:firstLine="0"/>
              <w:jc w:val="center"/>
              <w:rPr>
                <w:rFonts w:ascii="Arial" w:cs="Arial" w:eastAsia="Arial" w:hAnsi="Arial"/>
                <w:b w:val="1"/>
                <w:i w:val="0"/>
                <w:smallCaps w:val="0"/>
                <w:strike w:val="0"/>
                <w:color w:val="000000"/>
                <w:sz w:val="19"/>
                <w:szCs w:val="19"/>
                <w:u w:val="none"/>
                <w:shd w:fill="auto" w:val="clear"/>
                <w:vertAlign w:val="baseline"/>
              </w:rPr>
            </w:pPr>
            <w:r w:rsidDel="00000000" w:rsidR="00000000" w:rsidRPr="00000000">
              <w:rPr>
                <w:rFonts w:ascii="Arial" w:cs="Arial" w:eastAsia="Arial" w:hAnsi="Arial"/>
                <w:b w:val="1"/>
                <w:i w:val="0"/>
                <w:smallCaps w:val="0"/>
                <w:strike w:val="0"/>
                <w:color w:val="000000"/>
                <w:sz w:val="19"/>
                <w:szCs w:val="19"/>
                <w:u w:val="none"/>
                <w:shd w:fill="auto" w:val="clear"/>
                <w:vertAlign w:val="baseline"/>
                <w:rtl w:val="0"/>
              </w:rPr>
              <w:t xml:space="preserve">Y</w:t>
            </w:r>
          </w:p>
        </w:tc>
      </w:tr>
      <w:tr>
        <w:trPr>
          <w:cantSplit w:val="0"/>
          <w:trHeight w:val="3298" w:hRule="atLeast"/>
          <w:tblHeader w:val="0"/>
        </w:trPr>
        <w:tc>
          <w:tcPr>
            <w:tcBorders>
              <w:top w:color="000000" w:space="0" w:sz="0" w:val="nil"/>
              <w:bottom w:color="000000" w:space="0" w:sz="0" w:val="nil"/>
            </w:tcBorders>
          </w:tcPr>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 w:line="280" w:lineRule="auto"/>
              <w:ind w:left="242" w:right="27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Studies have shown that dropper line diameter (Plew </w:t>
            </w:r>
            <w:r w:rsidDel="00000000" w:rsidR="00000000" w:rsidRPr="00000000">
              <w:rPr>
                <w:rFonts w:ascii="Arial" w:cs="Arial" w:eastAsia="Arial" w:hAnsi="Arial"/>
                <w:b w:val="0"/>
                <w:i w:val="1"/>
                <w:smallCaps w:val="0"/>
                <w:strike w:val="0"/>
                <w:color w:val="000000"/>
                <w:sz w:val="19"/>
                <w:szCs w:val="19"/>
                <w:u w:val="none"/>
                <w:shd w:fill="auto" w:val="clear"/>
                <w:vertAlign w:val="baseline"/>
                <w:rtl w:val="0"/>
              </w:rPr>
              <w:t xml:space="preserve">et al</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 2005) and dropper line and larger-scale spacing (i.e., long-line and raft) as well as farm size and configuration may influence current velocities (Boyd &amp; Heasman, 1998; Smith </w:t>
            </w:r>
            <w:r w:rsidDel="00000000" w:rsidR="00000000" w:rsidRPr="00000000">
              <w:rPr>
                <w:rFonts w:ascii="Arial" w:cs="Arial" w:eastAsia="Arial" w:hAnsi="Arial"/>
                <w:b w:val="0"/>
                <w:i w:val="1"/>
                <w:smallCaps w:val="0"/>
                <w:strike w:val="0"/>
                <w:color w:val="000000"/>
                <w:sz w:val="19"/>
                <w:szCs w:val="19"/>
                <w:u w:val="none"/>
                <w:shd w:fill="auto" w:val="clear"/>
                <w:vertAlign w:val="baseline"/>
                <w:rtl w:val="0"/>
              </w:rPr>
              <w:t xml:space="preserve">et al</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 2006; Aure </w:t>
            </w:r>
            <w:r w:rsidDel="00000000" w:rsidR="00000000" w:rsidRPr="00000000">
              <w:rPr>
                <w:rFonts w:ascii="Arial" w:cs="Arial" w:eastAsia="Arial" w:hAnsi="Arial"/>
                <w:b w:val="0"/>
                <w:i w:val="1"/>
                <w:smallCaps w:val="0"/>
                <w:strike w:val="0"/>
                <w:color w:val="000000"/>
                <w:sz w:val="19"/>
                <w:szCs w:val="19"/>
                <w:u w:val="none"/>
                <w:shd w:fill="auto" w:val="clear"/>
                <w:vertAlign w:val="baseline"/>
                <w:rtl w:val="0"/>
              </w:rPr>
              <w:t xml:space="preserve">et al</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 2007; Duarte </w:t>
            </w:r>
            <w:r w:rsidDel="00000000" w:rsidR="00000000" w:rsidRPr="00000000">
              <w:rPr>
                <w:rFonts w:ascii="Arial" w:cs="Arial" w:eastAsia="Arial" w:hAnsi="Arial"/>
                <w:b w:val="0"/>
                <w:i w:val="1"/>
                <w:smallCaps w:val="0"/>
                <w:strike w:val="0"/>
                <w:color w:val="000000"/>
                <w:sz w:val="19"/>
                <w:szCs w:val="19"/>
                <w:u w:val="none"/>
                <w:shd w:fill="auto" w:val="clear"/>
                <w:vertAlign w:val="baseline"/>
                <w:rtl w:val="0"/>
              </w:rPr>
              <w:t xml:space="preserve">et al</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 2008; Stevens </w:t>
            </w:r>
            <w:r w:rsidDel="00000000" w:rsidR="00000000" w:rsidRPr="00000000">
              <w:rPr>
                <w:rFonts w:ascii="Arial" w:cs="Arial" w:eastAsia="Arial" w:hAnsi="Arial"/>
                <w:b w:val="0"/>
                <w:i w:val="1"/>
                <w:smallCaps w:val="0"/>
                <w:strike w:val="0"/>
                <w:color w:val="000000"/>
                <w:sz w:val="19"/>
                <w:szCs w:val="19"/>
                <w:u w:val="none"/>
                <w:shd w:fill="auto" w:val="clear"/>
                <w:vertAlign w:val="baseline"/>
                <w:rtl w:val="0"/>
              </w:rPr>
              <w:t xml:space="preserve">et al</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 2008). Mussel farms can increase flow and retention of water in an embayment (Lo </w:t>
            </w:r>
            <w:r w:rsidDel="00000000" w:rsidR="00000000" w:rsidRPr="00000000">
              <w:rPr>
                <w:rFonts w:ascii="Arial" w:cs="Arial" w:eastAsia="Arial" w:hAnsi="Arial"/>
                <w:b w:val="0"/>
                <w:i w:val="1"/>
                <w:smallCaps w:val="0"/>
                <w:strike w:val="0"/>
                <w:color w:val="000000"/>
                <w:sz w:val="19"/>
                <w:szCs w:val="19"/>
                <w:u w:val="none"/>
                <w:shd w:fill="auto" w:val="clear"/>
                <w:vertAlign w:val="baseline"/>
                <w:rtl w:val="0"/>
              </w:rPr>
              <w:t xml:space="preserve">et al</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 2008). Increased retention and flushing can modify deposition regimes within farms and influence seabed communities, this could include shell deposits below the ropes (de Jong, 1994; Lloyd, 2003).</w:t>
            </w:r>
          </w:p>
        </w:tc>
        <w:tc>
          <w:tcPr>
            <w:tcBorders>
              <w:top w:color="000000" w:space="0" w:sz="0" w:val="nil"/>
              <w:bottom w:color="000000" w:space="0" w:sz="0" w:val="nil"/>
            </w:tcBorders>
          </w:tcPr>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1481" w:hRule="atLeast"/>
          <w:tblHeader w:val="0"/>
        </w:trPr>
        <w:tc>
          <w:tcPr>
            <w:tcBorders>
              <w:top w:color="000000" w:space="0" w:sz="0" w:val="nil"/>
            </w:tcBorders>
          </w:tcPr>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 w:line="280" w:lineRule="auto"/>
              <w:ind w:left="242" w:right="228"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The scale and location of this proposal would have little or no impact on the seabed communities in this area within the SAC where there </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is significant</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 and continual tidal currents.</w:t>
            </w:r>
          </w:p>
        </w:tc>
        <w:tc>
          <w:tcPr>
            <w:tcBorders>
              <w:top w:color="000000" w:space="0" w:sz="0" w:val="nil"/>
            </w:tcBorders>
          </w:tcPr>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sectPr>
          <w:type w:val="nextPage"/>
          <w:pgSz w:h="16840" w:w="11920" w:orient="portrait"/>
          <w:pgMar w:bottom="1060" w:top="920" w:left="1275" w:right="1133" w:header="716" w:footer="877"/>
        </w:sectPr>
      </w:pPr>
      <w:r w:rsidDel="00000000" w:rsidR="00000000" w:rsidRPr="00000000">
        <w:rPr>
          <w:rtl w:val="0"/>
        </w:rPr>
      </w:r>
    </w:p>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8"/>
        <w:tblW w:w="9240.0" w:type="dxa"/>
        <w:jc w:val="left"/>
        <w:tblInd w:w="14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1425"/>
        <w:gridCol w:w="1775"/>
        <w:gridCol w:w="4980"/>
        <w:gridCol w:w="1060"/>
        <w:tblGridChange w:id="0">
          <w:tblGrid>
            <w:gridCol w:w="1425"/>
            <w:gridCol w:w="1775"/>
            <w:gridCol w:w="4980"/>
            <w:gridCol w:w="1060"/>
          </w:tblGrid>
        </w:tblGridChange>
      </w:tblGrid>
      <w:tr>
        <w:trPr>
          <w:cantSplit w:val="0"/>
          <w:trHeight w:val="940" w:hRule="atLeast"/>
          <w:tblHeader w:val="0"/>
        </w:trPr>
        <w:tc>
          <w:tcPr>
            <w:gridSpan w:val="4"/>
            <w:shd w:fill="a6a6a6" w:val="clear"/>
          </w:tcPr>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9"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48" w:right="0" w:firstLine="0"/>
              <w:jc w:val="left"/>
              <w:rPr>
                <w:rFonts w:ascii="Arial" w:cs="Arial" w:eastAsia="Arial" w:hAnsi="Arial"/>
                <w:b w:val="1"/>
                <w:i w:val="0"/>
                <w:smallCaps w:val="0"/>
                <w:strike w:val="0"/>
                <w:color w:val="000000"/>
                <w:sz w:val="19"/>
                <w:szCs w:val="19"/>
                <w:u w:val="none"/>
                <w:shd w:fill="auto" w:val="clear"/>
                <w:vertAlign w:val="baseline"/>
              </w:rPr>
            </w:pPr>
            <w:r w:rsidDel="00000000" w:rsidR="00000000" w:rsidRPr="00000000">
              <w:rPr>
                <w:rFonts w:ascii="Arial" w:cs="Arial" w:eastAsia="Arial" w:hAnsi="Arial"/>
                <w:b w:val="1"/>
                <w:i w:val="0"/>
                <w:smallCaps w:val="0"/>
                <w:strike w:val="0"/>
                <w:color w:val="000000"/>
                <w:sz w:val="19"/>
                <w:szCs w:val="19"/>
                <w:u w:val="none"/>
                <w:shd w:fill="auto" w:val="clear"/>
                <w:vertAlign w:val="baseline"/>
                <w:rtl w:val="0"/>
              </w:rPr>
              <w:t xml:space="preserve">West Wales Marine/ Gorllewin Cymru Forol SAC</w:t>
            </w:r>
          </w:p>
        </w:tc>
      </w:tr>
      <w:tr>
        <w:trPr>
          <w:cantSplit w:val="0"/>
          <w:trHeight w:val="5800" w:hRule="atLeast"/>
          <w:tblHeader w:val="0"/>
        </w:trPr>
        <w:tc>
          <w:tcPr/>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9"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48" w:right="251" w:firstLine="0"/>
              <w:jc w:val="both"/>
              <w:rPr>
                <w:rFonts w:ascii="Arial" w:cs="Arial" w:eastAsia="Arial" w:hAnsi="Arial"/>
                <w:b w:val="1"/>
                <w:i w:val="0"/>
                <w:smallCaps w:val="0"/>
                <w:strike w:val="0"/>
                <w:color w:val="000000"/>
                <w:sz w:val="19"/>
                <w:szCs w:val="19"/>
                <w:u w:val="none"/>
                <w:shd w:fill="auto" w:val="clear"/>
                <w:vertAlign w:val="baseline"/>
              </w:rPr>
            </w:pPr>
            <w:r w:rsidDel="00000000" w:rsidR="00000000" w:rsidRPr="00000000">
              <w:rPr>
                <w:rFonts w:ascii="Arial" w:cs="Arial" w:eastAsia="Arial" w:hAnsi="Arial"/>
                <w:b w:val="1"/>
                <w:i w:val="0"/>
                <w:smallCaps w:val="0"/>
                <w:strike w:val="0"/>
                <w:color w:val="000000"/>
                <w:sz w:val="19"/>
                <w:szCs w:val="19"/>
                <w:u w:val="none"/>
                <w:shd w:fill="auto" w:val="clear"/>
                <w:vertAlign w:val="baseline"/>
                <w:rtl w:val="0"/>
              </w:rPr>
              <w:t xml:space="preserve">Harbour porpoise</w:t>
            </w:r>
          </w:p>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48" w:right="235" w:firstLine="0"/>
              <w:jc w:val="left"/>
              <w:rPr>
                <w:rFonts w:ascii="Arial" w:cs="Arial" w:eastAsia="Arial" w:hAnsi="Arial"/>
                <w:b w:val="0"/>
                <w:i w:val="1"/>
                <w:smallCaps w:val="0"/>
                <w:strike w:val="0"/>
                <w:color w:val="000000"/>
                <w:sz w:val="19"/>
                <w:szCs w:val="19"/>
                <w:u w:val="none"/>
                <w:shd w:fill="auto" w:val="clear"/>
                <w:vertAlign w:val="baseline"/>
              </w:rPr>
            </w:pPr>
            <w:r w:rsidDel="00000000" w:rsidR="00000000" w:rsidRPr="00000000">
              <w:rPr>
                <w:rFonts w:ascii="Arial" w:cs="Arial" w:eastAsia="Arial" w:hAnsi="Arial"/>
                <w:b w:val="0"/>
                <w:i w:val="1"/>
                <w:smallCaps w:val="0"/>
                <w:strike w:val="0"/>
                <w:color w:val="000000"/>
                <w:sz w:val="19"/>
                <w:szCs w:val="19"/>
                <w:u w:val="none"/>
                <w:shd w:fill="auto" w:val="clear"/>
                <w:vertAlign w:val="baseline"/>
                <w:rtl w:val="0"/>
              </w:rPr>
              <w:t xml:space="preserve">Phocoena phocoena</w:t>
            </w:r>
          </w:p>
        </w:tc>
        <w:tc>
          <w:tcPr/>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9"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33" w:right="265"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(1): Direct capture, removal of prey species of a designated species feature</w:t>
            </w:r>
          </w:p>
        </w:tc>
        <w:tc>
          <w:tcPr/>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9"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42" w:right="239"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Marine mammals are known to get entangled in ropes in the marine environment. These are mainly where the rope becomes slack in the water column and could entangle the mammal. There are a number of rope grown mussel farms in bays in Scotland where marine mammals are known to feed and there have been no reports of any entangled in the ropes that hang from the buoys and headlines. An MSC assessment of the Shetland and Scottish Mainland rope grown fishery states that “</w:t>
            </w:r>
            <w:r w:rsidDel="00000000" w:rsidR="00000000" w:rsidRPr="00000000">
              <w:rPr>
                <w:rFonts w:ascii="Arial" w:cs="Arial" w:eastAsia="Arial" w:hAnsi="Arial"/>
                <w:b w:val="0"/>
                <w:i w:val="1"/>
                <w:smallCaps w:val="0"/>
                <w:strike w:val="0"/>
                <w:color w:val="000000"/>
                <w:sz w:val="19"/>
                <w:szCs w:val="19"/>
                <w:u w:val="none"/>
                <w:shd w:fill="auto" w:val="clear"/>
                <w:vertAlign w:val="baseline"/>
                <w:rtl w:val="0"/>
              </w:rPr>
              <w:t xml:space="preserve">since the entanglement of marine mammals in mussel ropes has never happened since rope culture started, it can be considered a highly unlikely event</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 (Cappell &amp; Keus, 2017). Considering the scale of the farming in Scotland and the scale of this proposal it can be considered that it will not have an adverse effect on the Harbour porpoise population in the SAC. Furthermore the porpoises within Ramsey sound keep to the deep fast flowing central channel as this is where their prey lives.</w:t>
            </w:r>
          </w:p>
        </w:tc>
        <w:tc>
          <w:tcPr/>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9"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 w:right="0" w:firstLine="0"/>
              <w:jc w:val="center"/>
              <w:rPr>
                <w:rFonts w:ascii="Arial" w:cs="Arial" w:eastAsia="Arial" w:hAnsi="Arial"/>
                <w:b w:val="1"/>
                <w:i w:val="0"/>
                <w:smallCaps w:val="0"/>
                <w:strike w:val="0"/>
                <w:color w:val="000000"/>
                <w:sz w:val="19"/>
                <w:szCs w:val="19"/>
                <w:u w:val="none"/>
                <w:shd w:fill="auto" w:val="clear"/>
                <w:vertAlign w:val="baseline"/>
              </w:rPr>
            </w:pPr>
            <w:r w:rsidDel="00000000" w:rsidR="00000000" w:rsidRPr="00000000">
              <w:rPr>
                <w:rFonts w:ascii="Arial" w:cs="Arial" w:eastAsia="Arial" w:hAnsi="Arial"/>
                <w:b w:val="1"/>
                <w:i w:val="0"/>
                <w:smallCaps w:val="0"/>
                <w:strike w:val="0"/>
                <w:color w:val="000000"/>
                <w:sz w:val="19"/>
                <w:szCs w:val="19"/>
                <w:u w:val="none"/>
                <w:shd w:fill="auto" w:val="clear"/>
                <w:vertAlign w:val="baseline"/>
                <w:rtl w:val="0"/>
              </w:rPr>
              <w:t xml:space="preserve">Y</w:t>
            </w:r>
          </w:p>
        </w:tc>
      </w:tr>
      <w:tr>
        <w:trPr>
          <w:cantSplit w:val="0"/>
          <w:trHeight w:val="7019" w:hRule="atLeast"/>
          <w:tblHeader w:val="0"/>
        </w:trPr>
        <w:tc>
          <w:tcPr/>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2"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48" w:right="251" w:firstLine="0"/>
              <w:jc w:val="both"/>
              <w:rPr>
                <w:rFonts w:ascii="Arial" w:cs="Arial" w:eastAsia="Arial" w:hAnsi="Arial"/>
                <w:b w:val="1"/>
                <w:i w:val="0"/>
                <w:smallCaps w:val="0"/>
                <w:strike w:val="0"/>
                <w:color w:val="000000"/>
                <w:sz w:val="19"/>
                <w:szCs w:val="19"/>
                <w:u w:val="none"/>
                <w:shd w:fill="auto" w:val="clear"/>
                <w:vertAlign w:val="baseline"/>
              </w:rPr>
            </w:pPr>
            <w:r w:rsidDel="00000000" w:rsidR="00000000" w:rsidRPr="00000000">
              <w:rPr>
                <w:rFonts w:ascii="Arial" w:cs="Arial" w:eastAsia="Arial" w:hAnsi="Arial"/>
                <w:b w:val="1"/>
                <w:i w:val="0"/>
                <w:smallCaps w:val="0"/>
                <w:strike w:val="0"/>
                <w:color w:val="000000"/>
                <w:sz w:val="19"/>
                <w:szCs w:val="19"/>
                <w:u w:val="none"/>
                <w:shd w:fill="auto" w:val="clear"/>
                <w:vertAlign w:val="baseline"/>
                <w:rtl w:val="0"/>
              </w:rPr>
              <w:t xml:space="preserve">Harbour porpoise</w:t>
            </w:r>
          </w:p>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48" w:right="235" w:firstLine="0"/>
              <w:jc w:val="left"/>
              <w:rPr>
                <w:rFonts w:ascii="Arial" w:cs="Arial" w:eastAsia="Arial" w:hAnsi="Arial"/>
                <w:b w:val="0"/>
                <w:i w:val="1"/>
                <w:smallCaps w:val="0"/>
                <w:strike w:val="0"/>
                <w:color w:val="000000"/>
                <w:sz w:val="19"/>
                <w:szCs w:val="19"/>
                <w:u w:val="none"/>
                <w:shd w:fill="auto" w:val="clear"/>
                <w:vertAlign w:val="baseline"/>
              </w:rPr>
            </w:pPr>
            <w:r w:rsidDel="00000000" w:rsidR="00000000" w:rsidRPr="00000000">
              <w:rPr>
                <w:rFonts w:ascii="Arial" w:cs="Arial" w:eastAsia="Arial" w:hAnsi="Arial"/>
                <w:b w:val="0"/>
                <w:i w:val="1"/>
                <w:smallCaps w:val="0"/>
                <w:strike w:val="0"/>
                <w:color w:val="000000"/>
                <w:sz w:val="19"/>
                <w:szCs w:val="19"/>
                <w:u w:val="none"/>
                <w:shd w:fill="auto" w:val="clear"/>
                <w:vertAlign w:val="baseline"/>
                <w:rtl w:val="0"/>
              </w:rPr>
              <w:t xml:space="preserve">Phocoena phocoena</w:t>
            </w:r>
          </w:p>
        </w:tc>
        <w:tc>
          <w:tcPr/>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2"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33" w:right="297"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(3): Damage to the habitat of designated species features (including through direct physical impact, pollution, changes in thermal regime, hydrodynamics, light etc)</w:t>
            </w:r>
          </w:p>
        </w:tc>
        <w:tc>
          <w:tcPr/>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2"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42" w:right="228"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Adequately defining the potential habitats of cetaceans is problematic. This is due to their highly mobile nature and their distribution being driven mainly by the corresponding distribution and availability of their various prey species. In the absence of prey data, relationships between quantifiable habitat characteristics such as depth, water temperature, seabed sediment type etc. are often used as proxies of prey distribution (NRW and JNCC, 2015).</w:t>
            </w:r>
          </w:p>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42" w:right="27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Different environmental variables were modelled against observed densities of Harbour porpoise within different Management Units (MUs) around Europe. In all MUs the coarseness of the seabed sediment was important, with porpoises showing a preference for coarser sediments (such as sand/gravel) rather than fine sediments (e.g. mud).</w:t>
            </w:r>
          </w:p>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0" w:lineRule="auto"/>
              <w:ind w:left="242" w:right="228"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The water column is also considered to be an important if obvious habitat for Harbour porpoise with the site.</w:t>
            </w:r>
          </w:p>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42" w:right="27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Impacts to these potential habitats could be caused by disturbance to the seabed and water column by the proposal through loss of seabed habitat and</w:t>
            </w:r>
          </w:p>
        </w:tc>
        <w:tc>
          <w:tcPr/>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2"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 w:right="0" w:firstLine="0"/>
              <w:jc w:val="center"/>
              <w:rPr>
                <w:rFonts w:ascii="Arial" w:cs="Arial" w:eastAsia="Arial" w:hAnsi="Arial"/>
                <w:b w:val="1"/>
                <w:i w:val="0"/>
                <w:smallCaps w:val="0"/>
                <w:strike w:val="0"/>
                <w:color w:val="000000"/>
                <w:sz w:val="19"/>
                <w:szCs w:val="19"/>
                <w:u w:val="none"/>
                <w:shd w:fill="auto" w:val="clear"/>
                <w:vertAlign w:val="baseline"/>
              </w:rPr>
            </w:pPr>
            <w:r w:rsidDel="00000000" w:rsidR="00000000" w:rsidRPr="00000000">
              <w:rPr>
                <w:rFonts w:ascii="Arial" w:cs="Arial" w:eastAsia="Arial" w:hAnsi="Arial"/>
                <w:b w:val="1"/>
                <w:i w:val="0"/>
                <w:smallCaps w:val="0"/>
                <w:strike w:val="0"/>
                <w:color w:val="000000"/>
                <w:sz w:val="19"/>
                <w:szCs w:val="19"/>
                <w:u w:val="none"/>
                <w:shd w:fill="auto" w:val="clear"/>
                <w:vertAlign w:val="baseline"/>
                <w:rtl w:val="0"/>
              </w:rPr>
              <w:t xml:space="preserve">Y</w:t>
            </w:r>
          </w:p>
        </w:tc>
      </w:tr>
    </w:tbl>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9"/>
          <w:szCs w:val="19"/>
          <w:u w:val="none"/>
          <w:shd w:fill="auto" w:val="clear"/>
          <w:vertAlign w:val="baseline"/>
        </w:rPr>
        <w:sectPr>
          <w:type w:val="nextPage"/>
          <w:pgSz w:h="16840" w:w="11920" w:orient="portrait"/>
          <w:pgMar w:bottom="1060" w:top="920" w:left="1275" w:right="1133" w:header="716" w:footer="877"/>
        </w:sectPr>
      </w:pPr>
      <w:r w:rsidDel="00000000" w:rsidR="00000000" w:rsidRPr="00000000">
        <w:rPr>
          <w:rtl w:val="0"/>
        </w:rPr>
      </w:r>
    </w:p>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9"/>
        <w:tblW w:w="9240.0" w:type="dxa"/>
        <w:jc w:val="left"/>
        <w:tblInd w:w="14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1425"/>
        <w:gridCol w:w="1775"/>
        <w:gridCol w:w="4980"/>
        <w:gridCol w:w="1060"/>
        <w:tblGridChange w:id="0">
          <w:tblGrid>
            <w:gridCol w:w="1425"/>
            <w:gridCol w:w="1775"/>
            <w:gridCol w:w="4980"/>
            <w:gridCol w:w="1060"/>
          </w:tblGrid>
        </w:tblGridChange>
      </w:tblGrid>
      <w:tr>
        <w:trPr>
          <w:cantSplit w:val="0"/>
          <w:trHeight w:val="2739" w:hRule="atLeast"/>
          <w:tblHeader w:val="0"/>
        </w:trPr>
        <w:tc>
          <w:tcPr/>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 w:line="280" w:lineRule="auto"/>
              <w:ind w:left="242" w:right="312"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disturbance during the lifting and relaying of the ropes and baskets.</w:t>
            </w:r>
          </w:p>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42" w:right="265"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The small scale and location of the proposed site within the small bay is not noted as an important area for Harbour porpoise and therefore due to the location and scale of the proposal it can be considered that there will be no adverse effect on the habitat of the Harbour porpoise within the SAC. Previous environmental monitoring at the sites has shown cetaceans are frequently in the area but in the 5 years the sites have been operational there have been no interactions between them and the farms.</w:t>
            </w:r>
          </w:p>
        </w:tc>
        <w:tc>
          <w:tcPr/>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4255" w:hRule="atLeast"/>
          <w:tblHeader w:val="0"/>
        </w:trPr>
        <w:tc>
          <w:tcPr>
            <w:tcBorders>
              <w:bottom w:color="000000" w:space="0" w:sz="0" w:val="nil"/>
            </w:tcBorders>
          </w:tcPr>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48" w:right="251" w:firstLine="0"/>
              <w:jc w:val="both"/>
              <w:rPr>
                <w:rFonts w:ascii="Arial" w:cs="Arial" w:eastAsia="Arial" w:hAnsi="Arial"/>
                <w:b w:val="1"/>
                <w:i w:val="0"/>
                <w:smallCaps w:val="0"/>
                <w:strike w:val="0"/>
                <w:color w:val="000000"/>
                <w:sz w:val="19"/>
                <w:szCs w:val="19"/>
                <w:u w:val="none"/>
                <w:shd w:fill="auto" w:val="clear"/>
                <w:vertAlign w:val="baseline"/>
              </w:rPr>
            </w:pPr>
            <w:r w:rsidDel="00000000" w:rsidR="00000000" w:rsidRPr="00000000">
              <w:rPr>
                <w:rFonts w:ascii="Arial" w:cs="Arial" w:eastAsia="Arial" w:hAnsi="Arial"/>
                <w:b w:val="1"/>
                <w:i w:val="0"/>
                <w:smallCaps w:val="0"/>
                <w:strike w:val="0"/>
                <w:color w:val="000000"/>
                <w:sz w:val="19"/>
                <w:szCs w:val="19"/>
                <w:u w:val="none"/>
                <w:shd w:fill="auto" w:val="clear"/>
                <w:vertAlign w:val="baseline"/>
                <w:rtl w:val="0"/>
              </w:rPr>
              <w:t xml:space="preserve">Harbour porpoise</w:t>
            </w:r>
          </w:p>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48" w:right="235" w:firstLine="0"/>
              <w:jc w:val="left"/>
              <w:rPr>
                <w:rFonts w:ascii="Arial" w:cs="Arial" w:eastAsia="Arial" w:hAnsi="Arial"/>
                <w:b w:val="0"/>
                <w:i w:val="1"/>
                <w:smallCaps w:val="0"/>
                <w:strike w:val="0"/>
                <w:color w:val="000000"/>
                <w:sz w:val="19"/>
                <w:szCs w:val="19"/>
                <w:u w:val="none"/>
                <w:shd w:fill="auto" w:val="clear"/>
                <w:vertAlign w:val="baseline"/>
              </w:rPr>
            </w:pPr>
            <w:r w:rsidDel="00000000" w:rsidR="00000000" w:rsidRPr="00000000">
              <w:rPr>
                <w:rFonts w:ascii="Arial" w:cs="Arial" w:eastAsia="Arial" w:hAnsi="Arial"/>
                <w:b w:val="0"/>
                <w:i w:val="1"/>
                <w:smallCaps w:val="0"/>
                <w:strike w:val="0"/>
                <w:color w:val="000000"/>
                <w:sz w:val="19"/>
                <w:szCs w:val="19"/>
                <w:u w:val="none"/>
                <w:shd w:fill="auto" w:val="clear"/>
                <w:vertAlign w:val="baseline"/>
                <w:rtl w:val="0"/>
              </w:rPr>
              <w:t xml:space="preserve">Phocoena phocoena</w:t>
            </w:r>
          </w:p>
        </w:tc>
        <w:tc>
          <w:tcPr>
            <w:tcBorders>
              <w:bottom w:color="000000" w:space="0" w:sz="0" w:val="nil"/>
            </w:tcBorders>
          </w:tcPr>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33"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(6): Damage to habitat of prey species.</w:t>
            </w:r>
          </w:p>
        </w:tc>
        <w:tc>
          <w:tcPr>
            <w:tcBorders>
              <w:bottom w:color="000000" w:space="0" w:sz="0" w:val="nil"/>
            </w:tcBorders>
          </w:tcPr>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42" w:right="228"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There are known to be a number of species eaten by Harbour porpoise within the SAC namely gobies, sandeel, whiting, herring and mackerel, and it can be supposed that they change their diet seasonally to target the prey availability.</w:t>
            </w:r>
          </w:p>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242" w:right="228"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Other than the gobies and sandeels, the other species are pelagic. These proposed farms are unlikely to affect the pelagic habitats - except to provide nursery beds and additional feeding areas. Gobies and sandeels are the species that could be impacted by any impact to the seabed habitat by the anchors, chains and oyster cages - however this will be minimal as any movement of these items will be with great care.</w:t>
            </w:r>
          </w:p>
        </w:tc>
        <w:tc>
          <w:tcPr>
            <w:tcBorders>
              <w:bottom w:color="000000" w:space="0" w:sz="0" w:val="nil"/>
            </w:tcBorders>
          </w:tcPr>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 w:right="0" w:firstLine="0"/>
              <w:jc w:val="center"/>
              <w:rPr>
                <w:rFonts w:ascii="Arial" w:cs="Arial" w:eastAsia="Arial" w:hAnsi="Arial"/>
                <w:b w:val="1"/>
                <w:i w:val="0"/>
                <w:smallCaps w:val="0"/>
                <w:strike w:val="0"/>
                <w:color w:val="000000"/>
                <w:sz w:val="19"/>
                <w:szCs w:val="19"/>
                <w:u w:val="none"/>
                <w:shd w:fill="auto" w:val="clear"/>
                <w:vertAlign w:val="baseline"/>
              </w:rPr>
            </w:pPr>
            <w:r w:rsidDel="00000000" w:rsidR="00000000" w:rsidRPr="00000000">
              <w:rPr>
                <w:rFonts w:ascii="Arial" w:cs="Arial" w:eastAsia="Arial" w:hAnsi="Arial"/>
                <w:b w:val="1"/>
                <w:i w:val="0"/>
                <w:smallCaps w:val="0"/>
                <w:strike w:val="0"/>
                <w:color w:val="000000"/>
                <w:sz w:val="19"/>
                <w:szCs w:val="19"/>
                <w:u w:val="none"/>
                <w:shd w:fill="auto" w:val="clear"/>
                <w:vertAlign w:val="baseline"/>
                <w:rtl w:val="0"/>
              </w:rPr>
              <w:t xml:space="preserve">Y</w:t>
            </w:r>
          </w:p>
        </w:tc>
      </w:tr>
      <w:tr>
        <w:trPr>
          <w:cantSplit w:val="0"/>
          <w:trHeight w:val="4544" w:hRule="atLeast"/>
          <w:tblHeader w:val="0"/>
        </w:trPr>
        <w:tc>
          <w:tcPr>
            <w:tcBorders>
              <w:top w:color="000000" w:space="0" w:sz="0" w:val="nil"/>
            </w:tcBorders>
          </w:tcPr>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 w:line="280" w:lineRule="auto"/>
              <w:ind w:left="242" w:right="265"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Aspects of the ecology of some of the prey species may assist in interpreting seasonal differences in diet (Santos, 1998). Sandeels spend most of the autumn and winter (September to March) buried in the sand, with the exception of the spawning period between December and January (Macer, 1966; Reay, 1970; Langham, 1971; Winslade, 1974; Wright, 1996). This is consistent with the higher prevalence of sandeels in spring and summer diets than in autumn and winter diets of Scottish Harbour porpoises (Santos 1998). Although, arguably, echolocating porpoises should be able to detect sandeels in the sand it is perhaps energetically costly to catch them. The higher importance of whiting in the winter diet could relate to the lower availability of sandeels but is also consistent with trends in whiting abundance.</w:t>
            </w:r>
          </w:p>
        </w:tc>
        <w:tc>
          <w:tcPr>
            <w:tcBorders>
              <w:top w:color="000000" w:space="0" w:sz="0" w:val="nil"/>
            </w:tcBorders>
          </w:tcPr>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43" w:right="298" w:firstLine="0"/>
        <w:jc w:val="both"/>
        <w:rPr>
          <w:rFonts w:ascii="Arial" w:cs="Arial" w:eastAsia="Arial" w:hAnsi="Arial"/>
          <w:b w:val="0"/>
          <w:i w:val="0"/>
          <w:smallCaps w:val="0"/>
          <w:strike w:val="0"/>
          <w:color w:val="000000"/>
          <w:sz w:val="22"/>
          <w:szCs w:val="22"/>
          <w:u w:val="none"/>
          <w:shd w:fill="auto" w:val="clear"/>
          <w:vertAlign w:val="baseline"/>
        </w:rPr>
        <w:sectPr>
          <w:type w:val="nextPage"/>
          <w:pgSz w:h="16840" w:w="11920" w:orient="portrait"/>
          <w:pgMar w:bottom="1060" w:top="920" w:left="1275" w:right="1133" w:header="716" w:footer="877"/>
        </w:sect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all adverse effects can be ruled out (i.e. the right hand column is ‘Y’ for all features), we would suggest no further consideration under the Habitats Directive/Regulations is required in order to determine the application, however this information is intended to be used by NRW and The Crown Estate when a full Habitats Regulations Assessment is made.</w:t>
      </w:r>
    </w:p>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6"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9">
      <w:pPr>
        <w:pStyle w:val="Heading3"/>
        <w:tabs>
          <w:tab w:val="left" w:leader="none" w:pos="688"/>
        </w:tabs>
        <w:ind w:left="143" w:firstLine="0"/>
        <w:rPr/>
      </w:pPr>
      <w:r w:rsidDel="00000000" w:rsidR="00000000" w:rsidRPr="00000000">
        <w:rPr>
          <w:rtl w:val="0"/>
        </w:rPr>
        <w:t xml:space="preserve">In-combination assessment:</w:t>
      </w:r>
    </w:p>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5"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6" w:lineRule="auto"/>
        <w:ind w:left="143" w:right="301"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Other plans or projects which should be considered for potential in-combination effects with the proposal under consideration are those that fall into ALL of the following 3 categories:</w:t>
      </w:r>
    </w:p>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D">
      <w:pPr>
        <w:keepNext w:val="0"/>
        <w:keepLines w:val="0"/>
        <w:pageBreakBefore w:val="0"/>
        <w:widowControl w:val="0"/>
        <w:numPr>
          <w:ilvl w:val="3"/>
          <w:numId w:val="3"/>
        </w:numPr>
        <w:pBdr>
          <w:top w:space="0" w:sz="0" w:val="nil"/>
          <w:left w:space="0" w:sz="0" w:val="nil"/>
          <w:bottom w:space="0" w:sz="0" w:val="nil"/>
          <w:right w:space="0" w:sz="0" w:val="nil"/>
          <w:between w:space="0" w:sz="0" w:val="nil"/>
        </w:pBdr>
        <w:shd w:fill="auto" w:val="clear"/>
        <w:tabs>
          <w:tab w:val="left" w:leader="none" w:pos="1281"/>
        </w:tabs>
        <w:spacing w:after="0" w:before="1" w:line="276" w:lineRule="auto"/>
        <w:ind w:left="863" w:right="306"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they have been subject to HRA and the HRA has either concluded no TLSE or no adverse effect on site integrity, but residual effects remain.</w:t>
      </w:r>
    </w:p>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F">
      <w:pPr>
        <w:keepNext w:val="0"/>
        <w:keepLines w:val="0"/>
        <w:pageBreakBefore w:val="0"/>
        <w:widowControl w:val="0"/>
        <w:numPr>
          <w:ilvl w:val="3"/>
          <w:numId w:val="3"/>
        </w:numPr>
        <w:pBdr>
          <w:top w:space="0" w:sz="0" w:val="nil"/>
          <w:left w:space="0" w:sz="0" w:val="nil"/>
          <w:bottom w:space="0" w:sz="0" w:val="nil"/>
          <w:right w:space="0" w:sz="0" w:val="nil"/>
          <w:between w:space="0" w:sz="0" w:val="nil"/>
        </w:pBdr>
        <w:shd w:fill="auto" w:val="clear"/>
        <w:tabs>
          <w:tab w:val="left" w:leader="none" w:pos="1250"/>
        </w:tabs>
        <w:spacing w:after="0" w:before="1" w:line="276" w:lineRule="auto"/>
        <w:ind w:left="863" w:right="297"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their residual effects (net of any mitigation measures) could interact with the residual effects of the proposal under consideration, for example by magnifying the effects of the proposal, or making a habitat or species feature more sensitive to the effects of the proposal.</w:t>
      </w:r>
    </w:p>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1">
      <w:pPr>
        <w:keepNext w:val="0"/>
        <w:keepLines w:val="0"/>
        <w:pageBreakBefore w:val="0"/>
        <w:widowControl w:val="0"/>
        <w:numPr>
          <w:ilvl w:val="3"/>
          <w:numId w:val="3"/>
        </w:numPr>
        <w:pBdr>
          <w:top w:space="0" w:sz="0" w:val="nil"/>
          <w:left w:space="0" w:sz="0" w:val="nil"/>
          <w:bottom w:space="0" w:sz="0" w:val="nil"/>
          <w:right w:space="0" w:sz="0" w:val="nil"/>
          <w:between w:space="0" w:sz="0" w:val="nil"/>
        </w:pBdr>
        <w:shd w:fill="auto" w:val="clear"/>
        <w:tabs>
          <w:tab w:val="left" w:leader="none" w:pos="1190"/>
        </w:tabs>
        <w:spacing w:after="0" w:before="0" w:line="240" w:lineRule="auto"/>
        <w:ind w:left="1190" w:right="0" w:hanging="327"/>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they are one of the following:</w:t>
      </w:r>
    </w:p>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3">
      <w:pPr>
        <w:keepNext w:val="0"/>
        <w:keepLines w:val="0"/>
        <w:pageBreakBefore w:val="0"/>
        <w:widowControl w:val="0"/>
        <w:numPr>
          <w:ilvl w:val="4"/>
          <w:numId w:val="3"/>
        </w:numPr>
        <w:pBdr>
          <w:top w:space="0" w:sz="0" w:val="nil"/>
          <w:left w:space="0" w:sz="0" w:val="nil"/>
          <w:bottom w:space="0" w:sz="0" w:val="nil"/>
          <w:right w:space="0" w:sz="0" w:val="nil"/>
          <w:between w:space="0" w:sz="0" w:val="nil"/>
        </w:pBdr>
        <w:shd w:fill="auto" w:val="clear"/>
        <w:tabs>
          <w:tab w:val="left" w:leader="none" w:pos="1222"/>
        </w:tabs>
        <w:spacing w:after="0" w:before="0" w:line="240" w:lineRule="auto"/>
        <w:ind w:left="1222" w:right="0" w:hanging="358.9999999999999"/>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project started but not yet completed</w:t>
      </w:r>
    </w:p>
    <w:p w:rsidR="00000000" w:rsidDel="00000000" w:rsidP="00000000" w:rsidRDefault="00000000" w:rsidRPr="00000000" w14:paraId="000001B4">
      <w:pPr>
        <w:keepNext w:val="0"/>
        <w:keepLines w:val="0"/>
        <w:pageBreakBefore w:val="0"/>
        <w:widowControl w:val="0"/>
        <w:numPr>
          <w:ilvl w:val="4"/>
          <w:numId w:val="3"/>
        </w:numPr>
        <w:pBdr>
          <w:top w:space="0" w:sz="0" w:val="nil"/>
          <w:left w:space="0" w:sz="0" w:val="nil"/>
          <w:bottom w:space="0" w:sz="0" w:val="nil"/>
          <w:right w:space="0" w:sz="0" w:val="nil"/>
          <w:between w:space="0" w:sz="0" w:val="nil"/>
        </w:pBdr>
        <w:shd w:fill="auto" w:val="clear"/>
        <w:tabs>
          <w:tab w:val="left" w:leader="none" w:pos="1222"/>
        </w:tabs>
        <w:spacing w:after="0" w:before="38" w:line="240" w:lineRule="auto"/>
        <w:ind w:left="1222" w:right="0" w:hanging="358.9999999999999"/>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projects consented but not started</w:t>
      </w:r>
    </w:p>
    <w:p w:rsidR="00000000" w:rsidDel="00000000" w:rsidP="00000000" w:rsidRDefault="00000000" w:rsidRPr="00000000" w14:paraId="000001B5">
      <w:pPr>
        <w:keepNext w:val="0"/>
        <w:keepLines w:val="0"/>
        <w:pageBreakBefore w:val="0"/>
        <w:widowControl w:val="0"/>
        <w:numPr>
          <w:ilvl w:val="4"/>
          <w:numId w:val="3"/>
        </w:numPr>
        <w:pBdr>
          <w:top w:space="0" w:sz="0" w:val="nil"/>
          <w:left w:space="0" w:sz="0" w:val="nil"/>
          <w:bottom w:space="0" w:sz="0" w:val="nil"/>
          <w:right w:space="0" w:sz="0" w:val="nil"/>
          <w:between w:space="0" w:sz="0" w:val="nil"/>
        </w:pBdr>
        <w:shd w:fill="auto" w:val="clear"/>
        <w:tabs>
          <w:tab w:val="left" w:leader="none" w:pos="1222"/>
        </w:tabs>
        <w:spacing w:after="0" w:before="38" w:line="240" w:lineRule="auto"/>
        <w:ind w:left="1222" w:right="0" w:hanging="358.9999999999999"/>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ongoing projects subject to repeated authorisations (eg annual licences)</w:t>
      </w:r>
    </w:p>
    <w:p w:rsidR="00000000" w:rsidDel="00000000" w:rsidP="00000000" w:rsidRDefault="00000000" w:rsidRPr="00000000" w14:paraId="000001B6">
      <w:pPr>
        <w:keepNext w:val="0"/>
        <w:keepLines w:val="0"/>
        <w:pageBreakBefore w:val="0"/>
        <w:widowControl w:val="0"/>
        <w:numPr>
          <w:ilvl w:val="4"/>
          <w:numId w:val="3"/>
        </w:numPr>
        <w:pBdr>
          <w:top w:space="0" w:sz="0" w:val="nil"/>
          <w:left w:space="0" w:sz="0" w:val="nil"/>
          <w:bottom w:space="0" w:sz="0" w:val="nil"/>
          <w:right w:space="0" w:sz="0" w:val="nil"/>
          <w:between w:space="0" w:sz="0" w:val="nil"/>
        </w:pBdr>
        <w:shd w:fill="auto" w:val="clear"/>
        <w:tabs>
          <w:tab w:val="left" w:leader="none" w:pos="1222"/>
        </w:tabs>
        <w:spacing w:after="0" w:before="38" w:line="240" w:lineRule="auto"/>
        <w:ind w:left="1222" w:right="0" w:hanging="358.9999999999999"/>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applications lodged but not yet determined</w:t>
      </w:r>
    </w:p>
    <w:p w:rsidR="00000000" w:rsidDel="00000000" w:rsidP="00000000" w:rsidRDefault="00000000" w:rsidRPr="00000000" w14:paraId="000001B7">
      <w:pPr>
        <w:keepNext w:val="0"/>
        <w:keepLines w:val="0"/>
        <w:pageBreakBefore w:val="0"/>
        <w:widowControl w:val="0"/>
        <w:numPr>
          <w:ilvl w:val="4"/>
          <w:numId w:val="3"/>
        </w:numPr>
        <w:pBdr>
          <w:top w:space="0" w:sz="0" w:val="nil"/>
          <w:left w:space="0" w:sz="0" w:val="nil"/>
          <w:bottom w:space="0" w:sz="0" w:val="nil"/>
          <w:right w:space="0" w:sz="0" w:val="nil"/>
          <w:between w:space="0" w:sz="0" w:val="nil"/>
        </w:pBdr>
        <w:shd w:fill="auto" w:val="clear"/>
        <w:tabs>
          <w:tab w:val="left" w:leader="none" w:pos="1222"/>
        </w:tabs>
        <w:spacing w:after="0" w:before="38" w:line="240" w:lineRule="auto"/>
        <w:ind w:left="1222" w:right="0" w:hanging="358.9999999999999"/>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refusals subject to appeals procedures not yet determined</w:t>
      </w:r>
    </w:p>
    <w:p w:rsidR="00000000" w:rsidDel="00000000" w:rsidP="00000000" w:rsidRDefault="00000000" w:rsidRPr="00000000" w14:paraId="000001B8">
      <w:pPr>
        <w:keepNext w:val="0"/>
        <w:keepLines w:val="0"/>
        <w:pageBreakBefore w:val="0"/>
        <w:widowControl w:val="0"/>
        <w:numPr>
          <w:ilvl w:val="4"/>
          <w:numId w:val="3"/>
        </w:numPr>
        <w:pBdr>
          <w:top w:space="0" w:sz="0" w:val="nil"/>
          <w:left w:space="0" w:sz="0" w:val="nil"/>
          <w:bottom w:space="0" w:sz="0" w:val="nil"/>
          <w:right w:space="0" w:sz="0" w:val="nil"/>
          <w:between w:space="0" w:sz="0" w:val="nil"/>
        </w:pBdr>
        <w:shd w:fill="auto" w:val="clear"/>
        <w:tabs>
          <w:tab w:val="left" w:leader="none" w:pos="1223"/>
        </w:tabs>
        <w:spacing w:after="0" w:before="38" w:line="276" w:lineRule="auto"/>
        <w:ind w:left="1223" w:right="298"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projects not requiring consent, but which have been approved by the competent authority concerned</w:t>
      </w:r>
    </w:p>
    <w:p w:rsidR="00000000" w:rsidDel="00000000" w:rsidP="00000000" w:rsidRDefault="00000000" w:rsidRPr="00000000" w14:paraId="000001B9">
      <w:pPr>
        <w:keepNext w:val="0"/>
        <w:keepLines w:val="0"/>
        <w:pageBreakBefore w:val="0"/>
        <w:widowControl w:val="0"/>
        <w:numPr>
          <w:ilvl w:val="4"/>
          <w:numId w:val="3"/>
        </w:numPr>
        <w:pBdr>
          <w:top w:space="0" w:sz="0" w:val="nil"/>
          <w:left w:space="0" w:sz="0" w:val="nil"/>
          <w:bottom w:space="0" w:sz="0" w:val="nil"/>
          <w:right w:space="0" w:sz="0" w:val="nil"/>
          <w:between w:space="0" w:sz="0" w:val="nil"/>
        </w:pBdr>
        <w:shd w:fill="auto" w:val="clear"/>
        <w:tabs>
          <w:tab w:val="left" w:leader="none" w:pos="1222"/>
        </w:tabs>
        <w:spacing w:after="0" w:before="0" w:line="240" w:lineRule="auto"/>
        <w:ind w:left="1222" w:right="0" w:hanging="358.9999999999999"/>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proposals in adopted plans</w:t>
      </w:r>
    </w:p>
    <w:p w:rsidR="00000000" w:rsidDel="00000000" w:rsidP="00000000" w:rsidRDefault="00000000" w:rsidRPr="00000000" w14:paraId="000001BA">
      <w:pPr>
        <w:keepNext w:val="0"/>
        <w:keepLines w:val="0"/>
        <w:pageBreakBefore w:val="0"/>
        <w:widowControl w:val="0"/>
        <w:numPr>
          <w:ilvl w:val="4"/>
          <w:numId w:val="3"/>
        </w:numPr>
        <w:pBdr>
          <w:top w:space="0" w:sz="0" w:val="nil"/>
          <w:left w:space="0" w:sz="0" w:val="nil"/>
          <w:bottom w:space="0" w:sz="0" w:val="nil"/>
          <w:right w:space="0" w:sz="0" w:val="nil"/>
          <w:between w:space="0" w:sz="0" w:val="nil"/>
        </w:pBdr>
        <w:shd w:fill="auto" w:val="clear"/>
        <w:tabs>
          <w:tab w:val="left" w:leader="none" w:pos="1222"/>
        </w:tabs>
        <w:spacing w:after="0" w:before="38" w:line="240" w:lineRule="auto"/>
        <w:ind w:left="1222" w:right="0" w:hanging="358.9999999999999"/>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proposals in draft plans published for consultation</w:t>
      </w:r>
    </w:p>
    <w:p w:rsidR="00000000" w:rsidDel="00000000" w:rsidP="00000000" w:rsidRDefault="00000000" w:rsidRPr="00000000" w14:paraId="000001BB">
      <w:pPr>
        <w:keepNext w:val="0"/>
        <w:keepLines w:val="0"/>
        <w:pageBreakBefore w:val="0"/>
        <w:widowControl w:val="0"/>
        <w:numPr>
          <w:ilvl w:val="4"/>
          <w:numId w:val="3"/>
        </w:numPr>
        <w:pBdr>
          <w:top w:space="0" w:sz="0" w:val="nil"/>
          <w:left w:space="0" w:sz="0" w:val="nil"/>
          <w:bottom w:space="0" w:sz="0" w:val="nil"/>
          <w:right w:space="0" w:sz="0" w:val="nil"/>
          <w:between w:space="0" w:sz="0" w:val="nil"/>
        </w:pBdr>
        <w:shd w:fill="auto" w:val="clear"/>
        <w:tabs>
          <w:tab w:val="left" w:leader="none" w:pos="1222"/>
        </w:tabs>
        <w:spacing w:after="0" w:before="38" w:line="240" w:lineRule="auto"/>
        <w:ind w:left="1222" w:right="0" w:hanging="358.9999999999999"/>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allocations or other forms of proposals in adopted development plans</w:t>
      </w:r>
    </w:p>
    <w:p w:rsidR="00000000" w:rsidDel="00000000" w:rsidP="00000000" w:rsidRDefault="00000000" w:rsidRPr="00000000" w14:paraId="000001BC">
      <w:pPr>
        <w:keepNext w:val="0"/>
        <w:keepLines w:val="0"/>
        <w:pageBreakBefore w:val="0"/>
        <w:widowControl w:val="0"/>
        <w:numPr>
          <w:ilvl w:val="4"/>
          <w:numId w:val="3"/>
        </w:numPr>
        <w:pBdr>
          <w:top w:space="0" w:sz="0" w:val="nil"/>
          <w:left w:space="0" w:sz="0" w:val="nil"/>
          <w:bottom w:space="0" w:sz="0" w:val="nil"/>
          <w:right w:space="0" w:sz="0" w:val="nil"/>
          <w:between w:space="0" w:sz="0" w:val="nil"/>
        </w:pBdr>
        <w:shd w:fill="auto" w:val="clear"/>
        <w:tabs>
          <w:tab w:val="left" w:leader="none" w:pos="1223"/>
        </w:tabs>
        <w:spacing w:after="0" w:before="38" w:line="276" w:lineRule="auto"/>
        <w:ind w:left="1223" w:right="30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allocations or other forms of proposals in draft development plans published for consultation.</w:t>
      </w:r>
    </w:p>
    <w:p w:rsidR="00000000" w:rsidDel="00000000" w:rsidP="00000000" w:rsidRDefault="00000000" w:rsidRPr="00000000" w14:paraId="000001BD">
      <w:pPr>
        <w:tabs>
          <w:tab w:val="left" w:leader="none" w:pos="1223"/>
        </w:tabs>
        <w:spacing w:before="38" w:line="276" w:lineRule="auto"/>
        <w:ind w:right="300"/>
        <w:rPr/>
      </w:pPr>
      <w:r w:rsidDel="00000000" w:rsidR="00000000" w:rsidRPr="00000000">
        <w:rPr>
          <w:rtl w:val="0"/>
        </w:rPr>
        <w:t xml:space="preserve">The current farm at St Justinians is a project which is running for 20 years since the license was granted in 2023 and has been subject to a HRA assessment. However, this HRA found that there were no adverse effects of the farm on designated sites and therefore this does not need to be included in an in-combination assessment.</w:t>
      </w:r>
    </w:p>
    <w:p w:rsidR="00000000" w:rsidDel="00000000" w:rsidP="00000000" w:rsidRDefault="00000000" w:rsidRPr="00000000" w14:paraId="000001BE">
      <w:pPr>
        <w:pStyle w:val="Heading3"/>
        <w:tabs>
          <w:tab w:val="left" w:leader="none" w:pos="688"/>
        </w:tabs>
        <w:spacing w:before="240" w:lineRule="auto"/>
        <w:rPr/>
      </w:pPr>
      <w:r w:rsidDel="00000000" w:rsidR="00000000" w:rsidRPr="00000000">
        <w:rPr>
          <w:rtl w:val="0"/>
        </w:rPr>
        <w:t xml:space="preserve">Conclusion of Appropriate Assessment</w:t>
      </w:r>
    </w:p>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43" w:right="30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Based upon the considerations presented in the sections above, we consider that there is strong evidence to suggest any risks to habitat features are reduced to an acceptable level, either resulting from the predicted effects of the plan or project on its own or when those predicted effects are considered in combination with the effects resulting from other relevant plans or projects.</w:t>
      </w:r>
    </w:p>
    <w:p w:rsidR="00000000" w:rsidDel="00000000" w:rsidP="00000000" w:rsidRDefault="00000000" w:rsidRPr="00000000" w14:paraId="000001C1">
      <w:pPr>
        <w:pStyle w:val="Heading2"/>
        <w:tabs>
          <w:tab w:val="left" w:leader="none" w:pos="809"/>
        </w:tabs>
        <w:ind w:left="143" w:firstLine="0"/>
        <w:rPr/>
      </w:pPr>
      <w:r w:rsidDel="00000000" w:rsidR="00000000" w:rsidRPr="00000000">
        <w:rPr>
          <w:rtl w:val="0"/>
        </w:rPr>
        <w:t xml:space="preserve">General Impacts</w:t>
      </w:r>
    </w:p>
    <w:p w:rsidR="00000000" w:rsidDel="00000000" w:rsidP="00000000" w:rsidRDefault="00000000" w:rsidRPr="00000000" w14:paraId="000001C2">
      <w:pPr>
        <w:pStyle w:val="Heading2"/>
        <w:tabs>
          <w:tab w:val="left" w:leader="none" w:pos="809"/>
        </w:tabs>
        <w:ind w:left="143" w:firstLine="0"/>
        <w:rPr/>
      </w:pPr>
      <w:r w:rsidDel="00000000" w:rsidR="00000000" w:rsidRPr="00000000">
        <w:rPr>
          <w:rtl w:val="0"/>
        </w:rPr>
        <w:t xml:space="preserve">Seabed habitats and species</w:t>
      </w:r>
    </w:p>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80" w:lineRule="auto"/>
        <w:ind w:left="143" w:right="297"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impact of aquaculture on the environment and effects of the environment on aquaculture production have become important issues in recent years. There is evidence that marine and freshwater aquaculture can cause environmental change, which in some cases may adversely affect the long-term viability of the aquaculture operation itself, or result in serious conflicts with other users of aquatic resources. These problems have led to a need to consider aquaculture as one component in the aquatic ecosystem and to plan aquaculture development in a way which makes efficient use of resources. There have been several recent reviews of impacts associated with finfish (Beveridge, 1984; NCC, 1989), mollusc (ICES, 1989; NCC, 1989) and crustacean (Phillips et al, 1990) culture but there is little information on seaweed culture. Further it must be highlighted that all aquaculture above is intensive monoculture - very often with feed and chemical inputs. However these proposed farms are FUNDAMENTALLY different. It is extensive integrated multi trophic aquaculture (IMTA) farming multi species with zero inputs of feed and chemicals designed just to deliver positive impact on the marine environment</w:t>
      </w:r>
    </w:p>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80" w:lineRule="auto"/>
        <w:ind w:left="143" w:right="297"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According to the Scottish government’s seaweed cultivation policy (</w:t>
      </w:r>
      <w:hyperlink r:id="rId13">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Marine Scotland, 2017</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Câr Y Môr is referred to as a ‘Small-medium’ seaweed farm (0–50 × 200 m lines). The main farm at St Justinians has 24 120m lines and the proposed farms in total will have 11 lines for cultivating shellfish with some seaweed lines amongst them. In this section we address these environmental implications in correlation to the scale of the seaweed and shellfish farm.</w:t>
      </w:r>
    </w:p>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 w:line="240" w:lineRule="auto"/>
        <w:ind w:left="143"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main environmental impacts caused by seaweed and shellfish farming:</w:t>
      </w:r>
    </w:p>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63"/>
        </w:tabs>
        <w:spacing w:after="0" w:before="0" w:line="280" w:lineRule="auto"/>
        <w:ind w:left="863" w:right="309"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Physical effects: Physical structures, physical shading, deposition of sediments and particulate organic matter (POM).</w:t>
      </w:r>
    </w:p>
    <w:p w:rsidR="00000000" w:rsidDel="00000000" w:rsidP="00000000" w:rsidRDefault="00000000" w:rsidRPr="00000000" w14:paraId="000001C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62"/>
        </w:tabs>
        <w:spacing w:after="0" w:before="0" w:line="251" w:lineRule="auto"/>
        <w:ind w:left="862" w:right="0" w:hanging="359"/>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Ecological effects: Loss of habitat, diseases.</w:t>
      </w:r>
    </w:p>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A">
      <w:pPr>
        <w:pStyle w:val="Heading3"/>
        <w:tabs>
          <w:tab w:val="left" w:leader="none" w:pos="688"/>
        </w:tabs>
        <w:ind w:left="143" w:firstLine="0"/>
        <w:rPr/>
      </w:pPr>
      <w:r w:rsidDel="00000000" w:rsidR="00000000" w:rsidRPr="00000000">
        <w:rPr>
          <w:rtl w:val="0"/>
        </w:rPr>
        <w:t xml:space="preserve">Physical structures</w:t>
      </w:r>
    </w:p>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0" w:lineRule="auto"/>
        <w:ind w:left="143" w:right="30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Introduction of seaweed and shellfish lantern nets, ropes, anchors and other structures can disturb seabed habitats and cause sediments to become suspended. Each anchor will cover just 0.5 m</w:t>
      </w:r>
      <w:r w:rsidDel="00000000" w:rsidR="00000000" w:rsidRPr="00000000">
        <w:rPr>
          <w:rFonts w:ascii="Arial" w:cs="Arial" w:eastAsia="Arial" w:hAnsi="Arial"/>
          <w:b w:val="0"/>
          <w:i w:val="0"/>
          <w:smallCaps w:val="0"/>
          <w:strike w:val="0"/>
          <w:color w:val="000000"/>
          <w:sz w:val="22"/>
          <w:szCs w:val="22"/>
          <w:u w:val="none"/>
          <w:shd w:fill="auto" w:val="clear"/>
          <w:vertAlign w:val="superscript"/>
          <w:rtl w:val="0"/>
        </w:rPr>
        <w:t xml:space="preserve">2</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and the ground chain an area of 15 m</w:t>
      </w:r>
      <w:r w:rsidDel="00000000" w:rsidR="00000000" w:rsidRPr="00000000">
        <w:rPr>
          <w:rFonts w:ascii="Arial" w:cs="Arial" w:eastAsia="Arial" w:hAnsi="Arial"/>
          <w:b w:val="0"/>
          <w:i w:val="0"/>
          <w:smallCaps w:val="0"/>
          <w:strike w:val="0"/>
          <w:color w:val="000000"/>
          <w:sz w:val="22"/>
          <w:szCs w:val="22"/>
          <w:u w:val="none"/>
          <w:shd w:fill="auto" w:val="clear"/>
          <w:vertAlign w:val="superscript"/>
          <w:rtl w:val="0"/>
        </w:rPr>
        <w:t xml:space="preserve">2</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on the seabed. To minimise the impact, structures will also be placed carefully on the seabed to minimise disturbance and with use of drop down video, and will not be placed on or near any vulnerable habitats that have been identified as detailed in the Baseline Benthic Habitat Survey Report.</w:t>
      </w:r>
    </w:p>
    <w:p w:rsidR="00000000" w:rsidDel="00000000" w:rsidP="00000000" w:rsidRDefault="00000000" w:rsidRPr="00000000" w14:paraId="000001CD">
      <w:pPr>
        <w:pStyle w:val="Heading3"/>
        <w:tabs>
          <w:tab w:val="left" w:leader="none" w:pos="688"/>
        </w:tabs>
        <w:spacing w:before="235" w:lineRule="auto"/>
        <w:ind w:left="143" w:firstLine="0"/>
        <w:rPr/>
      </w:pPr>
      <w:r w:rsidDel="00000000" w:rsidR="00000000" w:rsidRPr="00000000">
        <w:rPr>
          <w:rtl w:val="0"/>
        </w:rPr>
        <w:t xml:space="preserve">Deposition of sediment and particulate organic matter (POM)</w:t>
      </w:r>
    </w:p>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0" w:lineRule="auto"/>
        <w:ind w:left="143" w:right="299"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installation of the seaweed and shellfish farm may disturb the sediments, enhancing sedimentation through suspension. Organic matter from the shellfish may also fall to the seabed, affecting the seabed habitats and increasing the risk of eutrophication. However, due to the fast currents in the area, deposition of organic matter is unlikely. Bivalve farms in intertidal high-energy and well flushed areas have been found to have a low impact on sediments, with high dispersal of organic particles (Gallardi et al. 2014; Campbell et al. 2018).</w:t>
      </w:r>
    </w:p>
    <w:p w:rsidR="00000000" w:rsidDel="00000000" w:rsidP="00000000" w:rsidRDefault="00000000" w:rsidRPr="00000000" w14:paraId="000001D0">
      <w:pPr>
        <w:pStyle w:val="Heading3"/>
        <w:tabs>
          <w:tab w:val="left" w:leader="none" w:pos="688"/>
        </w:tabs>
        <w:spacing w:before="234" w:lineRule="auto"/>
        <w:ind w:left="143" w:firstLine="0"/>
        <w:rPr/>
      </w:pPr>
      <w:r w:rsidDel="00000000" w:rsidR="00000000" w:rsidRPr="00000000">
        <w:rPr>
          <w:rtl w:val="0"/>
        </w:rPr>
        <w:t xml:space="preserve">Ecological effects</w:t>
      </w:r>
    </w:p>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143" w:right="304"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Ecological effects of seaweed and shellfish farming can be both positive and negative. The main effects are outlined in Table 3 below.</w:t>
      </w:r>
    </w:p>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143" w:right="304"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143" w:right="304"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143" w:right="304"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143" w:right="304"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143" w:right="304"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143" w:right="304"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143" w:right="304"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143" w:right="304"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143" w:right="304"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143" w:right="304"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143" w:right="304"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E">
      <w:pPr>
        <w:spacing w:before="238" w:line="280" w:lineRule="auto"/>
        <w:ind w:left="143" w:right="305" w:firstLine="0"/>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DF">
      <w:pPr>
        <w:spacing w:before="238" w:line="280" w:lineRule="auto"/>
        <w:ind w:left="143" w:right="305" w:firstLine="0"/>
        <w:jc w:val="both"/>
        <w:rPr>
          <w:sz w:val="20"/>
          <w:szCs w:val="20"/>
        </w:rPr>
      </w:pPr>
      <w:r w:rsidDel="00000000" w:rsidR="00000000" w:rsidRPr="00000000">
        <w:rPr>
          <w:rFonts w:ascii="Arial" w:cs="Arial" w:eastAsia="Arial" w:hAnsi="Arial"/>
          <w:b w:val="1"/>
          <w:sz w:val="20"/>
          <w:szCs w:val="20"/>
          <w:rtl w:val="0"/>
        </w:rPr>
        <w:t xml:space="preserve">Table 3</w:t>
      </w:r>
      <w:r w:rsidDel="00000000" w:rsidR="00000000" w:rsidRPr="00000000">
        <w:rPr>
          <w:sz w:val="20"/>
          <w:szCs w:val="20"/>
          <w:rtl w:val="0"/>
        </w:rPr>
        <w:t xml:space="preserve">. Potential physical issues associated with seaweed culture indicating positive and negative effects.</w:t>
      </w:r>
    </w:p>
    <w:tbl>
      <w:tblPr>
        <w:tblStyle w:val="Table10"/>
        <w:tblW w:w="10000.0" w:type="dxa"/>
        <w:jc w:val="left"/>
        <w:tblInd w:w="-1.999999999999993" w:type="dxa"/>
        <w:tblLayout w:type="fixed"/>
        <w:tblLook w:val="0400"/>
      </w:tblPr>
      <w:tblGrid>
        <w:gridCol w:w="2720"/>
        <w:gridCol w:w="3720"/>
        <w:gridCol w:w="3560"/>
        <w:tblGridChange w:id="0">
          <w:tblGrid>
            <w:gridCol w:w="2720"/>
            <w:gridCol w:w="3720"/>
            <w:gridCol w:w="3560"/>
          </w:tblGrid>
        </w:tblGridChange>
      </w:tblGrid>
      <w:tr>
        <w:trPr>
          <w:cantSplit w:val="0"/>
          <w:trHeight w:val="288" w:hRule="atLeast"/>
          <w:tblHeader w:val="0"/>
        </w:trPr>
        <w:tc>
          <w:tcPr>
            <w:tcBorders>
              <w:top w:color="000000" w:space="0" w:sz="4" w:val="single"/>
              <w:left w:color="000000" w:space="0" w:sz="4" w:val="single"/>
              <w:bottom w:color="000000" w:space="0" w:sz="4" w:val="single"/>
              <w:right w:color="000000" w:space="0" w:sz="4" w:val="single"/>
            </w:tcBorders>
            <w:shd w:fill="d0cece" w:val="clear"/>
            <w:vAlign w:val="center"/>
          </w:tcPr>
          <w:p w:rsidR="00000000" w:rsidDel="00000000" w:rsidP="00000000" w:rsidRDefault="00000000" w:rsidRPr="00000000" w14:paraId="000001E0">
            <w:pPr>
              <w:widowControl w:val="1"/>
              <w:ind w:firstLine="201"/>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OPERATION AND ISSUES</w:t>
            </w:r>
          </w:p>
        </w:tc>
        <w:tc>
          <w:tcPr>
            <w:tcBorders>
              <w:top w:color="000000" w:space="0" w:sz="4" w:val="single"/>
              <w:left w:color="000000" w:space="0" w:sz="0" w:val="nil"/>
              <w:bottom w:color="000000" w:space="0" w:sz="4" w:val="single"/>
              <w:right w:color="000000" w:space="0" w:sz="4" w:val="single"/>
            </w:tcBorders>
            <w:shd w:fill="d0cece" w:val="clear"/>
            <w:vAlign w:val="bottom"/>
          </w:tcPr>
          <w:p w:rsidR="00000000" w:rsidDel="00000000" w:rsidP="00000000" w:rsidRDefault="00000000" w:rsidRPr="00000000" w14:paraId="000001E1">
            <w:pPr>
              <w:widowControl w:val="1"/>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POSITIVE EFFECTS</w:t>
            </w:r>
          </w:p>
        </w:tc>
        <w:tc>
          <w:tcPr>
            <w:tcBorders>
              <w:top w:color="000000" w:space="0" w:sz="4" w:val="single"/>
              <w:left w:color="000000" w:space="0" w:sz="0" w:val="nil"/>
              <w:bottom w:color="000000" w:space="0" w:sz="4" w:val="single"/>
              <w:right w:color="000000" w:space="0" w:sz="4" w:val="single"/>
            </w:tcBorders>
            <w:shd w:fill="d0cece" w:val="clear"/>
            <w:vAlign w:val="bottom"/>
          </w:tcPr>
          <w:p w:rsidR="00000000" w:rsidDel="00000000" w:rsidP="00000000" w:rsidRDefault="00000000" w:rsidRPr="00000000" w14:paraId="000001E2">
            <w:pPr>
              <w:widowControl w:val="1"/>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NEGATIVE EFFECTS</w:t>
            </w:r>
          </w:p>
        </w:tc>
      </w:tr>
      <w:tr>
        <w:trPr>
          <w:cantSplit w:val="0"/>
          <w:trHeight w:val="792"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E3">
            <w:pPr>
              <w:widowControl w:val="1"/>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Water quality</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E4">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Enhanced oxygen, removal of nutrients, seaweed production</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E5">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Reduced coastal phytoplankton, increased particulate matter in the water column (increased turbidity)</w:t>
            </w:r>
          </w:p>
        </w:tc>
      </w:tr>
      <w:tr>
        <w:trPr>
          <w:cantSplit w:val="0"/>
          <w:trHeight w:val="528"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E6">
            <w:pPr>
              <w:widowControl w:val="1"/>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Benthos</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E7">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Enhanced polyculture (e.g. with mollusc)</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E8">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Changes in benthic species and production</w:t>
            </w:r>
          </w:p>
        </w:tc>
      </w:tr>
      <w:tr>
        <w:trPr>
          <w:cantSplit w:val="0"/>
          <w:trHeight w:val="528" w:hRule="atLeast"/>
          <w:tblHeader w:val="0"/>
        </w:trPr>
        <w:tc>
          <w:tcPr>
            <w:vMerge w:val="restart"/>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E9">
            <w:pPr>
              <w:widowControl w:val="1"/>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Water column productivity</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EA">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Enhanced production of invertebrates and finfish</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EB">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Predators changes in community structure</w:t>
            </w:r>
          </w:p>
        </w:tc>
      </w:tr>
      <w:tr>
        <w:trPr>
          <w:cantSplit w:val="0"/>
          <w:trHeight w:val="288" w:hRule="atLeast"/>
          <w:tblHeader w:val="0"/>
        </w:trPr>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ED">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Shelter of fish fry</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EE">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Competence</w:t>
            </w:r>
          </w:p>
        </w:tc>
      </w:tr>
      <w:tr>
        <w:trPr>
          <w:cantSplit w:val="0"/>
          <w:trHeight w:val="288" w:hRule="atLeast"/>
          <w:tblHeader w:val="0"/>
        </w:trPr>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F0">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Polyculture</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F1">
            <w:pPr>
              <w:widowControl w:val="1"/>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r>
    </w:tbl>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sectPr>
          <w:type w:val="nextPage"/>
          <w:pgSz w:h="16840" w:w="11920" w:orient="portrait"/>
          <w:pgMar w:bottom="1060" w:top="920" w:left="1275" w:right="1133" w:header="716" w:footer="877"/>
        </w:sectPr>
      </w:pPr>
      <w:r w:rsidDel="00000000" w:rsidR="00000000" w:rsidRPr="00000000">
        <w:rPr>
          <w:rtl w:val="0"/>
        </w:rPr>
      </w:r>
    </w:p>
    <w:p w:rsidR="00000000" w:rsidDel="00000000" w:rsidP="00000000" w:rsidRDefault="00000000" w:rsidRPr="00000000" w14:paraId="000001F3">
      <w:pPr>
        <w:rPr>
          <w:sz w:val="20"/>
          <w:szCs w:val="20"/>
        </w:rPr>
        <w:sectPr>
          <w:type w:val="continuous"/>
          <w:pgSz w:h="16840" w:w="11920" w:orient="portrait"/>
          <w:pgMar w:bottom="280" w:top="740" w:left="1275" w:right="1133" w:header="716" w:footer="877"/>
          <w:cols w:equalWidth="0" w:num="3">
            <w:col w:space="288" w:w="2978.666666666667"/>
            <w:col w:space="288" w:w="2978.666666666667"/>
            <w:col w:space="0" w:w="2978.666666666667"/>
          </w:cols>
        </w:sectPr>
      </w:pPr>
      <w:r w:rsidDel="00000000" w:rsidR="00000000" w:rsidRPr="00000000">
        <w:rPr>
          <w:rtl w:val="0"/>
        </w:rPr>
      </w:r>
    </w:p>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6" w:line="240" w:lineRule="auto"/>
        <w:ind w:left="0" w:right="0" w:firstLine="0"/>
        <w:jc w:val="left"/>
        <w:rPr>
          <w:rFonts w:ascii="Arial" w:cs="Arial" w:eastAsia="Arial" w:hAnsi="Arial"/>
          <w:b w:val="0"/>
          <w:i w:val="0"/>
          <w:smallCaps w:val="0"/>
          <w:strike w:val="0"/>
          <w:color w:val="000000"/>
          <w:sz w:val="11"/>
          <w:szCs w:val="11"/>
          <w:u w:val="none"/>
          <w:shd w:fill="auto" w:val="clear"/>
          <w:vertAlign w:val="baseline"/>
        </w:rPr>
      </w:pPr>
      <w:r w:rsidDel="00000000" w:rsidR="00000000" w:rsidRPr="00000000">
        <w:rPr>
          <w:rtl w:val="0"/>
        </w:rPr>
      </w:r>
    </w:p>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 w:lineRule="auto"/>
        <w:ind w:left="145"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p w:rsidR="00000000" w:rsidDel="00000000" w:rsidP="00000000" w:rsidRDefault="00000000" w:rsidRPr="00000000" w14:paraId="000001F6">
      <w:pPr>
        <w:pStyle w:val="Heading3"/>
        <w:tabs>
          <w:tab w:val="left" w:leader="none" w:pos="688"/>
        </w:tabs>
        <w:spacing w:before="1" w:lineRule="auto"/>
        <w:ind w:left="143" w:firstLine="0"/>
        <w:rPr/>
      </w:pPr>
      <w:r w:rsidDel="00000000" w:rsidR="00000000" w:rsidRPr="00000000">
        <w:rPr>
          <w:rtl w:val="0"/>
        </w:rPr>
        <w:t xml:space="preserve">Loss of habitat - anchoring</w:t>
      </w:r>
    </w:p>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3" w:line="276" w:lineRule="auto"/>
        <w:ind w:left="143" w:right="297"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Given the small footprint of the area, relevant to the protected SAC sites and the overall habitat in the area, the loss of habitat due to anchoring will be minimal. The affected species and habitats are common, and are not on the list of Welsh Biodiversity Action Plan (BAP) habitats and species. Anchors and ground chain placed will be done in areas with sandy sediment, devoid of many species. The anchors will be placed carefully to avoid any further sediment disturbance. Any sediment disturbance that does occur will quickly settle due to the high current speeds in the area. The loss of the habitat due to anchoring is also not permanent, as the anchors can be removed at the end of the ocean farm’s life. The small area of seabed habitat affected could then recover.</w:t>
      </w:r>
    </w:p>
    <w:p w:rsidR="00000000" w:rsidDel="00000000" w:rsidP="00000000" w:rsidRDefault="00000000" w:rsidRPr="00000000" w14:paraId="000001F8">
      <w:pPr>
        <w:pStyle w:val="Heading3"/>
        <w:tabs>
          <w:tab w:val="left" w:leader="none" w:pos="688"/>
        </w:tabs>
        <w:spacing w:before="240" w:lineRule="auto"/>
        <w:ind w:left="143" w:firstLine="0"/>
        <w:rPr/>
      </w:pPr>
      <w:r w:rsidDel="00000000" w:rsidR="00000000" w:rsidRPr="00000000">
        <w:rPr>
          <w:rtl w:val="0"/>
        </w:rPr>
        <w:t xml:space="preserve">Physical damage &amp; smothering during installation and operation</w:t>
      </w:r>
    </w:p>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80" w:lineRule="auto"/>
        <w:ind w:left="143" w:right="298"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During installation and maintenance of the farms, the highest risk is material dropping to the seabed and accumulating, such as seaweed detritus, shellfish shells, pseudo-faeces etc. However, due to the high currents in the area and locally, it is likely that any materials will be quickly transported away from the site, before settling on the seabed. Monitoring will also take place throughout the farm’s operation, to ensure that deposition of excess material is not occurring, and to plan for changes to operation if this is the case. Previous monitoring of the farms currently in place has found no evidence of these issues over the last 5 years.</w:t>
      </w:r>
    </w:p>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 w:line="280" w:lineRule="auto"/>
        <w:ind w:left="143" w:right="301" w:firstLine="0"/>
        <w:jc w:val="both"/>
        <w:rPr>
          <w:rFonts w:ascii="Arial" w:cs="Arial" w:eastAsia="Arial" w:hAnsi="Arial"/>
          <w:b w:val="0"/>
          <w:i w:val="0"/>
          <w:smallCaps w:val="0"/>
          <w:strike w:val="0"/>
          <w:color w:val="000000"/>
          <w:sz w:val="22"/>
          <w:szCs w:val="22"/>
          <w:u w:val="none"/>
          <w:shd w:fill="auto" w:val="clear"/>
          <w:vertAlign w:val="baseline"/>
        </w:rPr>
        <w:sectPr>
          <w:type w:val="continuous"/>
          <w:pgSz w:h="16840" w:w="11920" w:orient="portrait"/>
          <w:pgMar w:bottom="280" w:top="740" w:left="1275" w:right="1133" w:header="716" w:footer="877"/>
        </w:sect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There is also a risk of storm damage to the farm, affecting moorings and other equipment. Following learnings from the trial farm sites, equipment and set-up have now been fine-tuned to withstand storms and extreme weather conditions. Additional measures will be put in place, in the case of a storm, such as lowering the lines deeper in the water to protect from wave damage. These steps will greatly minimise the risk that equipment comes loose from the farm, resulting in marine pollution. Additionally the monitoring protocol is always to check</w:t>
      </w:r>
    </w:p>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6"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143" w:right="30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farms during storm conditions from the coastal paths and afterwards by boat. Neighbours to the trial farms volunteer to take regular pictures and circulate to members - especially in bad weather. Many in the community are committed to safeguarding the sites.</w:t>
      </w:r>
    </w:p>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 w:line="280" w:lineRule="auto"/>
        <w:ind w:left="143" w:right="298"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Finally, the installation of anchors and lines has the potential to impact on fragile habitats. Erect sponges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axinellids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and ross coral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Pentapora foliacea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are common on rocky habitats in some parts of the proposed area. They are very vulnerable to physical damage from heavy objects or dragged lines and their recovery would be slow, due to slow growth rates. Video footage of the farm areas has not shown any evidence of these species living in these areas.</w:t>
      </w:r>
    </w:p>
    <w:p w:rsidR="00000000" w:rsidDel="00000000" w:rsidP="00000000" w:rsidRDefault="00000000" w:rsidRPr="00000000" w14:paraId="000001FE">
      <w:pPr>
        <w:pStyle w:val="Heading3"/>
        <w:tabs>
          <w:tab w:val="left" w:leader="none" w:pos="688"/>
        </w:tabs>
        <w:spacing w:before="232" w:lineRule="auto"/>
        <w:ind w:left="143" w:firstLine="0"/>
        <w:rPr/>
      </w:pPr>
      <w:r w:rsidDel="00000000" w:rsidR="00000000" w:rsidRPr="00000000">
        <w:rPr>
          <w:rtl w:val="0"/>
        </w:rPr>
        <w:t xml:space="preserve">Shading of the seabed from sunlight</w:t>
      </w:r>
    </w:p>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80" w:lineRule="auto"/>
        <w:ind w:left="143" w:right="297"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risk of shading of the seabed by seaweed and shellfish lines is minimal. Light is still able to penetrate through the lines, as sufficient distance is planned between the lines for work boat operation and to avoid any lines crossing. Furthermore, the seaweed will be harvested in the spring when it reaches its most dense stage, thus clearing the water column for several months of the year. Again, the seabed under the farm and water column surrounding will be monitored, for any changes in light availability and turbidity. There are no seagrass beds in the vicinity, thus shading is not considered a significant risk. Further due to the site being at minimum chart datum of 10 meters, the seabed under the sites is seen as an animal zone - the lower infralittoral zone and the upper circalittoral zone.</w:t>
      </w:r>
    </w:p>
    <w:p w:rsidR="00000000" w:rsidDel="00000000" w:rsidP="00000000" w:rsidRDefault="00000000" w:rsidRPr="00000000" w14:paraId="00000200">
      <w:pPr>
        <w:pStyle w:val="Heading3"/>
        <w:tabs>
          <w:tab w:val="left" w:leader="none" w:pos="688"/>
        </w:tabs>
        <w:spacing w:before="232" w:lineRule="auto"/>
        <w:ind w:left="143" w:firstLine="0"/>
        <w:rPr/>
      </w:pPr>
      <w:r w:rsidDel="00000000" w:rsidR="00000000" w:rsidRPr="00000000">
        <w:rPr>
          <w:rtl w:val="0"/>
        </w:rPr>
        <w:t xml:space="preserve">Marine mammals</w:t>
      </w:r>
    </w:p>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43" w:right="299"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Marine mammals present in the area include the grey seal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Halichoerus grypus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common dolphin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Delphinus delphis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bottlenose dolphin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Tursiops truncatus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harbour porpoises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Phocoena phocoena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Risso’s dolphin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Grampus griseus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Short-beaked common dolphin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Delphinus delphinus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and even some visiting whales such as the Northern minke whale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Balaenoptera acutorostrata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Grey seal haul out sites are present in the Ramsey Sound. Grey seals are one of the key species that the Pembrokeshire Marine SAC is designated for, with a breeding population of around 5,000 individuals, and making up 4% of the UK grey seal population. Pupping season is in the autumn, from August at the earliest, to December at the latest. The Ramsey Sound population is mostly on the south east coast of the island.</w:t>
      </w:r>
    </w:p>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43" w:right="309"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There is a porpoise sensitive area within the Sound, identified under the Pembrokeshire Marine Code, with ‘cautionary’ areas to the north of the Sound, and ‘extreme caution’ areas to the south.</w:t>
      </w:r>
    </w:p>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3"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potential impact on these marine mammals by the proposed sites:</w:t>
      </w:r>
    </w:p>
    <w:p w:rsidR="00000000" w:rsidDel="00000000" w:rsidP="00000000" w:rsidRDefault="00000000" w:rsidRPr="00000000" w14:paraId="00000207">
      <w:pPr>
        <w:keepNext w:val="0"/>
        <w:keepLines w:val="0"/>
        <w:pageBreakBefore w:val="0"/>
        <w:widowControl w:val="0"/>
        <w:numPr>
          <w:ilvl w:val="3"/>
          <w:numId w:val="2"/>
        </w:numPr>
        <w:pBdr>
          <w:top w:space="0" w:sz="0" w:val="nil"/>
          <w:left w:space="0" w:sz="0" w:val="nil"/>
          <w:bottom w:space="0" w:sz="0" w:val="nil"/>
          <w:right w:space="0" w:sz="0" w:val="nil"/>
          <w:between w:space="0" w:sz="0" w:val="nil"/>
        </w:pBdr>
        <w:shd w:fill="auto" w:val="clear"/>
        <w:tabs>
          <w:tab w:val="left" w:leader="none" w:pos="1583"/>
        </w:tabs>
        <w:spacing w:after="0" w:before="38" w:line="276" w:lineRule="auto"/>
        <w:ind w:left="1583" w:right="31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impact on the Porpoises as they stay in the fast moving tidal areas through the centre of the sound feeding.</w:t>
      </w:r>
    </w:p>
    <w:p w:rsidR="00000000" w:rsidDel="00000000" w:rsidP="00000000" w:rsidRDefault="00000000" w:rsidRPr="00000000" w14:paraId="00000208">
      <w:pPr>
        <w:keepNext w:val="0"/>
        <w:keepLines w:val="0"/>
        <w:pageBreakBefore w:val="0"/>
        <w:widowControl w:val="0"/>
        <w:numPr>
          <w:ilvl w:val="3"/>
          <w:numId w:val="2"/>
        </w:numPr>
        <w:pBdr>
          <w:top w:space="0" w:sz="0" w:val="nil"/>
          <w:left w:space="0" w:sz="0" w:val="nil"/>
          <w:bottom w:space="0" w:sz="0" w:val="nil"/>
          <w:right w:space="0" w:sz="0" w:val="nil"/>
          <w:between w:space="0" w:sz="0" w:val="nil"/>
        </w:pBdr>
        <w:shd w:fill="auto" w:val="clear"/>
        <w:tabs>
          <w:tab w:val="left" w:leader="none" w:pos="1583"/>
        </w:tabs>
        <w:spacing w:after="0" w:before="0" w:line="276" w:lineRule="auto"/>
        <w:ind w:left="1583" w:right="299" w:hanging="360"/>
        <w:jc w:val="both"/>
        <w:rPr>
          <w:rFonts w:ascii="Arial" w:cs="Arial" w:eastAsia="Arial" w:hAnsi="Arial"/>
          <w:b w:val="0"/>
          <w:i w:val="0"/>
          <w:smallCaps w:val="0"/>
          <w:strike w:val="0"/>
          <w:color w:val="000000"/>
          <w:sz w:val="22"/>
          <w:szCs w:val="22"/>
          <w:u w:val="none"/>
          <w:shd w:fill="auto" w:val="clear"/>
          <w:vertAlign w:val="baseline"/>
        </w:rPr>
        <w:sectPr>
          <w:type w:val="nextPage"/>
          <w:pgSz w:h="16840" w:w="11920" w:orient="portrait"/>
          <w:pgMar w:bottom="1060" w:top="920" w:left="1275" w:right="1133" w:header="716" w:footer="877"/>
        </w:sect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From time to time, seals visit the trial farms as the farms have created a new marine ecosystem and the seals visit to feed on the fish. There will be no fishing nets and all ropes will be kept taught and moored so there are no</w:t>
      </w:r>
    </w:p>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6"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583" w:right="297"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opportunities for entrapment. When divers are checking the trial farms, seals often come to investigate as they are very inquisitive creatures, so it is probable that some seals will visit the proposed farms motivated by curiosity or in order to feed.</w:t>
      </w:r>
    </w:p>
    <w:p w:rsidR="00000000" w:rsidDel="00000000" w:rsidP="00000000" w:rsidRDefault="00000000" w:rsidRPr="00000000" w14:paraId="0000020B">
      <w:pPr>
        <w:keepNext w:val="0"/>
        <w:keepLines w:val="0"/>
        <w:pageBreakBefore w:val="0"/>
        <w:widowControl w:val="0"/>
        <w:numPr>
          <w:ilvl w:val="3"/>
          <w:numId w:val="2"/>
        </w:numPr>
        <w:pBdr>
          <w:top w:space="0" w:sz="0" w:val="nil"/>
          <w:left w:space="0" w:sz="0" w:val="nil"/>
          <w:bottom w:space="0" w:sz="0" w:val="nil"/>
          <w:right w:space="0" w:sz="0" w:val="nil"/>
          <w:between w:space="0" w:sz="0" w:val="nil"/>
        </w:pBdr>
        <w:shd w:fill="auto" w:val="clear"/>
        <w:tabs>
          <w:tab w:val="left" w:leader="none" w:pos="1583"/>
        </w:tabs>
        <w:spacing w:after="0" w:before="0" w:line="276" w:lineRule="auto"/>
        <w:ind w:left="1583" w:right="304"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All other mammals mentioned do not visit the proposed site, as it is relatively shallow and close to the coast and out of the main current they all travel through for feeding.</w:t>
      </w:r>
    </w:p>
    <w:p w:rsidR="00000000" w:rsidDel="00000000" w:rsidP="00000000" w:rsidRDefault="00000000" w:rsidRPr="00000000" w14:paraId="0000020C">
      <w:pPr>
        <w:keepNext w:val="0"/>
        <w:keepLines w:val="0"/>
        <w:pageBreakBefore w:val="0"/>
        <w:widowControl w:val="0"/>
        <w:numPr>
          <w:ilvl w:val="3"/>
          <w:numId w:val="2"/>
        </w:numPr>
        <w:pBdr>
          <w:top w:space="0" w:sz="0" w:val="nil"/>
          <w:left w:space="0" w:sz="0" w:val="nil"/>
          <w:bottom w:space="0" w:sz="0" w:val="nil"/>
          <w:right w:space="0" w:sz="0" w:val="nil"/>
          <w:between w:space="0" w:sz="0" w:val="nil"/>
        </w:pBdr>
        <w:shd w:fill="auto" w:val="clear"/>
        <w:tabs>
          <w:tab w:val="left" w:leader="none" w:pos="1583"/>
        </w:tabs>
        <w:spacing w:after="0" w:before="0" w:line="276" w:lineRule="auto"/>
        <w:ind w:left="1583" w:right="298"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fact that the trial farms have created a new marine ecosystem implies that a three hectare farm will probably create a haven for more juvenile marine life. This in turn will attract predators, including marine mammals. Unlike intensive fish farming, there are no predator nets or large net cages etc. - however there is still a minor risk of entrapment. No entrapment has been seen at the trial sites. A number of rope grown mussel farms in Scotland have been assessed for this risk, and no marine mammals have been found to become entangled. Instead, they have been found to feed in the area due to increased fish density.</w:t>
      </w:r>
    </w:p>
    <w:p w:rsidR="00000000" w:rsidDel="00000000" w:rsidP="00000000" w:rsidRDefault="00000000" w:rsidRPr="00000000" w14:paraId="0000020D">
      <w:pPr>
        <w:keepNext w:val="0"/>
        <w:keepLines w:val="0"/>
        <w:pageBreakBefore w:val="0"/>
        <w:widowControl w:val="0"/>
        <w:numPr>
          <w:ilvl w:val="3"/>
          <w:numId w:val="2"/>
        </w:numPr>
        <w:pBdr>
          <w:top w:space="0" w:sz="0" w:val="nil"/>
          <w:left w:space="0" w:sz="0" w:val="nil"/>
          <w:bottom w:space="0" w:sz="0" w:val="nil"/>
          <w:right w:space="0" w:sz="0" w:val="nil"/>
          <w:between w:space="0" w:sz="0" w:val="nil"/>
        </w:pBdr>
        <w:shd w:fill="auto" w:val="clear"/>
        <w:tabs>
          <w:tab w:val="left" w:leader="none" w:pos="1583"/>
        </w:tabs>
        <w:spacing w:after="0" w:before="0" w:line="276" w:lineRule="auto"/>
        <w:ind w:left="1583" w:right="299"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All volunteers and the local community are informed of the monitoring protocol of always checking from the coast path, by boat and underwater. These include regular checking of the anchoring lines to keep the lines taut at all times, checking of the farm after extreme weather and at regular intervals, and frequent maintenance. Furthermore, remote underwater cameras will be regularly used on the farms at different depths. If any entanglement risk to mammals are identified, the Society will be notified so actions can be taken immediately to reduce the risk.</w:t>
      </w:r>
    </w:p>
    <w:p w:rsidR="00000000" w:rsidDel="00000000" w:rsidP="00000000" w:rsidRDefault="00000000" w:rsidRPr="00000000" w14:paraId="0000020E">
      <w:pPr>
        <w:keepNext w:val="0"/>
        <w:keepLines w:val="0"/>
        <w:pageBreakBefore w:val="0"/>
        <w:widowControl w:val="0"/>
        <w:numPr>
          <w:ilvl w:val="3"/>
          <w:numId w:val="2"/>
        </w:numPr>
        <w:pBdr>
          <w:top w:space="0" w:sz="0" w:val="nil"/>
          <w:left w:space="0" w:sz="0" w:val="nil"/>
          <w:bottom w:space="0" w:sz="0" w:val="nil"/>
          <w:right w:space="0" w:sz="0" w:val="nil"/>
          <w:between w:space="0" w:sz="0" w:val="nil"/>
        </w:pBdr>
        <w:shd w:fill="auto" w:val="clear"/>
        <w:tabs>
          <w:tab w:val="left" w:leader="none" w:pos="1583"/>
        </w:tabs>
        <w:spacing w:after="0" w:before="0" w:line="276" w:lineRule="auto"/>
        <w:ind w:left="1583" w:right="301"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potential impact of disturbing any mammals will be mitigated by reducing boat speed and any activity that frightens them, as a key objective of these farms is to improve marine ecosystems.</w:t>
      </w:r>
    </w:p>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1">
      <w:pPr>
        <w:pStyle w:val="Heading3"/>
        <w:tabs>
          <w:tab w:val="left" w:leader="none" w:pos="688"/>
        </w:tabs>
        <w:ind w:left="143" w:firstLine="0"/>
        <w:rPr/>
      </w:pPr>
      <w:r w:rsidDel="00000000" w:rsidR="00000000" w:rsidRPr="00000000">
        <w:rPr>
          <w:rtl w:val="0"/>
        </w:rPr>
        <w:t xml:space="preserve">Seabirds</w:t>
      </w:r>
    </w:p>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80" w:lineRule="auto"/>
        <w:ind w:left="143" w:right="299"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Seabirds are sensitive to changes in the quality of the marine environment, especially to changes in fish stocks and to oil pollution. None of these risks are conducted by Câr Y Môr.</w:t>
      </w:r>
    </w:p>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 w:line="280" w:lineRule="auto"/>
        <w:ind w:left="143" w:right="30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However, the daily port traffic, for example Ramsey Island visitors, is described as a temporary disturbance for seabirds.</w:t>
      </w:r>
    </w:p>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80" w:lineRule="auto"/>
        <w:ind w:left="143" w:right="298"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Ramsey Island is described as an important breeding site for seabirds as a consequence of the rat eradication (Bell et al. 2019). Câr Y Môr does not have any interaction with Ramsey Island.Ramsey Island is an important RSPB nature reserve for birds, with species present including the Manx shearwater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Puffinus puffinus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chough (</w:t>
      </w:r>
      <w:r w:rsidDel="00000000" w:rsidR="00000000" w:rsidRPr="00000000">
        <w:rPr>
          <w:rFonts w:ascii="Arial" w:cs="Arial" w:eastAsia="Arial" w:hAnsi="Arial"/>
          <w:b w:val="0"/>
          <w:i w:val="1"/>
          <w:smallCaps w:val="0"/>
          <w:strike w:val="0"/>
          <w:color w:val="000000"/>
          <w:sz w:val="21"/>
          <w:szCs w:val="21"/>
          <w:u w:val="none"/>
          <w:shd w:fill="auto" w:val="clear"/>
          <w:vertAlign w:val="baseline"/>
          <w:rtl w:val="0"/>
        </w:rPr>
        <w:t xml:space="preserve">Pyrrhocorax</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guillemot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Uria aalge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Atlantic puffin (Fratercula arctica), European shag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Phalacrocorax aristotelis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Northern gannet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Morus bassanus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Razorbill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Alca torda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Common skoter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Melanitta nigra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and numerous other seabirds.</w:t>
      </w:r>
    </w:p>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7" w:line="240" w:lineRule="auto"/>
        <w:ind w:left="143"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potential impact on these birds by the proposed St Justinian site:</w:t>
      </w:r>
    </w:p>
    <w:p w:rsidR="00000000" w:rsidDel="00000000" w:rsidP="00000000" w:rsidRDefault="00000000" w:rsidRPr="00000000" w14:paraId="00000216">
      <w:pPr>
        <w:keepNext w:val="0"/>
        <w:keepLines w:val="0"/>
        <w:pageBreakBefore w:val="0"/>
        <w:widowControl w:val="0"/>
        <w:numPr>
          <w:ilvl w:val="3"/>
          <w:numId w:val="2"/>
        </w:numPr>
        <w:pBdr>
          <w:top w:space="0" w:sz="0" w:val="nil"/>
          <w:left w:space="0" w:sz="0" w:val="nil"/>
          <w:bottom w:space="0" w:sz="0" w:val="nil"/>
          <w:right w:space="0" w:sz="0" w:val="nil"/>
          <w:between w:space="0" w:sz="0" w:val="nil"/>
        </w:pBdr>
        <w:shd w:fill="auto" w:val="clear"/>
        <w:tabs>
          <w:tab w:val="left" w:leader="none" w:pos="1583"/>
        </w:tabs>
        <w:spacing w:after="0" w:before="38" w:line="276" w:lineRule="auto"/>
        <w:ind w:left="1583" w:right="300" w:hanging="360"/>
        <w:jc w:val="both"/>
        <w:rPr>
          <w:rFonts w:ascii="Arial" w:cs="Arial" w:eastAsia="Arial" w:hAnsi="Arial"/>
          <w:b w:val="0"/>
          <w:i w:val="0"/>
          <w:smallCaps w:val="0"/>
          <w:strike w:val="0"/>
          <w:color w:val="000000"/>
          <w:sz w:val="22"/>
          <w:szCs w:val="22"/>
          <w:u w:val="none"/>
          <w:shd w:fill="auto" w:val="clear"/>
          <w:vertAlign w:val="baseline"/>
        </w:rPr>
        <w:sectPr>
          <w:type w:val="nextPage"/>
          <w:pgSz w:h="16840" w:w="11920" w:orient="portrait"/>
          <w:pgMar w:bottom="1060" w:top="920" w:left="1275" w:right="1133" w:header="716" w:footer="877"/>
        </w:sect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Local bird watchers have been delighted by gannets visiting and feeding at the trial sites, so it’s envisaged that the new sites will also attract them in greater numbers;</w:t>
      </w:r>
    </w:p>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6"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8">
      <w:pPr>
        <w:keepNext w:val="0"/>
        <w:keepLines w:val="0"/>
        <w:pageBreakBefore w:val="0"/>
        <w:widowControl w:val="0"/>
        <w:numPr>
          <w:ilvl w:val="3"/>
          <w:numId w:val="2"/>
        </w:numPr>
        <w:pBdr>
          <w:top w:space="0" w:sz="0" w:val="nil"/>
          <w:left w:space="0" w:sz="0" w:val="nil"/>
          <w:bottom w:space="0" w:sz="0" w:val="nil"/>
          <w:right w:space="0" w:sz="0" w:val="nil"/>
          <w:between w:space="0" w:sz="0" w:val="nil"/>
        </w:pBdr>
        <w:shd w:fill="auto" w:val="clear"/>
        <w:tabs>
          <w:tab w:val="left" w:leader="none" w:pos="1583"/>
        </w:tabs>
        <w:spacing w:after="0" w:before="0" w:line="276" w:lineRule="auto"/>
        <w:ind w:left="1583" w:right="30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nesting birds have been seen near either of the trial sites and therefore near these proposed sites. However, the society’s monitoring protocol is for all members to report any future nesting birds near the farms so that disturbance can be minimised from any farm activities;</w:t>
      </w:r>
    </w:p>
    <w:p w:rsidR="00000000" w:rsidDel="00000000" w:rsidP="00000000" w:rsidRDefault="00000000" w:rsidRPr="00000000" w14:paraId="00000219">
      <w:pPr>
        <w:keepNext w:val="0"/>
        <w:keepLines w:val="0"/>
        <w:pageBreakBefore w:val="0"/>
        <w:widowControl w:val="0"/>
        <w:numPr>
          <w:ilvl w:val="3"/>
          <w:numId w:val="2"/>
        </w:numPr>
        <w:pBdr>
          <w:top w:space="0" w:sz="0" w:val="nil"/>
          <w:left w:space="0" w:sz="0" w:val="nil"/>
          <w:bottom w:space="0" w:sz="0" w:val="nil"/>
          <w:right w:space="0" w:sz="0" w:val="nil"/>
          <w:between w:space="0" w:sz="0" w:val="nil"/>
        </w:pBdr>
        <w:shd w:fill="auto" w:val="clear"/>
        <w:tabs>
          <w:tab w:val="left" w:leader="none" w:pos="1583"/>
        </w:tabs>
        <w:spacing w:after="0" w:before="0" w:line="276" w:lineRule="auto"/>
        <w:ind w:left="1583" w:right="31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there will be no nets and all ropes will be kept taught and moored, there will be minimal opportunities for entrapment of the birds;</w:t>
      </w:r>
    </w:p>
    <w:p w:rsidR="00000000" w:rsidDel="00000000" w:rsidP="00000000" w:rsidRDefault="00000000" w:rsidRPr="00000000" w14:paraId="0000021A">
      <w:pPr>
        <w:keepNext w:val="0"/>
        <w:keepLines w:val="0"/>
        <w:pageBreakBefore w:val="0"/>
        <w:widowControl w:val="0"/>
        <w:numPr>
          <w:ilvl w:val="3"/>
          <w:numId w:val="2"/>
        </w:numPr>
        <w:pBdr>
          <w:top w:space="0" w:sz="0" w:val="nil"/>
          <w:left w:space="0" w:sz="0" w:val="nil"/>
          <w:bottom w:space="0" w:sz="0" w:val="nil"/>
          <w:right w:space="0" w:sz="0" w:val="nil"/>
          <w:between w:space="0" w:sz="0" w:val="nil"/>
        </w:pBdr>
        <w:shd w:fill="auto" w:val="clear"/>
        <w:tabs>
          <w:tab w:val="left" w:leader="none" w:pos="1583"/>
        </w:tabs>
        <w:spacing w:after="0" w:before="0" w:line="276" w:lineRule="auto"/>
        <w:ind w:left="1583" w:right="298"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fact that the trial farms have created a new marine ecosystem implies that increasing the farm sizes will probably create a haven for more juvenile marine life, which in turn will attract more marine birds. Unlike intensive fish farming there are no predator nets or hundreds of square meters of net cages etc. - however there must still be a small risk of entrapment. None has been seen at the trial sites which is good news - but all volunteers and the local community are informed of the monitoring protocol of always checking from the coast path, by boat and underwater. Furthermore, remote underwater cameras will be regularly used on the farms at different depths. If any entanglement risk to birds is identified, all have been asked to notify the Society so actions can be taken to reduce the risk;</w:t>
      </w:r>
    </w:p>
    <w:p w:rsidR="00000000" w:rsidDel="00000000" w:rsidP="00000000" w:rsidRDefault="00000000" w:rsidRPr="00000000" w14:paraId="0000021B">
      <w:pPr>
        <w:keepNext w:val="0"/>
        <w:keepLines w:val="0"/>
        <w:pageBreakBefore w:val="0"/>
        <w:widowControl w:val="0"/>
        <w:numPr>
          <w:ilvl w:val="3"/>
          <w:numId w:val="2"/>
        </w:numPr>
        <w:pBdr>
          <w:top w:space="0" w:sz="0" w:val="nil"/>
          <w:left w:space="0" w:sz="0" w:val="nil"/>
          <w:bottom w:space="0" w:sz="0" w:val="nil"/>
          <w:right w:space="0" w:sz="0" w:val="nil"/>
          <w:between w:space="0" w:sz="0" w:val="nil"/>
        </w:pBdr>
        <w:shd w:fill="auto" w:val="clear"/>
        <w:tabs>
          <w:tab w:val="left" w:leader="none" w:pos="1583"/>
        </w:tabs>
        <w:spacing w:after="0" w:before="0" w:line="276" w:lineRule="auto"/>
        <w:ind w:left="1583" w:right="303"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potential impact of disturbing any birds will be mitigated by reducing boat speed and any activity that frightens them.</w:t>
      </w:r>
    </w:p>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D">
      <w:pPr>
        <w:pStyle w:val="Heading3"/>
        <w:tabs>
          <w:tab w:val="left" w:leader="none" w:pos="688"/>
        </w:tabs>
        <w:ind w:left="143" w:firstLine="0"/>
        <w:rPr/>
      </w:pPr>
      <w:r w:rsidDel="00000000" w:rsidR="00000000" w:rsidRPr="00000000">
        <w:rPr>
          <w:rtl w:val="0"/>
        </w:rPr>
        <w:t xml:space="preserve">Fish</w:t>
      </w:r>
    </w:p>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3"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Fish which are present as Annex II species include:</w:t>
      </w:r>
    </w:p>
    <w:p w:rsidR="00000000" w:rsidDel="00000000" w:rsidP="00000000" w:rsidRDefault="00000000" w:rsidRPr="00000000" w14:paraId="00000220">
      <w:pPr>
        <w:keepNext w:val="0"/>
        <w:keepLines w:val="0"/>
        <w:pageBreakBefore w:val="0"/>
        <w:widowControl w:val="0"/>
        <w:numPr>
          <w:ilvl w:val="3"/>
          <w:numId w:val="2"/>
        </w:numPr>
        <w:pBdr>
          <w:top w:space="0" w:sz="0" w:val="nil"/>
          <w:left w:space="0" w:sz="0" w:val="nil"/>
          <w:bottom w:space="0" w:sz="0" w:val="nil"/>
          <w:right w:space="0" w:sz="0" w:val="nil"/>
          <w:between w:space="0" w:sz="0" w:val="nil"/>
        </w:pBdr>
        <w:shd w:fill="auto" w:val="clear"/>
        <w:tabs>
          <w:tab w:val="left" w:leader="none" w:pos="862"/>
        </w:tabs>
        <w:spacing w:after="0" w:before="38" w:line="240" w:lineRule="auto"/>
        <w:ind w:left="862" w:right="0" w:hanging="359"/>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Allis shad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Alosa alosa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21">
      <w:pPr>
        <w:keepNext w:val="0"/>
        <w:keepLines w:val="0"/>
        <w:pageBreakBefore w:val="0"/>
        <w:widowControl w:val="0"/>
        <w:numPr>
          <w:ilvl w:val="3"/>
          <w:numId w:val="2"/>
        </w:numPr>
        <w:pBdr>
          <w:top w:space="0" w:sz="0" w:val="nil"/>
          <w:left w:space="0" w:sz="0" w:val="nil"/>
          <w:bottom w:space="0" w:sz="0" w:val="nil"/>
          <w:right w:space="0" w:sz="0" w:val="nil"/>
          <w:between w:space="0" w:sz="0" w:val="nil"/>
        </w:pBdr>
        <w:shd w:fill="auto" w:val="clear"/>
        <w:tabs>
          <w:tab w:val="left" w:leader="none" w:pos="862"/>
        </w:tabs>
        <w:spacing w:after="0" w:before="38" w:line="240" w:lineRule="auto"/>
        <w:ind w:left="862" w:right="0" w:hanging="359"/>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Twaite shad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Alosa fallax</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22">
      <w:pPr>
        <w:keepNext w:val="0"/>
        <w:keepLines w:val="0"/>
        <w:pageBreakBefore w:val="0"/>
        <w:widowControl w:val="0"/>
        <w:numPr>
          <w:ilvl w:val="3"/>
          <w:numId w:val="2"/>
        </w:numPr>
        <w:pBdr>
          <w:top w:space="0" w:sz="0" w:val="nil"/>
          <w:left w:space="0" w:sz="0" w:val="nil"/>
          <w:bottom w:space="0" w:sz="0" w:val="nil"/>
          <w:right w:space="0" w:sz="0" w:val="nil"/>
          <w:between w:space="0" w:sz="0" w:val="nil"/>
        </w:pBdr>
        <w:shd w:fill="auto" w:val="clear"/>
        <w:tabs>
          <w:tab w:val="left" w:leader="none" w:pos="862"/>
        </w:tabs>
        <w:spacing w:after="0" w:before="38" w:line="240" w:lineRule="auto"/>
        <w:ind w:left="862" w:right="0" w:hanging="359"/>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River lamprey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Lampetra fluviatilis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23">
      <w:pPr>
        <w:keepNext w:val="0"/>
        <w:keepLines w:val="0"/>
        <w:pageBreakBefore w:val="0"/>
        <w:widowControl w:val="0"/>
        <w:numPr>
          <w:ilvl w:val="3"/>
          <w:numId w:val="2"/>
        </w:numPr>
        <w:pBdr>
          <w:top w:space="0" w:sz="0" w:val="nil"/>
          <w:left w:space="0" w:sz="0" w:val="nil"/>
          <w:bottom w:space="0" w:sz="0" w:val="nil"/>
          <w:right w:space="0" w:sz="0" w:val="nil"/>
          <w:between w:space="0" w:sz="0" w:val="nil"/>
        </w:pBdr>
        <w:shd w:fill="auto" w:val="clear"/>
        <w:tabs>
          <w:tab w:val="left" w:leader="none" w:pos="862"/>
        </w:tabs>
        <w:spacing w:after="0" w:before="37" w:line="240" w:lineRule="auto"/>
        <w:ind w:left="862" w:right="0" w:hanging="359"/>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Seal lamprey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Petromyzon marinus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5">
      <w:pPr>
        <w:spacing w:line="276" w:lineRule="auto"/>
        <w:ind w:left="143" w:right="300" w:firstLine="0"/>
        <w:jc w:val="both"/>
        <w:rPr/>
      </w:pPr>
      <w:r w:rsidDel="00000000" w:rsidR="00000000" w:rsidRPr="00000000">
        <w:rPr>
          <w:rtl w:val="0"/>
        </w:rPr>
        <w:t xml:space="preserve">Basking sharks (</w:t>
      </w:r>
      <w:r w:rsidDel="00000000" w:rsidR="00000000" w:rsidRPr="00000000">
        <w:rPr>
          <w:rFonts w:ascii="Arial" w:cs="Arial" w:eastAsia="Arial" w:hAnsi="Arial"/>
          <w:i w:val="1"/>
          <w:rtl w:val="0"/>
        </w:rPr>
        <w:t xml:space="preserve">Cetorhinus maximus</w:t>
      </w:r>
      <w:r w:rsidDel="00000000" w:rsidR="00000000" w:rsidRPr="00000000">
        <w:rPr>
          <w:rtl w:val="0"/>
        </w:rPr>
        <w:t xml:space="preserve">) are visitors to the Ramsey Sound. Cod (</w:t>
      </w:r>
      <w:r w:rsidDel="00000000" w:rsidR="00000000" w:rsidRPr="00000000">
        <w:rPr>
          <w:rFonts w:ascii="Arial" w:cs="Arial" w:eastAsia="Arial" w:hAnsi="Arial"/>
          <w:i w:val="1"/>
          <w:rtl w:val="0"/>
        </w:rPr>
        <w:t xml:space="preserve">Gadus morhua</w:t>
      </w:r>
      <w:r w:rsidDel="00000000" w:rsidR="00000000" w:rsidRPr="00000000">
        <w:rPr>
          <w:rtl w:val="0"/>
        </w:rPr>
        <w:t xml:space="preserve">), bass (</w:t>
      </w:r>
      <w:r w:rsidDel="00000000" w:rsidR="00000000" w:rsidRPr="00000000">
        <w:rPr>
          <w:rFonts w:ascii="Arial" w:cs="Arial" w:eastAsia="Arial" w:hAnsi="Arial"/>
          <w:i w:val="1"/>
          <w:rtl w:val="0"/>
        </w:rPr>
        <w:t xml:space="preserve">Micropterus salmoides</w:t>
      </w:r>
      <w:r w:rsidDel="00000000" w:rsidR="00000000" w:rsidRPr="00000000">
        <w:rPr>
          <w:rtl w:val="0"/>
        </w:rPr>
        <w:t xml:space="preserve">), whiting (</w:t>
      </w:r>
      <w:r w:rsidDel="00000000" w:rsidR="00000000" w:rsidRPr="00000000">
        <w:rPr>
          <w:rFonts w:ascii="Arial" w:cs="Arial" w:eastAsia="Arial" w:hAnsi="Arial"/>
          <w:i w:val="1"/>
          <w:rtl w:val="0"/>
        </w:rPr>
        <w:t xml:space="preserve">Merlangius merlangus</w:t>
      </w:r>
      <w:r w:rsidDel="00000000" w:rsidR="00000000" w:rsidRPr="00000000">
        <w:rPr>
          <w:rtl w:val="0"/>
        </w:rPr>
        <w:t xml:space="preserve">), herring (</w:t>
      </w:r>
      <w:r w:rsidDel="00000000" w:rsidR="00000000" w:rsidRPr="00000000">
        <w:rPr>
          <w:rFonts w:ascii="Arial" w:cs="Arial" w:eastAsia="Arial" w:hAnsi="Arial"/>
          <w:i w:val="1"/>
          <w:rtl w:val="0"/>
        </w:rPr>
        <w:t xml:space="preserve">Clupea harengus</w:t>
      </w:r>
      <w:r w:rsidDel="00000000" w:rsidR="00000000" w:rsidRPr="00000000">
        <w:rPr>
          <w:rtl w:val="0"/>
        </w:rPr>
        <w:t xml:space="preserve">), sole (</w:t>
      </w:r>
      <w:r w:rsidDel="00000000" w:rsidR="00000000" w:rsidRPr="00000000">
        <w:rPr>
          <w:rFonts w:ascii="Arial" w:cs="Arial" w:eastAsia="Arial" w:hAnsi="Arial"/>
          <w:i w:val="1"/>
          <w:rtl w:val="0"/>
        </w:rPr>
        <w:t xml:space="preserve">Clupea harengus</w:t>
      </w:r>
      <w:r w:rsidDel="00000000" w:rsidR="00000000" w:rsidRPr="00000000">
        <w:rPr>
          <w:rtl w:val="0"/>
        </w:rPr>
        <w:t xml:space="preserve">), plaice (</w:t>
      </w:r>
      <w:r w:rsidDel="00000000" w:rsidR="00000000" w:rsidRPr="00000000">
        <w:rPr>
          <w:rFonts w:ascii="Arial" w:cs="Arial" w:eastAsia="Arial" w:hAnsi="Arial"/>
          <w:i w:val="1"/>
          <w:rtl w:val="0"/>
        </w:rPr>
        <w:t xml:space="preserve">Pleuronectes platessa</w:t>
      </w:r>
      <w:r w:rsidDel="00000000" w:rsidR="00000000" w:rsidRPr="00000000">
        <w:rPr>
          <w:rtl w:val="0"/>
        </w:rPr>
        <w:t xml:space="preserve">), turbot (</w:t>
      </w:r>
      <w:r w:rsidDel="00000000" w:rsidR="00000000" w:rsidRPr="00000000">
        <w:rPr>
          <w:rFonts w:ascii="Arial" w:cs="Arial" w:eastAsia="Arial" w:hAnsi="Arial"/>
          <w:i w:val="1"/>
          <w:rtl w:val="0"/>
        </w:rPr>
        <w:t xml:space="preserve">Scophthalmus maximus</w:t>
      </w:r>
      <w:r w:rsidDel="00000000" w:rsidR="00000000" w:rsidRPr="00000000">
        <w:rPr>
          <w:rtl w:val="0"/>
        </w:rPr>
        <w:t xml:space="preserve">), rays (</w:t>
      </w:r>
      <w:r w:rsidDel="00000000" w:rsidR="00000000" w:rsidRPr="00000000">
        <w:rPr>
          <w:rFonts w:ascii="Arial" w:cs="Arial" w:eastAsia="Arial" w:hAnsi="Arial"/>
          <w:i w:val="1"/>
          <w:rtl w:val="0"/>
        </w:rPr>
        <w:t xml:space="preserve">Batoidea sp.</w:t>
      </w:r>
      <w:r w:rsidDel="00000000" w:rsidR="00000000" w:rsidRPr="00000000">
        <w:rPr>
          <w:rtl w:val="0"/>
        </w:rPr>
        <w:t xml:space="preserve">), pollock (</w:t>
      </w:r>
      <w:r w:rsidDel="00000000" w:rsidR="00000000" w:rsidRPr="00000000">
        <w:rPr>
          <w:rFonts w:ascii="Arial" w:cs="Arial" w:eastAsia="Arial" w:hAnsi="Arial"/>
          <w:i w:val="1"/>
          <w:rtl w:val="0"/>
        </w:rPr>
        <w:t xml:space="preserve">Pollachius sp.</w:t>
      </w:r>
      <w:r w:rsidDel="00000000" w:rsidR="00000000" w:rsidRPr="00000000">
        <w:rPr>
          <w:rtl w:val="0"/>
        </w:rPr>
        <w:t xml:space="preserve">), mackerel (</w:t>
      </w:r>
      <w:r w:rsidDel="00000000" w:rsidR="00000000" w:rsidRPr="00000000">
        <w:rPr>
          <w:rFonts w:ascii="Arial" w:cs="Arial" w:eastAsia="Arial" w:hAnsi="Arial"/>
          <w:i w:val="1"/>
          <w:rtl w:val="0"/>
        </w:rPr>
        <w:t xml:space="preserve">Scomber scombrus</w:t>
      </w:r>
      <w:r w:rsidDel="00000000" w:rsidR="00000000" w:rsidRPr="00000000">
        <w:rPr>
          <w:rtl w:val="0"/>
        </w:rPr>
        <w:t xml:space="preserve">), wrasse (</w:t>
      </w:r>
      <w:r w:rsidDel="00000000" w:rsidR="00000000" w:rsidRPr="00000000">
        <w:rPr>
          <w:rFonts w:ascii="Arial" w:cs="Arial" w:eastAsia="Arial" w:hAnsi="Arial"/>
          <w:i w:val="1"/>
          <w:rtl w:val="0"/>
        </w:rPr>
        <w:t xml:space="preserve">Labridae sp.</w:t>
      </w:r>
      <w:r w:rsidDel="00000000" w:rsidR="00000000" w:rsidRPr="00000000">
        <w:rPr>
          <w:rtl w:val="0"/>
        </w:rPr>
        <w:t xml:space="preserve">) and lobsters (</w:t>
      </w:r>
      <w:r w:rsidDel="00000000" w:rsidR="00000000" w:rsidRPr="00000000">
        <w:rPr>
          <w:rFonts w:ascii="Arial" w:cs="Arial" w:eastAsia="Arial" w:hAnsi="Arial"/>
          <w:i w:val="1"/>
          <w:rtl w:val="0"/>
        </w:rPr>
        <w:t xml:space="preserve">Nephropidae</w:t>
      </w:r>
      <w:r w:rsidDel="00000000" w:rsidR="00000000" w:rsidRPr="00000000">
        <w:rPr>
          <w:rtl w:val="0"/>
        </w:rPr>
        <w:t xml:space="preserve">) are also present in the area.</w:t>
      </w:r>
    </w:p>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143"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potential impact on these fish and reptiles at the proposed expansion sites:</w:t>
      </w:r>
    </w:p>
    <w:p w:rsidR="00000000" w:rsidDel="00000000" w:rsidP="00000000" w:rsidRDefault="00000000" w:rsidRPr="00000000" w14:paraId="00000227">
      <w:pPr>
        <w:keepNext w:val="0"/>
        <w:keepLines w:val="0"/>
        <w:pageBreakBefore w:val="0"/>
        <w:widowControl w:val="0"/>
        <w:numPr>
          <w:ilvl w:val="4"/>
          <w:numId w:val="2"/>
        </w:numPr>
        <w:pBdr>
          <w:top w:space="0" w:sz="0" w:val="nil"/>
          <w:left w:space="0" w:sz="0" w:val="nil"/>
          <w:bottom w:space="0" w:sz="0" w:val="nil"/>
          <w:right w:space="0" w:sz="0" w:val="nil"/>
          <w:between w:space="0" w:sz="0" w:val="nil"/>
        </w:pBdr>
        <w:shd w:fill="auto" w:val="clear"/>
        <w:tabs>
          <w:tab w:val="left" w:leader="none" w:pos="1583"/>
        </w:tabs>
        <w:spacing w:after="0" w:before="38" w:line="276" w:lineRule="auto"/>
        <w:ind w:left="1583" w:right="298"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Local fishermen and boats running fishing trips have reported lots of juvenile fish at the trial sites, confirmed by gannets visiting and feeding at the trial sites;</w:t>
      </w:r>
    </w:p>
    <w:p w:rsidR="00000000" w:rsidDel="00000000" w:rsidP="00000000" w:rsidRDefault="00000000" w:rsidRPr="00000000" w14:paraId="00000228">
      <w:pPr>
        <w:keepNext w:val="0"/>
        <w:keepLines w:val="0"/>
        <w:pageBreakBefore w:val="0"/>
        <w:widowControl w:val="0"/>
        <w:numPr>
          <w:ilvl w:val="4"/>
          <w:numId w:val="2"/>
        </w:numPr>
        <w:pBdr>
          <w:top w:space="0" w:sz="0" w:val="nil"/>
          <w:left w:space="0" w:sz="0" w:val="nil"/>
          <w:bottom w:space="0" w:sz="0" w:val="nil"/>
          <w:right w:space="0" w:sz="0" w:val="nil"/>
          <w:between w:space="0" w:sz="0" w:val="nil"/>
        </w:pBdr>
        <w:shd w:fill="auto" w:val="clear"/>
        <w:tabs>
          <w:tab w:val="left" w:leader="none" w:pos="1583"/>
        </w:tabs>
        <w:spacing w:after="0" w:before="0" w:line="276" w:lineRule="auto"/>
        <w:ind w:left="1583" w:right="302"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there are no nets and all ropes are kept taught and moored, there are no opportunities for entrapment of these fish;</w:t>
      </w:r>
    </w:p>
    <w:p w:rsidR="00000000" w:rsidDel="00000000" w:rsidP="00000000" w:rsidRDefault="00000000" w:rsidRPr="00000000" w14:paraId="00000229">
      <w:pPr>
        <w:keepNext w:val="0"/>
        <w:keepLines w:val="0"/>
        <w:pageBreakBefore w:val="0"/>
        <w:widowControl w:val="0"/>
        <w:numPr>
          <w:ilvl w:val="4"/>
          <w:numId w:val="2"/>
        </w:numPr>
        <w:pBdr>
          <w:top w:space="0" w:sz="0" w:val="nil"/>
          <w:left w:space="0" w:sz="0" w:val="nil"/>
          <w:bottom w:space="0" w:sz="0" w:val="nil"/>
          <w:right w:space="0" w:sz="0" w:val="nil"/>
          <w:between w:space="0" w:sz="0" w:val="nil"/>
        </w:pBdr>
        <w:shd w:fill="auto" w:val="clear"/>
        <w:tabs>
          <w:tab w:val="left" w:leader="none" w:pos="1583"/>
        </w:tabs>
        <w:spacing w:after="0" w:before="0" w:line="276" w:lineRule="auto"/>
        <w:ind w:left="1583" w:right="299"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fact that the trial farms have created a new marine ecosystem implies that expanding these farms will probably create a haven for more juvenile marine life which in turn will attract more marine birds;</w:t>
      </w:r>
    </w:p>
    <w:p w:rsidR="00000000" w:rsidDel="00000000" w:rsidP="00000000" w:rsidRDefault="00000000" w:rsidRPr="00000000" w14:paraId="0000022A">
      <w:pPr>
        <w:keepNext w:val="0"/>
        <w:keepLines w:val="0"/>
        <w:pageBreakBefore w:val="0"/>
        <w:widowControl w:val="0"/>
        <w:numPr>
          <w:ilvl w:val="4"/>
          <w:numId w:val="2"/>
        </w:numPr>
        <w:pBdr>
          <w:top w:space="0" w:sz="0" w:val="nil"/>
          <w:left w:space="0" w:sz="0" w:val="nil"/>
          <w:bottom w:space="0" w:sz="0" w:val="nil"/>
          <w:right w:space="0" w:sz="0" w:val="nil"/>
          <w:between w:space="0" w:sz="0" w:val="nil"/>
        </w:pBdr>
        <w:shd w:fill="auto" w:val="clear"/>
        <w:tabs>
          <w:tab w:val="left" w:leader="none" w:pos="1583"/>
        </w:tabs>
        <w:spacing w:after="0" w:before="0" w:line="276" w:lineRule="auto"/>
        <w:ind w:left="1583" w:right="303" w:hanging="360"/>
        <w:jc w:val="both"/>
        <w:rPr>
          <w:rFonts w:ascii="Arial" w:cs="Arial" w:eastAsia="Arial" w:hAnsi="Arial"/>
          <w:b w:val="0"/>
          <w:i w:val="0"/>
          <w:smallCaps w:val="0"/>
          <w:strike w:val="0"/>
          <w:color w:val="000000"/>
          <w:sz w:val="22"/>
          <w:szCs w:val="22"/>
          <w:u w:val="none"/>
          <w:shd w:fill="auto" w:val="clear"/>
          <w:vertAlign w:val="baseline"/>
        </w:rPr>
        <w:sectPr>
          <w:type w:val="nextPage"/>
          <w:pgSz w:h="16840" w:w="11920" w:orient="portrait"/>
          <w:pgMar w:bottom="1060" w:top="920" w:left="1275" w:right="1133" w:header="716" w:footer="877"/>
        </w:sect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potential impact of disturbing any fish will be mitigated by reducing boat speed and any activity that frightens them.</w:t>
      </w:r>
    </w:p>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3"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C">
      <w:pPr>
        <w:pStyle w:val="Heading2"/>
        <w:tabs>
          <w:tab w:val="left" w:leader="none" w:pos="543"/>
        </w:tabs>
        <w:spacing w:before="0" w:lineRule="auto"/>
        <w:ind w:left="143" w:firstLine="0"/>
        <w:rPr/>
      </w:pPr>
      <w:r w:rsidDel="00000000" w:rsidR="00000000" w:rsidRPr="00000000">
        <w:rPr>
          <w:rtl w:val="0"/>
        </w:rPr>
        <w:t xml:space="preserve">Surrounding environment</w:t>
      </w:r>
    </w:p>
    <w:p w:rsidR="00000000" w:rsidDel="00000000" w:rsidP="00000000" w:rsidRDefault="00000000" w:rsidRPr="00000000" w14:paraId="0000022D">
      <w:pPr>
        <w:pStyle w:val="Heading3"/>
        <w:tabs>
          <w:tab w:val="left" w:leader="none" w:pos="688"/>
        </w:tabs>
        <w:spacing w:before="240" w:lineRule="auto"/>
        <w:ind w:left="143" w:firstLine="0"/>
        <w:rPr/>
      </w:pPr>
      <w:r w:rsidDel="00000000" w:rsidR="00000000" w:rsidRPr="00000000">
        <w:rPr>
          <w:rtl w:val="0"/>
        </w:rPr>
        <w:t xml:space="preserve">Plankton and water quality</w:t>
      </w:r>
    </w:p>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80" w:lineRule="auto"/>
        <w:ind w:left="143" w:right="301"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There is a risk of removal of plankton and other organic material by filter feeding shellfish, removal of nutrients by seaweed and production of organic material by seaweed. The presence of seaweed in the water is also likely to have a marginal influence on the turbidity of the water due to particulates fragmenting from the cultivars. Due to the fast tidal flow of the area, these risks are likely to be minimal. Water quality and environmental monitoring will take place.</w:t>
      </w:r>
    </w:p>
    <w:p w:rsidR="00000000" w:rsidDel="00000000" w:rsidP="00000000" w:rsidRDefault="00000000" w:rsidRPr="00000000" w14:paraId="0000022F">
      <w:pPr>
        <w:pStyle w:val="Heading3"/>
        <w:tabs>
          <w:tab w:val="left" w:leader="none" w:pos="688"/>
        </w:tabs>
        <w:spacing w:before="235" w:lineRule="auto"/>
        <w:ind w:left="143" w:firstLine="0"/>
        <w:rPr/>
      </w:pPr>
      <w:r w:rsidDel="00000000" w:rsidR="00000000" w:rsidRPr="00000000">
        <w:rPr>
          <w:rtl w:val="0"/>
        </w:rPr>
        <w:t xml:space="preserve">Tidal currents and wave exposure - effects from physical obstruction / sheltering</w:t>
      </w:r>
    </w:p>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76" w:lineRule="auto"/>
        <w:ind w:left="143" w:right="297"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Due to the type of cultivation technique overall tidal flow is not likely to be affected, as the seaweed and shellfish are suspended above the sea floor. Studies at other sites show that total tidal exchange volume would likely remain unchanged, there would be a reduction in tidal flow at the surface where seaweed is suspended, however this would cause the maximum flow point to occur below the suspended seaweed body, This could have implications for the benthic and pelagic habitats present, which would experience altered flow dynamics resulting from changes to surface boundary conditions (Campbell et al. 2018). In the case of the potential sites, this would increase the rate at which any debris from the sites would be carried away.</w:t>
      </w:r>
    </w:p>
    <w:p w:rsidR="00000000" w:rsidDel="00000000" w:rsidP="00000000" w:rsidRDefault="00000000" w:rsidRPr="00000000" w14:paraId="00000231">
      <w:pPr>
        <w:pStyle w:val="Heading3"/>
        <w:tabs>
          <w:tab w:val="left" w:leader="none" w:pos="688"/>
        </w:tabs>
        <w:spacing w:before="240" w:lineRule="auto"/>
        <w:ind w:left="143" w:firstLine="0"/>
        <w:rPr/>
      </w:pPr>
      <w:r w:rsidDel="00000000" w:rsidR="00000000" w:rsidRPr="00000000">
        <w:rPr>
          <w:rtl w:val="0"/>
        </w:rPr>
        <w:t xml:space="preserve">Genetic profile &amp; diversity</w:t>
      </w:r>
    </w:p>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 w:line="280" w:lineRule="auto"/>
        <w:ind w:left="143" w:right="297"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Native species will be introduced only at the farms, with spores from St Justinians for seaweed used to grow on kelp seedlings by Hortimare in the Netherlands until Car-Y-Mor has its own hatchery in Pembrokeshire. Mussel and Scallop spat will be settled on site. Native oyster and scallop spat will be sourced from regulated and approved bonamia free hatcheries in the Uk ( Morecambe Bay). .</w:t>
      </w:r>
    </w:p>
    <w:p w:rsidR="00000000" w:rsidDel="00000000" w:rsidP="00000000" w:rsidRDefault="00000000" w:rsidRPr="00000000" w14:paraId="00000233">
      <w:pPr>
        <w:pStyle w:val="Heading3"/>
        <w:tabs>
          <w:tab w:val="left" w:leader="none" w:pos="688"/>
        </w:tabs>
        <w:spacing w:before="236" w:lineRule="auto"/>
        <w:ind w:left="143" w:firstLine="0"/>
        <w:rPr/>
      </w:pPr>
      <w:r w:rsidDel="00000000" w:rsidR="00000000" w:rsidRPr="00000000">
        <w:rPr>
          <w:rtl w:val="0"/>
        </w:rPr>
        <w:t xml:space="preserve">Pathogens and non-native invasive species</w:t>
      </w:r>
    </w:p>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80" w:lineRule="auto"/>
        <w:ind w:left="143" w:right="30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There is no evidence that seaweed diseases have been transferred as a result of seaweed culture, unlike other forms of finfish, crustacean and mollusc culture where there are many documented examples of translocation of pathogens as a result of movements of cultured animals (Welcomme, 1988; NCC, 1989).</w:t>
      </w:r>
    </w:p>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80" w:lineRule="auto"/>
        <w:ind w:left="143" w:right="299"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risks of introducing pathogens and invasive species with seedstock, juvenile shellfish or on equipment or footwear will be reduced by strict cleaning and checking procedures, and through regular inspections. No non-native species will be introduced through the continued implementation of the INNS Biosecurity Protocol which has also been submitted with this application.</w:t>
      </w:r>
    </w:p>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 w:line="280" w:lineRule="auto"/>
        <w:ind w:left="143" w:right="299"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Pacific Oysters are reported in Ramsey Sound – strict procedures will be followed to ensure none are introduced. Additionally, the Society’s INNS Biosecurity protocol encourages all involved to be vigilant for non-native species using the sites as stepping stones. Samples from header and cultivation ropes are taken as part of work done on the farms so if the site is used as a stepping stone it has a good chance of being identified. Any non-native species will be reported and removed.</w:t>
      </w:r>
    </w:p>
    <w:p w:rsidR="00000000" w:rsidDel="00000000" w:rsidP="00000000" w:rsidRDefault="00000000" w:rsidRPr="00000000" w14:paraId="00000237">
      <w:pPr>
        <w:pStyle w:val="Heading3"/>
        <w:tabs>
          <w:tab w:val="left" w:leader="none" w:pos="688"/>
        </w:tabs>
        <w:spacing w:before="238" w:lineRule="auto"/>
        <w:ind w:left="143" w:firstLine="0"/>
        <w:rPr/>
      </w:pPr>
      <w:r w:rsidDel="00000000" w:rsidR="00000000" w:rsidRPr="00000000">
        <w:rPr>
          <w:rtl w:val="0"/>
        </w:rPr>
      </w:r>
    </w:p>
    <w:p w:rsidR="00000000" w:rsidDel="00000000" w:rsidP="00000000" w:rsidRDefault="00000000" w:rsidRPr="00000000" w14:paraId="00000238">
      <w:pPr>
        <w:pStyle w:val="Heading3"/>
        <w:tabs>
          <w:tab w:val="left" w:leader="none" w:pos="688"/>
        </w:tabs>
        <w:spacing w:before="238" w:lineRule="auto"/>
        <w:ind w:left="143" w:firstLine="0"/>
        <w:rPr/>
      </w:pPr>
      <w:r w:rsidDel="00000000" w:rsidR="00000000" w:rsidRPr="00000000">
        <w:rPr>
          <w:rtl w:val="0"/>
        </w:rPr>
      </w:r>
    </w:p>
    <w:p w:rsidR="00000000" w:rsidDel="00000000" w:rsidP="00000000" w:rsidRDefault="00000000" w:rsidRPr="00000000" w14:paraId="00000239">
      <w:pPr>
        <w:pStyle w:val="Heading3"/>
        <w:tabs>
          <w:tab w:val="left" w:leader="none" w:pos="688"/>
        </w:tabs>
        <w:spacing w:before="238" w:lineRule="auto"/>
        <w:ind w:left="143" w:firstLine="0"/>
        <w:rPr/>
      </w:pPr>
      <w:r w:rsidDel="00000000" w:rsidR="00000000" w:rsidRPr="00000000">
        <w:rPr>
          <w:rtl w:val="0"/>
        </w:rPr>
        <w:t xml:space="preserve">Pollution &amp; wildlife disturbance</w:t>
      </w:r>
    </w:p>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80" w:lineRule="auto"/>
        <w:ind w:left="143" w:right="298"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There is a minimal risk of litter (ropes etc.), hydrocarbon spill (boat fuel and lubricants) and noise (boat &amp; other human activity). Mitigation measures put in place will include regular maintenance of the farm to reduce equipment coming loose in storms, lowering of ropes during bad weather, regular inspections, use of approved boat fuel, appropriate oil safety plans on the boat used, the boat used minimally and at slow speeds steering clear of known seal haul out areas and bird nesting areas. The Car-Y-Mor work barge is a coded workboat and proof of this has been provided as part of the response to the Water Quality Fitness Check Questionnaire.</w:t>
      </w:r>
    </w:p>
    <w:p w:rsidR="00000000" w:rsidDel="00000000" w:rsidP="00000000" w:rsidRDefault="00000000" w:rsidRPr="00000000" w14:paraId="0000023B">
      <w:pPr>
        <w:pStyle w:val="Heading3"/>
        <w:tabs>
          <w:tab w:val="left" w:leader="none" w:pos="688"/>
        </w:tabs>
        <w:spacing w:before="235" w:lineRule="auto"/>
        <w:ind w:left="143" w:firstLine="0"/>
        <w:rPr/>
      </w:pPr>
      <w:r w:rsidDel="00000000" w:rsidR="00000000" w:rsidRPr="00000000">
        <w:rPr>
          <w:rtl w:val="0"/>
        </w:rPr>
        <w:t xml:space="preserve">Visual impacts</w:t>
      </w:r>
    </w:p>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0" w:line="240" w:lineRule="auto"/>
        <w:ind w:left="143" w:right="337"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full visual impact assessment has been completed and submitted as part of this application and can be seen with the original supporting documents. Consultation with NRW advisory, The Crown Estate, Trinity House, MCGA and Pembrokeshire Coast National Park Authority has taken place to try and ensure the lowest visual impact possible whilst still maintaining navigational safety.</w:t>
      </w:r>
    </w:p>
    <w:p w:rsidR="00000000" w:rsidDel="00000000" w:rsidP="00000000" w:rsidRDefault="00000000" w:rsidRPr="00000000" w14:paraId="0000023D">
      <w:pPr>
        <w:pStyle w:val="Heading2"/>
        <w:tabs>
          <w:tab w:val="left" w:leader="none" w:pos="543"/>
        </w:tabs>
        <w:spacing w:before="236" w:lineRule="auto"/>
        <w:ind w:left="143" w:firstLine="0"/>
        <w:rPr/>
      </w:pPr>
      <w:r w:rsidDel="00000000" w:rsidR="00000000" w:rsidRPr="00000000">
        <w:rPr>
          <w:rtl w:val="0"/>
        </w:rPr>
        <w:t xml:space="preserve">Other users</w:t>
      </w:r>
    </w:p>
    <w:p w:rsidR="00000000" w:rsidDel="00000000" w:rsidP="00000000" w:rsidRDefault="00000000" w:rsidRPr="00000000" w14:paraId="0000023E">
      <w:pPr>
        <w:pStyle w:val="Heading3"/>
        <w:tabs>
          <w:tab w:val="left" w:leader="none" w:pos="688"/>
        </w:tabs>
        <w:spacing w:before="161" w:lineRule="auto"/>
        <w:ind w:left="143" w:firstLine="0"/>
        <w:rPr/>
      </w:pPr>
      <w:r w:rsidDel="00000000" w:rsidR="00000000" w:rsidRPr="00000000">
        <w:rPr>
          <w:rtl w:val="0"/>
        </w:rPr>
        <w:t xml:space="preserve">Fisheries</w:t>
      </w:r>
    </w:p>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 w:line="276" w:lineRule="auto"/>
        <w:ind w:left="143" w:right="299"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Seaweed and shellfish farming provides structural complexity i.e. the arrangement and diversity of elements in space (Bergman et al. 2001), and provides a direct food source to some herbivores (Neish et al. 2017). Anecdotes suggest that seaweed farms can potentially increase fishery catches of some species in settings where natural submerged vegetation is scarce. Lobster fishing and crab fishing in the area could be impacted by reduced area for fishing, but local fishermen are supportive and continual stakeholder consultation will take place to ensure that this impact is minimised, and that all marine users are aware of the potential benefits of ocean farming to fish and shellfish populations.</w:t>
      </w:r>
    </w:p>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1">
      <w:pPr>
        <w:pStyle w:val="Heading3"/>
        <w:tabs>
          <w:tab w:val="left" w:leader="none" w:pos="688"/>
        </w:tabs>
        <w:ind w:left="143" w:firstLine="0"/>
        <w:rPr/>
      </w:pPr>
      <w:r w:rsidDel="00000000" w:rsidR="00000000" w:rsidRPr="00000000">
        <w:rPr>
          <w:rtl w:val="0"/>
        </w:rPr>
        <w:t xml:space="preserve">Boating – tour and adventure boat trips, sea kayaking and sailing</w:t>
      </w:r>
    </w:p>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 w:line="276" w:lineRule="auto"/>
        <w:ind w:left="143" w:right="30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following tour and adventure boat trips: Falcon Boats, Blue Shark charters and Welsh Diving are currently active investors and members of Câr Y Môr. In their visits they provide the option to their clients to visit Câr Y Môr seaweed and shellfish installations. This will be a benefit to these operators.</w:t>
      </w:r>
    </w:p>
    <w:p w:rsidR="00000000" w:rsidDel="00000000" w:rsidP="00000000" w:rsidRDefault="00000000" w:rsidRPr="00000000" w14:paraId="00000243">
      <w:pPr>
        <w:pStyle w:val="Heading3"/>
        <w:tabs>
          <w:tab w:val="left" w:leader="none" w:pos="680"/>
        </w:tabs>
        <w:spacing w:before="120" w:lineRule="auto"/>
        <w:ind w:left="143" w:firstLine="0"/>
        <w:rPr/>
      </w:pPr>
      <w:r w:rsidDel="00000000" w:rsidR="00000000" w:rsidRPr="00000000">
        <w:rPr>
          <w:rtl w:val="0"/>
        </w:rPr>
        <w:t xml:space="preserve">Angling, coasteering and SCUBA diving</w:t>
      </w:r>
    </w:p>
    <w:p w:rsidR="00000000" w:rsidDel="00000000" w:rsidP="00000000" w:rsidRDefault="00000000" w:rsidRPr="00000000" w14:paraId="00000244">
      <w:pPr>
        <w:pStyle w:val="Heading3"/>
        <w:rPr/>
      </w:pPr>
      <w:r w:rsidDel="00000000" w:rsidR="00000000" w:rsidRPr="00000000">
        <w:rPr>
          <w:rtl w:val="0"/>
        </w:rPr>
      </w:r>
    </w:p>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43" w:right="309"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sector relates to recreational activities undertaken on or immersed in the sea including angling, surfing, windsurfing, sea kayaking, scuba diving and small sail boat activities.</w:t>
      </w:r>
    </w:p>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43" w:right="298"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With regard to future interactions with the seaweed and shellfish farm, in general, those activities are conducted in summer and are undertaken in safety areas. Hence, there will be no interaction between recreational activities and Câr Y Môr labour.Its worth noting that all such people are not only inquisitive but supportive of the trial farms. Free divers and scuba divers all enjoy diving at the farms and are amazed at the underwater life around them.</w:t>
      </w:r>
    </w:p>
    <w:p w:rsidR="00000000" w:rsidDel="00000000" w:rsidP="00000000" w:rsidRDefault="00000000" w:rsidRPr="00000000" w14:paraId="00000247">
      <w:pPr>
        <w:pStyle w:val="Heading2"/>
        <w:tabs>
          <w:tab w:val="left" w:leader="none" w:pos="543"/>
        </w:tabs>
        <w:ind w:left="143" w:firstLine="0"/>
        <w:rPr/>
      </w:pPr>
      <w:r w:rsidDel="00000000" w:rsidR="00000000" w:rsidRPr="00000000">
        <w:rPr>
          <w:rtl w:val="0"/>
        </w:rPr>
        <w:t xml:space="preserve">Cultural heritage</w:t>
      </w:r>
    </w:p>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76" w:lineRule="auto"/>
        <w:ind w:left="143" w:right="297"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Pembrokeshire has a rich and diverse culture which has been shaped down the centuries by waves of invaders and settlers. Before the Norman Conquest, the whole area was Welsh speaking and ruled by Celtic chieftains. Entertainment was provided by bards who wandered from court to court recounting folktales. St Davids, or Dewisland, is surrounded by spectacular coastal scenery renowned for its beauty and abundance of wildlife. While many heritage features lie wholly within the marine environment, numerous features are also located in coastal areas. In addition, fishing and seaweed harvesting play a key role in food consumption and maintaining the machair. These include using natural fertilisers such as seaweed.</w:t>
      </w:r>
    </w:p>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43" w:right="298"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centuries, coastal populations have harvested a wide variety of seaweeds and shellfish. Since they are a natural resource, they require careful management to sustainably and efficiently harvest. In some cases, harvesting and the management of seaweed and shellfish may be the responsibility of the processing industry or local fishers’ organizations. These organisations, with the help of scientists, attempt to manage the resource and the ecosystem richness associated with it in sustainable ways. Historically, there was also often a gender component involved with women being the primary harvesters of seaweeds and though this has changed in many parts of the world, in others, women remain key to seaweed harvesting. Current harvesting methods, technologies, and cultural preferences have a strong connection with both historical uses and culture and society themselves. The wide variety of uses put to seaweeds today stands as testament to the ingenuity of humankind (A. Delaney et al., 2016). The ocean farm will continue this heritage.</w:t>
      </w:r>
    </w:p>
    <w:p w:rsidR="00000000" w:rsidDel="00000000" w:rsidP="00000000" w:rsidRDefault="00000000" w:rsidRPr="00000000" w14:paraId="0000024B">
      <w:pPr>
        <w:pStyle w:val="Heading2"/>
        <w:tabs>
          <w:tab w:val="left" w:leader="none" w:pos="543"/>
        </w:tabs>
        <w:ind w:left="143" w:firstLine="0"/>
        <w:rPr/>
      </w:pPr>
      <w:r w:rsidDel="00000000" w:rsidR="00000000" w:rsidRPr="00000000">
        <w:rPr>
          <w:rtl w:val="0"/>
        </w:rPr>
        <w:t xml:space="preserve">Human health</w:t>
      </w:r>
    </w:p>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76" w:lineRule="auto"/>
        <w:ind w:left="143" w:right="30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Seaweeds may have an important role in modulating chronic disease. Rich in unique bioactive compounds not present in terrestrial food sources, including different proteins (lectins, phycobiliproteins, peptides, and amino acids), polyphenols, and polysaccharides, seaweeds are a novel source of compounds with potential to be exploited in human health applications. Purported benefits include antiviral, anticancer, and anticoagulant properties as well as the ability to modulate gut health and risk factors for obesity and diabetes. Though the majority of studies have been performed in cell and animal models, there is evidence of the beneficial effect of seaweed and seaweed components on markers of human health and disease status (Brown, 2014).</w:t>
      </w:r>
    </w:p>
    <w:p w:rsidR="00000000" w:rsidDel="00000000" w:rsidP="00000000" w:rsidRDefault="00000000" w:rsidRPr="00000000" w14:paraId="0000024D">
      <w:pPr>
        <w:pStyle w:val="Heading2"/>
        <w:tabs>
          <w:tab w:val="left" w:leader="none" w:pos="543"/>
        </w:tabs>
        <w:ind w:left="143" w:firstLine="0"/>
        <w:rPr/>
      </w:pPr>
      <w:r w:rsidDel="00000000" w:rsidR="00000000" w:rsidRPr="00000000">
        <w:rPr>
          <w:rtl w:val="0"/>
        </w:rPr>
        <w:t xml:space="preserve">Use of natural resources</w:t>
      </w:r>
    </w:p>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80" w:lineRule="auto"/>
        <w:ind w:left="143" w:right="30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Seaweeds could become an important source for third generation biofuels production. In fact, macroalgae have an advantage over traditional biomass for biofuels production of not competing for land and freshwater with food crops. Furthermore, seaweeds have high</w:t>
      </w:r>
    </w:p>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143" w:right="305"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productivity, fast growth rate and high polysaccharide content (Kerrison et al. 2015). The latter is particularly important as seaweeds can be fermented to produce bio-ethanol or butanol, or used for generation of biomethane via anaerobic digestion.</w:t>
      </w:r>
    </w:p>
    <w:p w:rsidR="00000000" w:rsidDel="00000000" w:rsidP="00000000" w:rsidRDefault="00000000" w:rsidRPr="00000000" w14:paraId="00000250">
      <w:pPr>
        <w:pStyle w:val="Heading2"/>
        <w:tabs>
          <w:tab w:val="left" w:leader="none" w:pos="543"/>
        </w:tabs>
        <w:spacing w:before="237" w:lineRule="auto"/>
        <w:ind w:left="143" w:firstLine="0"/>
        <w:rPr/>
      </w:pPr>
      <w:r w:rsidDel="00000000" w:rsidR="00000000" w:rsidRPr="00000000">
        <w:rPr>
          <w:rtl w:val="0"/>
        </w:rPr>
        <w:t xml:space="preserve">Cumulative effects</w:t>
      </w:r>
    </w:p>
    <w:p w:rsidR="00000000" w:rsidDel="00000000" w:rsidP="00000000" w:rsidRDefault="00000000" w:rsidRPr="00000000" w14:paraId="000002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43" w:right="297"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Seaweed cultivation can have a positive effect through bioextraction of nitrogen and phosphorus from anthropogenic activities in the marine environment and aid management strategies at the water body level. Thus multiple ocean farms will aid improvements in water quality. There is potential for increased effects through cumulative interactions with the proposed sites, the St Justinians site, and any new sites developed by alternative organisations. Each new cultivation site will have a responsibility to demonstrate that existing conservation objectives will not be undermined and any potential environmental risks identified at the consenting stage are kept within acceptable limits throughout the lifetime of the project. Seaweed cultivation offers the potential for positive ecosystem services if managed correctly (Sander W. K, 2020).</w:t>
      </w:r>
    </w:p>
    <w:p w:rsidR="00000000" w:rsidDel="00000000" w:rsidP="00000000" w:rsidRDefault="00000000" w:rsidRPr="00000000" w14:paraId="00000253">
      <w:pPr>
        <w:pStyle w:val="Heading2"/>
        <w:tabs>
          <w:tab w:val="left" w:leader="none" w:pos="676"/>
        </w:tabs>
        <w:spacing w:before="120" w:lineRule="auto"/>
        <w:ind w:left="143" w:firstLine="0"/>
        <w:rPr/>
      </w:pPr>
      <w:r w:rsidDel="00000000" w:rsidR="00000000" w:rsidRPr="00000000">
        <w:rPr>
          <w:rtl w:val="0"/>
        </w:rPr>
        <w:t xml:space="preserve">Maintenance</w:t>
      </w:r>
    </w:p>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80" w:lineRule="auto"/>
        <w:ind w:left="143" w:right="298"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Regular inspection and maintenance of the farms is essential for the safety of all marine users and the efficient operation of the sea farm. The Community Benefit Societies membership includes divers, marine and mooring contractors including Robust Boats Ltd and Pembrokeshire Marine Services. This gives the society access to Commercial divers, ROVs and coded work boats. Further several members have decades of experience of working in the unique sea conditions found in Ramsey Sound. With these facilities and expertise the site will be regularly inspected and maintained and if any of the equipment or farms come to the end of their operational life these individuals will also ensure all is removed as they all have a vested interest in the community and the marine environment. With the experience of having operated the three existing farms, Car-Y-Mor has developed a maintenance schedule that ensures all of the infrastructure in and out of the water is maintained to ensure the safety of marine habitats and human users of the nearby sea. These maintenance checks also ensure the relevant regulations and standards are met.</w:t>
      </w:r>
    </w:p>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sectPr>
          <w:type w:val="nextPage"/>
          <w:pgSz w:h="16840" w:w="11920" w:orient="portrait"/>
          <w:pgMar w:bottom="1060" w:top="920" w:left="1275" w:right="1133" w:header="716" w:footer="877"/>
        </w:sectPr>
      </w:pPr>
      <w:r w:rsidDel="00000000" w:rsidR="00000000" w:rsidRPr="00000000">
        <w:rPr>
          <w:rtl w:val="0"/>
        </w:rPr>
      </w:r>
    </w:p>
    <w:p w:rsidR="00000000" w:rsidDel="00000000" w:rsidP="00000000" w:rsidRDefault="00000000" w:rsidRPr="00000000" w14:paraId="000002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 w:line="240" w:lineRule="auto"/>
        <w:ind w:left="0" w:right="0" w:firstLine="0"/>
        <w:jc w:val="left"/>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57">
      <w:pPr>
        <w:pStyle w:val="Heading1"/>
        <w:ind w:left="220" w:firstLine="0"/>
        <w:rPr/>
      </w:pPr>
      <w:r w:rsidDel="00000000" w:rsidR="00000000" w:rsidRPr="00000000">
        <w:rPr>
          <w:rtl w:val="0"/>
        </w:rPr>
        <w:t xml:space="preserve">6. References</w:t>
      </w:r>
    </w:p>
    <w:p w:rsidR="00000000" w:rsidDel="00000000" w:rsidP="00000000" w:rsidRDefault="00000000" w:rsidRPr="00000000" w14:paraId="00000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683" w:right="303" w:hanging="54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Delaney, K. Frangoudes, S.-A. Ii, Chapter 2 - Society and Seaweed: Understanding the Past and Present, Seaweed in Health and Disease Prevention, 2016,Pages 7-40, doi: 10.1016/B978-0-12-802772-1.00002-6.</w:t>
      </w:r>
    </w:p>
    <w:p w:rsidR="00000000" w:rsidDel="00000000" w:rsidP="00000000" w:rsidRDefault="00000000" w:rsidRPr="00000000" w14:paraId="000002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40" w:lineRule="auto"/>
        <w:ind w:left="713"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Aquaculture Engineering. 33. pp 192-213.</w:t>
      </w:r>
    </w:p>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 w:line="280" w:lineRule="auto"/>
        <w:ind w:left="713" w:right="309" w:hanging="57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Aure, J., Strohmeier, T. &amp; Strand, Ø. (2007). Modelling current speed and carrying capacity in long-line blue mussel (Mytilus edulis) farms. Aquaculture. Research. 38: 304312.</w:t>
      </w:r>
    </w:p>
    <w:p w:rsidR="00000000" w:rsidDel="00000000" w:rsidP="00000000" w:rsidRDefault="00000000" w:rsidRPr="00000000" w14:paraId="000002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 w:line="280" w:lineRule="auto"/>
        <w:ind w:left="683" w:right="306" w:hanging="54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Beck, C.A., Iverson, S.J. and Bowen, W.D., 2005. Blubber fatty acids of gray seals reveal sex differences in the diet of a size-dimorphic marine carnivore.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Canadian Journal of Zoology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83</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 pp.377-388.</w:t>
      </w:r>
    </w:p>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 w:line="280" w:lineRule="auto"/>
        <w:ind w:left="713" w:right="300" w:hanging="57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Bergman, K. C., Svensson, S., &amp; Öhman, M. C. (2001). Influence of Algal Farming on Fish Assemblages.  Marine  Pollution  Bulletin,  42(12),  1379–1389. doi:10.1016/s0025-326x(01)00168-0</w:t>
      </w:r>
    </w:p>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 w:line="280" w:lineRule="auto"/>
        <w:ind w:left="683" w:right="306" w:hanging="54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Beveridge, M.C., 1984.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Cage and pen fish farming: carrying capacity models and environmental impact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(No. 255-259). Food &amp; Agriculture Org..</w:t>
      </w:r>
    </w:p>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713" w:right="298" w:hanging="57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Boyd, A.J. &amp; Heasman, K.G. (1998). Shellfish mariculture in the Benguela system: Water flow patterns within a mussel farm in Saldanha Bay, South Africa. Journal of Shellfish Research. 17: 25-32.</w:t>
      </w:r>
    </w:p>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 w:line="280" w:lineRule="auto"/>
        <w:ind w:left="713" w:right="300" w:hanging="57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Brasseur, S.M.J.M., van Polanen Petel, T., Aarts, G.M., Meesters, H.W.G., Dijkman, E. &amp; Reijnders, P.J.H. (2010). Grey seals (Halichoerus grypus) in the Dutch North Sea: Population ecology and effects of wind farms (IMARES Report C137/10). Wageningen, the Netherlands: Institute for Marine Resources &amp; Ecosystem Studies.</w:t>
      </w:r>
    </w:p>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80" w:lineRule="auto"/>
        <w:ind w:left="683" w:right="300" w:hanging="54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Brown ES, Allsopp PJ, Magee PJ, Gill CI, Nitecki S, Strain CR, McSorley EM. Seaweed and human health. Nutr Rev. 2014 Mar;72(3):205-16. doi: 10.1111/nure.12091.</w:t>
      </w:r>
    </w:p>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 w:line="280" w:lineRule="auto"/>
        <w:ind w:left="683" w:right="306" w:hanging="54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Büther, H. and für Fischerei, B., ICES 1989.</w:t>
      </w:r>
    </w:p>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713" w:right="300" w:hanging="57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Campbell I, Macleod A, Sahlmann C, Neves L, Funderud J, Overland M, Hughes A and Stanley M(2018). The environmental risks associated with the development of seaweed farming in Europe - prioritizing key knowledge gaps. Front. Mar. Sci. 6:107. doi:10.3389/fmars.2019.00107.</w:t>
      </w:r>
    </w:p>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80" w:lineRule="auto"/>
        <w:ind w:left="713" w:right="298" w:hanging="57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Cappell, R. &amp; Keus, B. (2017). Shetland and Scottish Mainland Rope Grown Mussel Enhanced fishery. Report prepared by Acoura Marine Ltd for The Scottish Shellfish Marketing Group and Seafood Shetland to inform MSC Sustainable fisheries certification</w:t>
      </w:r>
    </w:p>
    <w:p w:rsidR="00000000" w:rsidDel="00000000" w:rsidP="00000000" w:rsidRDefault="00000000" w:rsidRPr="00000000" w14:paraId="000002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 w:line="240" w:lineRule="auto"/>
        <w:ind w:left="143"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Crawford, C. (2001).  Environmental Risk Assessment of Shellfish Farming in Tasmania.</w:t>
      </w:r>
    </w:p>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 w:line="280" w:lineRule="auto"/>
        <w:ind w:left="713" w:right="301" w:hanging="57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Crawford, C. (2003). Environmental management of marine aquaculture in Tasmania, Australia. Aquaculture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226. pp 129-138</w:t>
      </w:r>
    </w:p>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 w:line="280" w:lineRule="auto"/>
        <w:ind w:left="713" w:right="305" w:hanging="57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Crawford, C., Mitchell, I. &amp; Macleod, C. (2001). Effects of Shellfish Farming on the Benthic Environment. Final Report to the Tasmanian Oyster Research Council. Tasmanian Aquaculture and Fisheries Institute, Hobart, Tasmania.</w:t>
      </w:r>
    </w:p>
    <w:p w:rsidR="00000000" w:rsidDel="00000000" w:rsidP="00000000" w:rsidRDefault="00000000" w:rsidRPr="00000000" w14:paraId="000002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 w:line="280" w:lineRule="auto"/>
        <w:ind w:left="713" w:right="298" w:hanging="57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Crawford, C.M., Macleod, C.K.A. &amp; Mitchell, I.A. (2003). Effects of shellfish farming on the benthic environment. Aquaculture. 224. pp 117-140.</w:t>
      </w:r>
    </w:p>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 w:line="280" w:lineRule="auto"/>
        <w:ind w:left="713" w:right="311" w:hanging="57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 Jong, R.J. (1994). The effects of mussel farming on the benthic environment. MSc thesis, School of Biological Sciences, University of Auckland, Auckland.</w:t>
      </w:r>
    </w:p>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 w:line="280" w:lineRule="auto"/>
        <w:ind w:left="713" w:right="304" w:hanging="57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Donovaro, R., Gambi, C., Luna, G.M. &amp; Mirto, S. (2004). Sustainable impact of mussel farming in the Adriatic Sea (Mediterranean Sea): evidence from biochemical, microbial, and meiofaunal indicators. Marine Pollution Bulletin. 49. pp 325-333.</w:t>
      </w:r>
    </w:p>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 w:line="280" w:lineRule="auto"/>
        <w:ind w:left="713" w:right="298" w:hanging="57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Duarte, P., Labarta, U. &amp; Fernández-Reiriz, M.J. (2008). Modelling local food depletion effects in mussel rafts of Galician rias. Aquaculture, 274: 300-312.</w:t>
      </w:r>
    </w:p>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 w:line="280" w:lineRule="auto"/>
        <w:ind w:left="713" w:right="299" w:hanging="57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E.A. Bell., M.D. Bell .,G. Morgan., and L. Morgan. (2019). The recovery of seabird populations on Ramsey Island, Pembrokeshire, Wales, following the 1999/2000 rat eradication.</w:t>
      </w:r>
    </w:p>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 w:line="280" w:lineRule="auto"/>
        <w:ind w:left="713" w:right="298" w:hanging="57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Freire, J., Fernández, L. &amp; González-Gurriarán E. (1990). Influence of mussel raft culture on the diet of Liocarcinus arcuatus (Leach) (Brachyura: Portunidae) in the Ría de Arousa (Galicia, NW Spain). Journal of Shellfish Research. 9:1. pp 45-57.</w:t>
      </w:r>
    </w:p>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 w:line="280" w:lineRule="auto"/>
        <w:ind w:left="713" w:right="305" w:hanging="57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Gallardi, D. (2014). Effects of Bivalve Aquaculture on the Environment and Their Possible Mitigation: A Review. Fisheries and Aquaculture Journal, 05(03). doi:10.4172/2150-3508.1000105</w:t>
      </w:r>
    </w:p>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 w:line="280" w:lineRule="auto"/>
        <w:ind w:left="713" w:right="303" w:hanging="57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Grant, J., Hatcher, A., Scott, D.B., Pocklington, P., Schafer, C.T. &amp; Winters, G.V. (1995). A Multidisciplinary Approach to Evaluating Impacts of Shellfish Aquaculture on Benthic Communities. Estuaries. 18:1A. pp 124-144</w:t>
      </w:r>
    </w:p>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 w:line="280" w:lineRule="auto"/>
        <w:ind w:left="713" w:right="305" w:hanging="57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Hall, A. (2002). Grey seal Halichoerus grypus. In: W. F. Perrin, B. Wursig, J. and G. M. Thewissen (eds), Encyclopedia of Marine Mammals, pp. 522-524. Academic Press, San Diego, California, USA.</w:t>
      </w:r>
    </w:p>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621"/>
        </w:tabs>
        <w:spacing w:after="0" w:before="0" w:line="240" w:lineRule="auto"/>
        <w:ind w:left="143"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Harstein, N.D. &amp; Stevens, C.L. (2005).</w:t>
        <w:tab/>
        <w:t xml:space="preserve">Deposition beneath long-line mussel farms.</w:t>
      </w:r>
    </w:p>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713" w:right="302" w:hanging="57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Hauksson, E. &amp; Bogason, V. (1997). Comparative feeding of grey (Halichoerus grypus) and common seals (Phoca vitulina) in coastal waters of Iceland, with a note on the diet of hooded (Cystophora cristata) and harp seals (Phoca groenlandica). Journal of Northwest Atlantic Fishery Science. 22, 125-135.</w:t>
      </w:r>
    </w:p>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713" w:right="0" w:firstLine="0"/>
        <w:jc w:val="left"/>
        <w:rPr>
          <w:rFonts w:ascii="Arial" w:cs="Arial" w:eastAsia="Arial" w:hAnsi="Arial"/>
          <w:b w:val="0"/>
          <w:i w:val="0"/>
          <w:smallCaps w:val="0"/>
          <w:strike w:val="0"/>
          <w:color w:val="000000"/>
          <w:sz w:val="22"/>
          <w:szCs w:val="22"/>
          <w:u w:val="none"/>
          <w:shd w:fill="auto" w:val="clear"/>
          <w:vertAlign w:val="baseline"/>
        </w:rPr>
      </w:pPr>
      <w:hyperlink r:id="rId14">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http://dx.doi.org/10.3354/meps339271</w:t>
        </w:r>
      </w:hyperlink>
      <w:r w:rsidDel="00000000" w:rsidR="00000000" w:rsidRPr="00000000">
        <w:rPr>
          <w:rtl w:val="0"/>
        </w:rPr>
      </w:r>
    </w:p>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40" w:lineRule="auto"/>
        <w:ind w:left="713"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Internal Report. Tasmanian Aquaculture and Fisheries Institute, Hobart, Tasmania.</w:t>
      </w:r>
    </w:p>
    <w:p w:rsidR="00000000" w:rsidDel="00000000" w:rsidP="00000000" w:rsidRDefault="00000000" w:rsidRPr="00000000" w14:paraId="00000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 w:line="280" w:lineRule="auto"/>
        <w:ind w:left="713" w:right="304" w:hanging="57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Jeffs, A.G., Holland, R.C., Hooker, S.H. &amp; Hayden, B.J. (1999). Overview and bibliography of research on the greenshell mussel, Perna canaliculus, from New Zealand waters. Journal of Shellfish Research. 18:2. pp 347-360</w:t>
      </w:r>
    </w:p>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 w:line="280" w:lineRule="auto"/>
        <w:ind w:left="713" w:right="302" w:hanging="57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Kiely, O., Ligard, D., McKibben, M., Connolly, N. &amp; Baines, M. (2000). Grey Seals: Status and Monitoring in the Irish and Celtic Seas. Maritime Ireland / Wales INTERREG Report No. 3</w:t>
      </w:r>
    </w:p>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 w:line="280" w:lineRule="auto"/>
        <w:ind w:left="683" w:right="306" w:hanging="54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Lloyd, B.D. 2003. Potential effects of mussel farming on New Zealand’s marine mammals and seabirds: a discussion paper. Department of Conservation, Te Papa Atawhai, Wellington, N.Z. pp. 1–35.</w:t>
      </w:r>
    </w:p>
    <w:p w:rsidR="00000000" w:rsidDel="00000000" w:rsidP="00000000" w:rsidRDefault="00000000" w:rsidRPr="00000000" w14:paraId="000002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80" w:lineRule="auto"/>
        <w:ind w:left="713" w:right="307" w:hanging="57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 W.T., Purcell, J.E., Hung, J.J., Su, H.M. &amp; Hsu, P.K. (2008). Enhancement of jellyfish (Aurelia aurita) populations by extensive aquaculture rafts in a coastal lagoon in Taiwan. ICES Journal of Marine Science. 65: 453-461</w:t>
      </w:r>
    </w:p>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 w:line="240" w:lineRule="auto"/>
        <w:ind w:left="143"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M.J. Phillips. Welcomme, 1988; NCC, 1989.Environmental aspects of seaweed culture</w:t>
      </w:r>
    </w:p>
    <w:p w:rsidR="00000000" w:rsidDel="00000000" w:rsidP="00000000" w:rsidRDefault="00000000" w:rsidRPr="00000000" w14:paraId="00000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 w:line="280" w:lineRule="auto"/>
        <w:ind w:left="713" w:right="299" w:hanging="57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Natural Resources Wales (NRW) and JNCC. (2016b). Harbour Porpoise (Phocoena phocoena) possible Special Area of Conservation: West Wales Marine / Gorllewin Cymru Forol. Draft Conservation Objectives and Advice on Activities. https://naturalresources.wales/media/679467/w-wales-marine-objectives-advice.pdf</w:t>
      </w:r>
    </w:p>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80" w:lineRule="auto"/>
        <w:ind w:left="683" w:right="301" w:hanging="54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Neish I.C., Sepulveda M., Hurtado A.Q., Critchley A.T. (2017) Reflections on the Commercial Development of Eucheuma Seaweed Farming. In: Hurtado A., Critchley A., Neish I. (eds) Tropical Seaweed Farming Trends, Problems and Opportunities. Developments in Applied Phycology, vol 9. Springer, Cham. doi.org/10.1007/978-3-319-63498-2_1</w:t>
      </w:r>
    </w:p>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 w:line="280" w:lineRule="auto"/>
        <w:ind w:left="683" w:right="299" w:hanging="54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Philip D. Kerrison, Michele S. Stanley, Maeve D. Edwards, Kenneth D. Black, Adam D. Hughes, The cultivation of European kelp for bioenergy: Site and species selection, Biomass and Bioenergy, Volume 80, 2015, Pages 229-242, doi:10.1016/j.biombioe.2015.04.035.</w:t>
      </w:r>
    </w:p>
    <w:p w:rsidR="00000000" w:rsidDel="00000000" w:rsidP="00000000" w:rsidRDefault="00000000" w:rsidRPr="00000000" w14:paraId="000002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 w:line="280" w:lineRule="auto"/>
        <w:ind w:left="713" w:right="310" w:hanging="57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Plew, D.R., Stevens, C.L., Spigel, R.H. &amp; Hartstein, N.D. (2005). Hydrodynamic implications of large offshore mussel farms. IEEE Journal of Ocean Engineering. 30: 95-108.</w:t>
      </w:r>
    </w:p>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 w:line="280" w:lineRule="auto"/>
        <w:ind w:left="713" w:right="299" w:hanging="57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Prime, J.H. &amp; Hammond, P.S. (1990). The diet of grey seals from the south-western North Sea assessed from analyses of hard parts found in faeces. Journal of applied Ecology. 27: 435-447</w:t>
      </w:r>
    </w:p>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 w:line="280" w:lineRule="auto"/>
        <w:ind w:left="683" w:right="306" w:hanging="54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Sander W. K. van den Burg, Christine Röckmann, Jennifer L. Banach and Luc van Hoof Front. Mar. Sci., 20 February 2020 doi: 10.3389/fmars.2020.0006</w:t>
      </w:r>
    </w:p>
    <w:p w:rsidR="00000000" w:rsidDel="00000000" w:rsidP="00000000" w:rsidRDefault="00000000" w:rsidRPr="00000000" w14:paraId="000002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 w:line="280" w:lineRule="auto"/>
        <w:ind w:left="713" w:right="305" w:hanging="57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Santos, M.B. (1998). Feeding ecology of harbour porpoises, common and bottlenose dolphins and sperm whales in the northeast and Atlantic. PhD thesis, School of Biology, University of Aberdeen, Scotland.</w:t>
      </w:r>
    </w:p>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126"/>
          <w:tab w:val="left" w:leader="none" w:pos="4597"/>
          <w:tab w:val="left" w:leader="none" w:pos="6470"/>
          <w:tab w:val="left" w:leader="none" w:pos="8512"/>
        </w:tabs>
        <w:spacing w:after="0" w:before="118" w:line="280" w:lineRule="auto"/>
        <w:ind w:left="713" w:right="300" w:hanging="57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Scottish</w:t>
        <w:tab/>
        <w:t xml:space="preserve">Government.</w:t>
        <w:tab/>
        <w:t xml:space="preserve">Marine</w:t>
        <w:tab/>
        <w:t xml:space="preserve">Scotland</w:t>
        <w:tab/>
        <w:t xml:space="preserve">(2017). https://</w:t>
      </w:r>
      <w:hyperlink r:id="rId15">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www.legislation.gov.uk/ssi/2017/115/made</w:t>
        </w:r>
      </w:hyperlink>
      <w:r w:rsidDel="00000000" w:rsidR="00000000" w:rsidRPr="00000000">
        <w:rPr>
          <w:rtl w:val="0"/>
        </w:rPr>
      </w:r>
    </w:p>
    <w:p w:rsidR="00000000" w:rsidDel="00000000" w:rsidP="00000000" w:rsidRDefault="00000000" w:rsidRPr="00000000" w14:paraId="000002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 w:line="280" w:lineRule="auto"/>
        <w:ind w:left="713" w:right="311" w:hanging="57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Smith, A., Nikora, V., Ross, A. &amp; Wake, G. (2006). A lattice Boltzmann-based model of plankton–flow interaction around a mussel cluster. Ecological Modelling. 192: 645-657</w:t>
      </w:r>
    </w:p>
    <w:p w:rsidR="00000000" w:rsidDel="00000000" w:rsidP="00000000" w:rsidRDefault="00000000" w:rsidRPr="00000000" w14:paraId="000002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 w:line="280" w:lineRule="auto"/>
        <w:ind w:left="713" w:right="302" w:hanging="57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Stenton-Dozey, J.M.E., Jackson, L.F. &amp; Busby, A.J. (1999). Impact of Mussel Culture on Macrobenthic Community Structure in Saldanha Bay, South Africa. Marine Pollution Bulletin. 39. pp 357-366.</w:t>
      </w:r>
    </w:p>
    <w:p w:rsidR="00000000" w:rsidDel="00000000" w:rsidP="00000000" w:rsidRDefault="00000000" w:rsidRPr="00000000" w14:paraId="000002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 w:line="280" w:lineRule="auto"/>
        <w:ind w:left="713" w:right="298" w:hanging="57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Stephenson, F., Mill, A.C., Scott, C.L., Polunin, N.V.C. &amp; Fitzsimmons, C. (2017). Experimental potting impacts on common UK reef habitats in areas of high and low fishing pressure. Ices Journal of Marine Science. 74, Issue 6, 1648-1659</w:t>
      </w:r>
    </w:p>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 w:line="280" w:lineRule="auto"/>
        <w:ind w:left="713" w:right="307" w:hanging="57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Tucker, S., Bowen, W.D. &amp; Iverson, S.J. (2007). Dimensions of diet segregation in grey seals Halichoerus grypus revealed through stable isotopes of carbon (δ13C) and nitrogen (δ15N).    Marine   Ecology   Progress   Series,   339,</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271-282.</w:t>
      </w:r>
    </w:p>
    <w:p w:rsidR="00000000" w:rsidDel="00000000" w:rsidP="00000000" w:rsidRDefault="00000000" w:rsidRPr="00000000" w14:paraId="000002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 w:line="280" w:lineRule="auto"/>
        <w:ind w:left="713" w:right="305" w:hanging="57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Walmsley, S.F., Bowles, A., Eno, N.C &amp; West, N. (2015). Evidence for Management of Potting Impacts on Designated Features. Report to Defra Contract Reference: MM01086</w:t>
      </w:r>
    </w:p>
    <w:sectPr>
      <w:type w:val="nextPage"/>
      <w:pgSz w:h="16840" w:w="11920" w:orient="portrait"/>
      <w:pgMar w:bottom="1060" w:top="920" w:left="1275" w:right="1133" w:header="716" w:footer="877"/>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-499744</wp:posOffset>
          </wp:positionH>
          <wp:positionV relativeFrom="paragraph">
            <wp:posOffset>0</wp:posOffset>
          </wp:positionV>
          <wp:extent cx="485775" cy="504825"/>
          <wp:effectExtent b="0" l="0" r="0" t="0"/>
          <wp:wrapNone/>
          <wp:docPr id="40"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485775" cy="504825"/>
                  </a:xfrm>
                  <a:prstGeom prst="rect"/>
                  <a:ln/>
                </pic:spPr>
              </pic:pic>
            </a:graphicData>
          </a:graphic>
        </wp:anchor>
      </w:drawing>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88900</wp:posOffset>
              </wp:positionH>
              <wp:positionV relativeFrom="paragraph">
                <wp:posOffset>10071100</wp:posOffset>
              </wp:positionV>
              <wp:extent cx="1270" cy="12700"/>
              <wp:effectExtent b="0" l="0" r="0" t="0"/>
              <wp:wrapNone/>
              <wp:docPr id="37" name=""/>
              <a:graphic>
                <a:graphicData uri="http://schemas.microsoft.com/office/word/2010/wordprocessingShape">
                  <wps:wsp>
                    <wps:cNvSpPr/>
                    <wps:cNvPr id="5" name="Shape 5"/>
                    <wps:spPr>
                      <a:xfrm>
                        <a:off x="2464688" y="3779365"/>
                        <a:ext cx="5762625" cy="1270"/>
                      </a:xfrm>
                      <a:custGeom>
                        <a:rect b="b" l="l" r="r" t="t"/>
                        <a:pathLst>
                          <a:path extrusionOk="0" h="120000" w="5762625">
                            <a:moveTo>
                              <a:pt x="0" y="0"/>
                            </a:moveTo>
                            <a:lnTo>
                              <a:pt x="5762625"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88900</wp:posOffset>
              </wp:positionH>
              <wp:positionV relativeFrom="paragraph">
                <wp:posOffset>10071100</wp:posOffset>
              </wp:positionV>
              <wp:extent cx="1270" cy="12700"/>
              <wp:effectExtent b="0" l="0" r="0" t="0"/>
              <wp:wrapNone/>
              <wp:docPr id="37" name="image5.png"/>
              <a:graphic>
                <a:graphicData uri="http://schemas.openxmlformats.org/drawingml/2006/picture">
                  <pic:pic>
                    <pic:nvPicPr>
                      <pic:cNvPr id="0" name="image5.png"/>
                      <pic:cNvPicPr preferRelativeResize="0"/>
                    </pic:nvPicPr>
                    <pic:blipFill>
                      <a:blip r:embed="rId2"/>
                      <a:srcRect/>
                      <a:stretch>
                        <a:fillRect/>
                      </a:stretch>
                    </pic:blipFill>
                    <pic:spPr>
                      <a:xfrm>
                        <a:off x="0" y="0"/>
                        <a:ext cx="1270" cy="12700"/>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2451100</wp:posOffset>
              </wp:positionH>
              <wp:positionV relativeFrom="paragraph">
                <wp:posOffset>10083800</wp:posOffset>
              </wp:positionV>
              <wp:extent cx="748030" cy="177165"/>
              <wp:effectExtent b="0" l="0" r="0" t="0"/>
              <wp:wrapNone/>
              <wp:docPr id="36" name=""/>
              <a:graphic>
                <a:graphicData uri="http://schemas.microsoft.com/office/word/2010/wordprocessingShape">
                  <wps:wsp>
                    <wps:cNvSpPr/>
                    <wps:cNvPr id="4" name="Shape 4"/>
                    <wps:spPr>
                      <a:xfrm>
                        <a:off x="4976748" y="3696180"/>
                        <a:ext cx="738505" cy="167640"/>
                      </a:xfrm>
                      <a:prstGeom prst="rect">
                        <a:avLst/>
                      </a:prstGeom>
                      <a:noFill/>
                      <a:ln>
                        <a:noFill/>
                      </a:ln>
                    </wps:spPr>
                    <wps:txbx>
                      <w:txbxContent>
                        <w:p w:rsidR="00000000" w:rsidDel="00000000" w:rsidP="00000000" w:rsidRDefault="00000000" w:rsidRPr="00000000">
                          <w:pPr>
                            <w:spacing w:after="0" w:before="12.999999523162842" w:line="240"/>
                            <w:ind w:left="20" w:right="0" w:firstLine="2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August 2025</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2451100</wp:posOffset>
              </wp:positionH>
              <wp:positionV relativeFrom="paragraph">
                <wp:posOffset>10083800</wp:posOffset>
              </wp:positionV>
              <wp:extent cx="748030" cy="177165"/>
              <wp:effectExtent b="0" l="0" r="0" t="0"/>
              <wp:wrapNone/>
              <wp:docPr id="36" name="image4.png"/>
              <a:graphic>
                <a:graphicData uri="http://schemas.openxmlformats.org/drawingml/2006/picture">
                  <pic:pic>
                    <pic:nvPicPr>
                      <pic:cNvPr id="0" name="image4.png"/>
                      <pic:cNvPicPr preferRelativeResize="0"/>
                    </pic:nvPicPr>
                    <pic:blipFill>
                      <a:blip r:embed="rId2"/>
                      <a:srcRect/>
                      <a:stretch>
                        <a:fillRect/>
                      </a:stretch>
                    </pic:blipFill>
                    <pic:spPr>
                      <a:xfrm>
                        <a:off x="0" y="0"/>
                        <a:ext cx="748030" cy="177165"/>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-499744</wp:posOffset>
          </wp:positionH>
          <wp:positionV relativeFrom="paragraph">
            <wp:posOffset>0</wp:posOffset>
          </wp:positionV>
          <wp:extent cx="485775" cy="504825"/>
          <wp:effectExtent b="0" l="0" r="0" t="0"/>
          <wp:wrapNone/>
          <wp:docPr id="38"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485775" cy="504825"/>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882968</wp:posOffset>
              </wp:positionH>
              <wp:positionV relativeFrom="page">
                <wp:posOffset>436907</wp:posOffset>
              </wp:positionV>
              <wp:extent cx="5797550" cy="177165"/>
              <wp:effectExtent b="0" l="0" r="0" t="0"/>
              <wp:wrapNone/>
              <wp:docPr id="34" name=""/>
              <a:graphic>
                <a:graphicData uri="http://schemas.microsoft.com/office/word/2010/wordprocessingShape">
                  <wps:wsp>
                    <wps:cNvSpPr/>
                    <wps:cNvPr id="2" name="Shape 2"/>
                    <wps:spPr>
                      <a:xfrm>
                        <a:off x="2451988" y="3696180"/>
                        <a:ext cx="5788025" cy="167640"/>
                      </a:xfrm>
                      <a:prstGeom prst="rect">
                        <a:avLst/>
                      </a:prstGeom>
                      <a:noFill/>
                      <a:ln>
                        <a:noFill/>
                      </a:ln>
                    </wps:spPr>
                    <wps:txbx>
                      <w:txbxContent>
                        <w:p w:rsidR="00000000" w:rsidDel="00000000" w:rsidP="00000000" w:rsidRDefault="00000000" w:rsidRPr="00000000">
                          <w:pPr>
                            <w:spacing w:after="0" w:before="12.999999523162842" w:line="240"/>
                            <w:ind w:left="20" w:right="0" w:firstLine="20"/>
                            <w:jc w:val="left"/>
                            <w:textDirection w:val="btLr"/>
                          </w:pPr>
                          <w:r w:rsidDel="00000000" w:rsidR="00000000" w:rsidRPr="00000000">
                            <w:rPr>
                              <w:rFonts w:ascii="Arial" w:cs="Arial" w:eastAsia="Arial" w:hAnsi="Arial"/>
                              <w:b w:val="0"/>
                              <w:i w:val="0"/>
                              <w:smallCaps w:val="0"/>
                              <w:strike w:val="0"/>
                              <w:color w:val="000000"/>
                              <w:sz w:val="20"/>
                              <w:u w:val="single"/>
                              <w:vertAlign w:val="baseline"/>
                            </w:rPr>
                            <w:t xml:space="preserve">Câr y Môr: Environmental Impact Statement Page 2	</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page">
                <wp:posOffset>882968</wp:posOffset>
              </wp:positionH>
              <wp:positionV relativeFrom="page">
                <wp:posOffset>436907</wp:posOffset>
              </wp:positionV>
              <wp:extent cx="5797550" cy="177165"/>
              <wp:effectExtent b="0" l="0" r="0" t="0"/>
              <wp:wrapNone/>
              <wp:docPr id="34"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5797550" cy="177165"/>
                      </a:xfrm>
                      <a:prstGeom prst="rect"/>
                      <a:ln/>
                    </pic:spPr>
                  </pic:pic>
                </a:graphicData>
              </a:graphic>
            </wp:anchor>
          </w:drawing>
        </mc:Fallback>
      </mc:AlternateConten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882968</wp:posOffset>
              </wp:positionH>
              <wp:positionV relativeFrom="page">
                <wp:posOffset>436897</wp:posOffset>
              </wp:positionV>
              <wp:extent cx="5835650" cy="177165"/>
              <wp:effectExtent b="0" l="0" r="0" t="0"/>
              <wp:wrapNone/>
              <wp:docPr id="35" name=""/>
              <a:graphic>
                <a:graphicData uri="http://schemas.microsoft.com/office/word/2010/wordprocessingShape">
                  <wps:wsp>
                    <wps:cNvSpPr/>
                    <wps:cNvPr id="3" name="Shape 3"/>
                    <wps:spPr>
                      <a:xfrm>
                        <a:off x="2432938" y="3696180"/>
                        <a:ext cx="5826125" cy="167640"/>
                      </a:xfrm>
                      <a:prstGeom prst="rect">
                        <a:avLst/>
                      </a:prstGeom>
                      <a:noFill/>
                      <a:ln>
                        <a:noFill/>
                      </a:ln>
                    </wps:spPr>
                    <wps:txbx>
                      <w:txbxContent>
                        <w:p w:rsidR="00000000" w:rsidDel="00000000" w:rsidP="00000000" w:rsidRDefault="00000000" w:rsidRPr="00000000">
                          <w:pPr>
                            <w:spacing w:after="0" w:before="12.999999523162842" w:line="240"/>
                            <w:ind w:left="20" w:right="0" w:firstLine="20"/>
                            <w:jc w:val="left"/>
                            <w:textDirection w:val="btLr"/>
                          </w:pPr>
                          <w:r w:rsidDel="00000000" w:rsidR="00000000" w:rsidRPr="00000000">
                            <w:rPr>
                              <w:rFonts w:ascii="Arial" w:cs="Arial" w:eastAsia="Arial" w:hAnsi="Arial"/>
                              <w:b w:val="0"/>
                              <w:i w:val="0"/>
                              <w:smallCaps w:val="0"/>
                              <w:strike w:val="0"/>
                              <w:color w:val="000000"/>
                              <w:sz w:val="20"/>
                              <w:u w:val="single"/>
                              <w:vertAlign w:val="baseline"/>
                            </w:rPr>
                            <w:t xml:space="preserve">Câr y Môr: Environmental impact statement Page  PAGE 28	</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page">
                <wp:posOffset>882968</wp:posOffset>
              </wp:positionH>
              <wp:positionV relativeFrom="page">
                <wp:posOffset>436897</wp:posOffset>
              </wp:positionV>
              <wp:extent cx="5835650" cy="177165"/>
              <wp:effectExtent b="0" l="0" r="0" t="0"/>
              <wp:wrapNone/>
              <wp:docPr id="35"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5835650" cy="177165"/>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863" w:hanging="360"/>
      </w:pPr>
      <w:rPr>
        <w:rFonts w:ascii="Arial" w:cs="Arial" w:eastAsia="Arial" w:hAnsi="Arial"/>
        <w:b w:val="0"/>
        <w:i w:val="0"/>
        <w:sz w:val="22"/>
        <w:szCs w:val="22"/>
      </w:rPr>
    </w:lvl>
    <w:lvl w:ilvl="1">
      <w:start w:val="0"/>
      <w:numFmt w:val="bullet"/>
      <w:lvlText w:val="•"/>
      <w:lvlJc w:val="left"/>
      <w:pPr>
        <w:ind w:left="1725" w:hanging="360"/>
      </w:pPr>
      <w:rPr/>
    </w:lvl>
    <w:lvl w:ilvl="2">
      <w:start w:val="0"/>
      <w:numFmt w:val="bullet"/>
      <w:lvlText w:val="•"/>
      <w:lvlJc w:val="left"/>
      <w:pPr>
        <w:ind w:left="2590" w:hanging="360"/>
      </w:pPr>
      <w:rPr/>
    </w:lvl>
    <w:lvl w:ilvl="3">
      <w:start w:val="0"/>
      <w:numFmt w:val="bullet"/>
      <w:lvlText w:val="•"/>
      <w:lvlJc w:val="left"/>
      <w:pPr>
        <w:ind w:left="3455" w:hanging="360"/>
      </w:pPr>
      <w:rPr/>
    </w:lvl>
    <w:lvl w:ilvl="4">
      <w:start w:val="0"/>
      <w:numFmt w:val="bullet"/>
      <w:lvlText w:val="•"/>
      <w:lvlJc w:val="left"/>
      <w:pPr>
        <w:ind w:left="4320" w:hanging="360"/>
      </w:pPr>
      <w:rPr/>
    </w:lvl>
    <w:lvl w:ilvl="5">
      <w:start w:val="0"/>
      <w:numFmt w:val="bullet"/>
      <w:lvlText w:val="•"/>
      <w:lvlJc w:val="left"/>
      <w:pPr>
        <w:ind w:left="5186" w:hanging="360"/>
      </w:pPr>
      <w:rPr/>
    </w:lvl>
    <w:lvl w:ilvl="6">
      <w:start w:val="0"/>
      <w:numFmt w:val="bullet"/>
      <w:lvlText w:val="•"/>
      <w:lvlJc w:val="left"/>
      <w:pPr>
        <w:ind w:left="6051" w:hanging="360"/>
      </w:pPr>
      <w:rPr/>
    </w:lvl>
    <w:lvl w:ilvl="7">
      <w:start w:val="0"/>
      <w:numFmt w:val="bullet"/>
      <w:lvlText w:val="•"/>
      <w:lvlJc w:val="left"/>
      <w:pPr>
        <w:ind w:left="6916" w:hanging="360"/>
      </w:pPr>
      <w:rPr/>
    </w:lvl>
    <w:lvl w:ilvl="8">
      <w:start w:val="0"/>
      <w:numFmt w:val="bullet"/>
      <w:lvlText w:val="•"/>
      <w:lvlJc w:val="left"/>
      <w:pPr>
        <w:ind w:left="7781" w:hanging="360"/>
      </w:pPr>
      <w:rPr/>
    </w:lvl>
  </w:abstractNum>
  <w:abstractNum w:abstractNumId="2">
    <w:lvl w:ilvl="0">
      <w:start w:val="5"/>
      <w:numFmt w:val="decimal"/>
      <w:lvlText w:val="%1"/>
      <w:lvlJc w:val="left"/>
      <w:pPr>
        <w:ind w:left="810" w:hanging="668"/>
      </w:pPr>
      <w:rPr/>
    </w:lvl>
    <w:lvl w:ilvl="1">
      <w:start w:val="3"/>
      <w:numFmt w:val="decimal"/>
      <w:lvlText w:val="%1.%2"/>
      <w:lvlJc w:val="left"/>
      <w:pPr>
        <w:ind w:left="6338" w:hanging="668"/>
      </w:pPr>
      <w:rPr>
        <w:rFonts w:ascii="Arial" w:cs="Arial" w:eastAsia="Arial" w:hAnsi="Arial"/>
        <w:b w:val="1"/>
        <w:i w:val="0"/>
        <w:sz w:val="24"/>
        <w:szCs w:val="24"/>
      </w:rPr>
    </w:lvl>
    <w:lvl w:ilvl="2">
      <w:start w:val="1"/>
      <w:numFmt w:val="decimal"/>
      <w:lvlText w:val="%1.%2.%3"/>
      <w:lvlJc w:val="left"/>
      <w:pPr>
        <w:ind w:left="693" w:hanging="551"/>
      </w:pPr>
      <w:rPr>
        <w:rFonts w:ascii="Arial" w:cs="Arial" w:eastAsia="Arial" w:hAnsi="Arial"/>
        <w:b w:val="1"/>
        <w:i w:val="0"/>
        <w:sz w:val="22"/>
        <w:szCs w:val="22"/>
      </w:rPr>
    </w:lvl>
    <w:lvl w:ilvl="3">
      <w:start w:val="0"/>
      <w:numFmt w:val="bullet"/>
      <w:lvlText w:val="●"/>
      <w:lvlJc w:val="left"/>
      <w:pPr>
        <w:ind w:left="1583" w:hanging="360"/>
      </w:pPr>
      <w:rPr>
        <w:rFonts w:ascii="Arial" w:cs="Arial" w:eastAsia="Arial" w:hAnsi="Arial"/>
        <w:b w:val="0"/>
        <w:i w:val="0"/>
        <w:sz w:val="22"/>
        <w:szCs w:val="22"/>
      </w:rPr>
    </w:lvl>
    <w:lvl w:ilvl="4">
      <w:start w:val="0"/>
      <w:numFmt w:val="bullet"/>
      <w:lvlText w:val="●"/>
      <w:lvlJc w:val="left"/>
      <w:pPr>
        <w:ind w:left="1583" w:hanging="360"/>
      </w:pPr>
      <w:rPr>
        <w:rFonts w:ascii="Arial" w:cs="Arial" w:eastAsia="Arial" w:hAnsi="Arial"/>
        <w:b w:val="0"/>
        <w:i w:val="0"/>
        <w:sz w:val="22"/>
        <w:szCs w:val="22"/>
      </w:rPr>
    </w:lvl>
    <w:lvl w:ilvl="5">
      <w:start w:val="0"/>
      <w:numFmt w:val="bullet"/>
      <w:lvlText w:val="•"/>
      <w:lvlJc w:val="left"/>
      <w:pPr>
        <w:ind w:left="2902" w:hanging="360"/>
      </w:pPr>
      <w:rPr/>
    </w:lvl>
    <w:lvl w:ilvl="6">
      <w:start w:val="0"/>
      <w:numFmt w:val="bullet"/>
      <w:lvlText w:val="•"/>
      <w:lvlJc w:val="left"/>
      <w:pPr>
        <w:ind w:left="4224" w:hanging="360"/>
      </w:pPr>
      <w:rPr/>
    </w:lvl>
    <w:lvl w:ilvl="7">
      <w:start w:val="0"/>
      <w:numFmt w:val="bullet"/>
      <w:lvlText w:val="•"/>
      <w:lvlJc w:val="left"/>
      <w:pPr>
        <w:ind w:left="5546" w:hanging="360"/>
      </w:pPr>
      <w:rPr/>
    </w:lvl>
    <w:lvl w:ilvl="8">
      <w:start w:val="0"/>
      <w:numFmt w:val="bullet"/>
      <w:lvlText w:val="•"/>
      <w:lvlJc w:val="left"/>
      <w:pPr>
        <w:ind w:left="6868" w:hanging="360"/>
      </w:pPr>
      <w:rPr/>
    </w:lvl>
  </w:abstractNum>
  <w:abstractNum w:abstractNumId="3">
    <w:lvl w:ilvl="0">
      <w:start w:val="5"/>
      <w:numFmt w:val="decimal"/>
      <w:lvlText w:val="%1"/>
      <w:lvlJc w:val="left"/>
      <w:pPr>
        <w:ind w:left="601" w:hanging="459"/>
      </w:pPr>
      <w:rPr/>
    </w:lvl>
    <w:lvl w:ilvl="1">
      <w:start w:val="2"/>
      <w:numFmt w:val="decimal"/>
      <w:lvlText w:val="%1.%2."/>
      <w:lvlJc w:val="left"/>
      <w:pPr>
        <w:ind w:left="601" w:hanging="459"/>
      </w:pPr>
      <w:rPr>
        <w:rFonts w:ascii="Arial" w:cs="Arial" w:eastAsia="Arial" w:hAnsi="Arial"/>
        <w:b w:val="1"/>
        <w:i w:val="0"/>
        <w:sz w:val="24"/>
        <w:szCs w:val="24"/>
      </w:rPr>
    </w:lvl>
    <w:lvl w:ilvl="2">
      <w:start w:val="1"/>
      <w:numFmt w:val="decimal"/>
      <w:lvlText w:val="%1.%2.%3"/>
      <w:lvlJc w:val="left"/>
      <w:pPr>
        <w:ind w:left="693" w:hanging="551"/>
      </w:pPr>
      <w:rPr>
        <w:rFonts w:ascii="Arial" w:cs="Arial" w:eastAsia="Arial" w:hAnsi="Arial"/>
        <w:b w:val="1"/>
        <w:i w:val="0"/>
        <w:sz w:val="22"/>
        <w:szCs w:val="22"/>
      </w:rPr>
    </w:lvl>
    <w:lvl w:ilvl="3">
      <w:start w:val="1"/>
      <w:numFmt w:val="decimal"/>
      <w:lvlText w:val="(%4)"/>
      <w:lvlJc w:val="left"/>
      <w:pPr>
        <w:ind w:left="863" w:hanging="421.00000000000006"/>
      </w:pPr>
      <w:rPr>
        <w:rFonts w:ascii="Arial" w:cs="Arial" w:eastAsia="Arial" w:hAnsi="Arial"/>
        <w:b w:val="0"/>
        <w:i w:val="0"/>
        <w:sz w:val="22"/>
        <w:szCs w:val="22"/>
      </w:rPr>
    </w:lvl>
    <w:lvl w:ilvl="4">
      <w:start w:val="0"/>
      <w:numFmt w:val="bullet"/>
      <w:lvlText w:val="-"/>
      <w:lvlJc w:val="left"/>
      <w:pPr>
        <w:ind w:left="1223" w:hanging="360"/>
      </w:pPr>
      <w:rPr>
        <w:rFonts w:ascii="Arial" w:cs="Arial" w:eastAsia="Arial" w:hAnsi="Arial"/>
        <w:b w:val="0"/>
        <w:i w:val="0"/>
        <w:sz w:val="22"/>
        <w:szCs w:val="22"/>
      </w:rPr>
    </w:lvl>
    <w:lvl w:ilvl="5">
      <w:start w:val="0"/>
      <w:numFmt w:val="bullet"/>
      <w:lvlText w:val="•"/>
      <w:lvlJc w:val="left"/>
      <w:pPr>
        <w:ind w:left="3589" w:hanging="360"/>
      </w:pPr>
      <w:rPr/>
    </w:lvl>
    <w:lvl w:ilvl="6">
      <w:start w:val="0"/>
      <w:numFmt w:val="bullet"/>
      <w:lvlText w:val="•"/>
      <w:lvlJc w:val="left"/>
      <w:pPr>
        <w:ind w:left="4773" w:hanging="360"/>
      </w:pPr>
      <w:rPr/>
    </w:lvl>
    <w:lvl w:ilvl="7">
      <w:start w:val="0"/>
      <w:numFmt w:val="bullet"/>
      <w:lvlText w:val="•"/>
      <w:lvlJc w:val="left"/>
      <w:pPr>
        <w:ind w:left="5958" w:hanging="360"/>
      </w:pPr>
      <w:rPr/>
    </w:lvl>
    <w:lvl w:ilvl="8">
      <w:start w:val="0"/>
      <w:numFmt w:val="bullet"/>
      <w:lvlText w:val="•"/>
      <w:lvlJc w:val="left"/>
      <w:pPr>
        <w:ind w:left="7142" w:hanging="36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widowControl w:val="0"/>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ind w:left="682"/>
    </w:pPr>
    <w:rPr>
      <w:rFonts w:ascii="Arial" w:cs="Arial" w:eastAsia="Arial" w:hAnsi="Arial"/>
      <w:b w:val="1"/>
      <w:sz w:val="28"/>
      <w:szCs w:val="28"/>
    </w:rPr>
  </w:style>
  <w:style w:type="paragraph" w:styleId="Heading2">
    <w:name w:val="heading 2"/>
    <w:basedOn w:val="Normal"/>
    <w:next w:val="Normal"/>
    <w:pPr>
      <w:spacing w:before="240" w:lineRule="auto"/>
      <w:ind w:left="543" w:hanging="569"/>
    </w:pPr>
    <w:rPr>
      <w:rFonts w:ascii="Arial" w:cs="Arial" w:eastAsia="Arial" w:hAnsi="Arial"/>
      <w:b w:val="1"/>
      <w:sz w:val="24"/>
      <w:szCs w:val="24"/>
    </w:rPr>
  </w:style>
  <w:style w:type="paragraph" w:styleId="Heading3">
    <w:name w:val="heading 3"/>
    <w:basedOn w:val="Normal"/>
    <w:next w:val="Normal"/>
    <w:pPr>
      <w:ind w:left="688" w:hanging="545"/>
    </w:pPr>
    <w:rPr>
      <w:rFonts w:ascii="Arial" w:cs="Arial" w:eastAsia="Arial" w:hAnsi="Arial"/>
      <w:b w:val="1"/>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ind w:right="154"/>
      <w:jc w:val="center"/>
    </w:pPr>
    <w:rPr>
      <w:rFonts w:ascii="Arial" w:cs="Arial" w:eastAsia="Arial" w:hAnsi="Arial"/>
      <w:b w:val="1"/>
      <w:sz w:val="32"/>
      <w:szCs w:val="32"/>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odyText">
    <w:name w:val="Body Text"/>
    <w:basedOn w:val="Normal"/>
    <w:uiPriority w:val="1"/>
    <w:qFormat w:val="1"/>
    <w:rPr>
      <w:lang w:val="en-US"/>
    </w:rPr>
  </w:style>
  <w:style w:type="paragraph" w:styleId="ListParagraph">
    <w:name w:val="List Paragraph"/>
    <w:basedOn w:val="Normal"/>
    <w:uiPriority w:val="1"/>
    <w:qFormat w:val="1"/>
    <w:pPr>
      <w:ind w:left="862" w:hanging="359"/>
    </w:pPr>
    <w:rPr>
      <w:lang w:val="en-US"/>
    </w:rPr>
  </w:style>
  <w:style w:type="paragraph" w:styleId="TableParagraph" w:customStyle="1">
    <w:name w:val="Table Paragraph"/>
    <w:basedOn w:val="Normal"/>
    <w:uiPriority w:val="1"/>
    <w:qFormat w:val="1"/>
    <w:rPr>
      <w:lang w:val="en-US"/>
    </w:rPr>
  </w:style>
  <w:style w:type="character" w:styleId="Hyperlink">
    <w:name w:val="Hyperlink"/>
    <w:basedOn w:val="DefaultParagraphFont"/>
    <w:uiPriority w:val="99"/>
    <w:unhideWhenUsed w:val="1"/>
    <w:rsid w:val="00C23F4C"/>
    <w:rPr>
      <w:color w:val="0000ff" w:themeColor="hyperlink"/>
      <w:u w:val="single"/>
    </w:rPr>
  </w:style>
  <w:style w:type="character" w:styleId="UnresolvedMention">
    <w:name w:val="Unresolved Mention"/>
    <w:basedOn w:val="DefaultParagraphFont"/>
    <w:uiPriority w:val="99"/>
    <w:semiHidden w:val="1"/>
    <w:unhideWhenUsed w:val="1"/>
    <w:rsid w:val="00C23F4C"/>
    <w:rPr>
      <w:color w:val="605e5c"/>
      <w:shd w:color="auto" w:fill="e1dfdd" w:val="clear"/>
    </w:rPr>
  </w:style>
  <w:style w:type="paragraph" w:styleId="Header">
    <w:name w:val="header"/>
    <w:basedOn w:val="Normal"/>
    <w:link w:val="HeaderChar"/>
    <w:uiPriority w:val="99"/>
    <w:unhideWhenUsed w:val="1"/>
    <w:rsid w:val="00C23F4C"/>
    <w:pPr>
      <w:tabs>
        <w:tab w:val="center" w:pos="4513"/>
        <w:tab w:val="right" w:pos="9026"/>
      </w:tabs>
    </w:pPr>
  </w:style>
  <w:style w:type="character" w:styleId="HeaderChar" w:customStyle="1">
    <w:name w:val="Header Char"/>
    <w:basedOn w:val="DefaultParagraphFont"/>
    <w:link w:val="Header"/>
    <w:uiPriority w:val="99"/>
    <w:rsid w:val="00C23F4C"/>
    <w:rPr>
      <w:rFonts w:ascii="Arial MT" w:cs="Arial MT" w:eastAsia="Arial MT" w:hAnsi="Arial MT"/>
    </w:rPr>
  </w:style>
  <w:style w:type="paragraph" w:styleId="Footer">
    <w:name w:val="footer"/>
    <w:basedOn w:val="Normal"/>
    <w:link w:val="FooterChar"/>
    <w:uiPriority w:val="99"/>
    <w:unhideWhenUsed w:val="1"/>
    <w:rsid w:val="00C23F4C"/>
    <w:pPr>
      <w:tabs>
        <w:tab w:val="center" w:pos="4513"/>
        <w:tab w:val="right" w:pos="9026"/>
      </w:tabs>
    </w:pPr>
  </w:style>
  <w:style w:type="character" w:styleId="FooterChar" w:customStyle="1">
    <w:name w:val="Footer Char"/>
    <w:basedOn w:val="DefaultParagraphFont"/>
    <w:link w:val="Footer"/>
    <w:uiPriority w:val="99"/>
    <w:rsid w:val="00C23F4C"/>
    <w:rPr>
      <w:rFonts w:ascii="Arial MT" w:cs="Arial MT" w:eastAsia="Arial MT" w:hAnsi="Arial MT"/>
    </w:rPr>
  </w:style>
  <w:style w:type="character" w:styleId="CommentReference">
    <w:name w:val="annotation reference"/>
    <w:basedOn w:val="DefaultParagraphFont"/>
    <w:uiPriority w:val="99"/>
    <w:semiHidden w:val="1"/>
    <w:unhideWhenUsed w:val="1"/>
    <w:rsid w:val="00F40B99"/>
    <w:rPr>
      <w:sz w:val="16"/>
      <w:szCs w:val="16"/>
    </w:rPr>
  </w:style>
  <w:style w:type="paragraph" w:styleId="CommentText">
    <w:name w:val="annotation text"/>
    <w:basedOn w:val="Normal"/>
    <w:link w:val="CommentTextChar"/>
    <w:uiPriority w:val="99"/>
    <w:semiHidden w:val="1"/>
    <w:unhideWhenUsed w:val="1"/>
    <w:rsid w:val="00F40B99"/>
    <w:rPr>
      <w:sz w:val="20"/>
      <w:szCs w:val="20"/>
    </w:rPr>
  </w:style>
  <w:style w:type="character" w:styleId="CommentTextChar" w:customStyle="1">
    <w:name w:val="Comment Text Char"/>
    <w:basedOn w:val="DefaultParagraphFont"/>
    <w:link w:val="CommentText"/>
    <w:uiPriority w:val="99"/>
    <w:semiHidden w:val="1"/>
    <w:rsid w:val="00F40B99"/>
    <w:rPr>
      <w:rFonts w:ascii="Arial MT" w:cs="Arial MT" w:eastAsia="Arial MT" w:hAnsi="Arial MT"/>
      <w:sz w:val="20"/>
      <w:szCs w:val="20"/>
      <w:lang w:val="en-GB"/>
    </w:rPr>
  </w:style>
  <w:style w:type="paragraph" w:styleId="CommentSubject">
    <w:name w:val="annotation subject"/>
    <w:basedOn w:val="CommentText"/>
    <w:next w:val="CommentText"/>
    <w:link w:val="CommentSubjectChar"/>
    <w:uiPriority w:val="99"/>
    <w:semiHidden w:val="1"/>
    <w:unhideWhenUsed w:val="1"/>
    <w:rsid w:val="00F40B99"/>
    <w:rPr>
      <w:b w:val="1"/>
      <w:bCs w:val="1"/>
    </w:rPr>
  </w:style>
  <w:style w:type="character" w:styleId="CommentSubjectChar" w:customStyle="1">
    <w:name w:val="Comment Subject Char"/>
    <w:basedOn w:val="CommentTextChar"/>
    <w:link w:val="CommentSubject"/>
    <w:uiPriority w:val="99"/>
    <w:semiHidden w:val="1"/>
    <w:rsid w:val="00F40B99"/>
    <w:rPr>
      <w:rFonts w:ascii="Arial MT" w:cs="Arial MT" w:eastAsia="Arial MT" w:hAnsi="Arial MT"/>
      <w:b w:val="1"/>
      <w:bCs w:val="1"/>
      <w:sz w:val="20"/>
      <w:szCs w:val="20"/>
      <w:lang w:val="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table" w:styleId="Table6">
    <w:basedOn w:val="TableNormal"/>
    <w:tblPr>
      <w:tblStyleRowBandSize w:val="1"/>
      <w:tblStyleColBandSize w:val="1"/>
      <w:tblCellMar>
        <w:top w:w="0.0" w:type="dxa"/>
        <w:left w:w="0.0" w:type="dxa"/>
        <w:bottom w:w="0.0" w:type="dxa"/>
        <w:right w:w="0.0" w:type="dxa"/>
      </w:tblCellMar>
    </w:tblPr>
  </w:style>
  <w:style w:type="table" w:styleId="Table7">
    <w:basedOn w:val="TableNormal"/>
    <w:tblPr>
      <w:tblStyleRowBandSize w:val="1"/>
      <w:tblStyleColBandSize w:val="1"/>
      <w:tblCellMar>
        <w:top w:w="0.0" w:type="dxa"/>
        <w:left w:w="0.0" w:type="dxa"/>
        <w:bottom w:w="0.0" w:type="dxa"/>
        <w:right w:w="0.0" w:type="dxa"/>
      </w:tblCellMar>
    </w:tblPr>
  </w:style>
  <w:style w:type="table" w:styleId="Table8">
    <w:basedOn w:val="TableNormal"/>
    <w:tblPr>
      <w:tblStyleRowBandSize w:val="1"/>
      <w:tblStyleColBandSize w:val="1"/>
      <w:tblCellMar>
        <w:top w:w="0.0" w:type="dxa"/>
        <w:left w:w="0.0" w:type="dxa"/>
        <w:bottom w:w="0.0" w:type="dxa"/>
        <w:right w:w="0.0" w:type="dxa"/>
      </w:tblCellMar>
    </w:tblPr>
  </w:style>
  <w:style w:type="table" w:styleId="Table9">
    <w:basedOn w:val="TableNormal"/>
    <w:tblPr>
      <w:tblStyleRowBandSize w:val="1"/>
      <w:tblStyleColBandSize w:val="1"/>
      <w:tblCellMar>
        <w:top w:w="0.0" w:type="dxa"/>
        <w:left w:w="0.0" w:type="dxa"/>
        <w:bottom w:w="0.0" w:type="dxa"/>
        <w:right w:w="0.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3" Type="http://schemas.openxmlformats.org/officeDocument/2006/relationships/hyperlink" Target="https://internal-journal.frontiersin.org/articles/10.3389/fmars.2019.00107/full#B89" TargetMode="External"/><Relationship Id="rId8" Type="http://schemas.openxmlformats.org/officeDocument/2006/relationships/hyperlink" Target="mailto:beth@carymor.wales" TargetMode="External"/><Relationship Id="rId18" Type="http://schemas.openxmlformats.org/officeDocument/2006/relationships/customXml" Target="../customXML/item4.xml"/><Relationship Id="rId3" Type="http://schemas.openxmlformats.org/officeDocument/2006/relationships/fontTable" Target="fontTable.xml"/><Relationship Id="rId12" Type="http://schemas.openxmlformats.org/officeDocument/2006/relationships/footer" Target="footer2.xml"/><Relationship Id="rId7" Type="http://schemas.openxmlformats.org/officeDocument/2006/relationships/image" Target="media/image1.png"/><Relationship Id="rId17" Type="http://schemas.openxmlformats.org/officeDocument/2006/relationships/customXml" Target="../customXML/item3.xml"/><Relationship Id="rId2" Type="http://schemas.openxmlformats.org/officeDocument/2006/relationships/settings" Target="settings.xml"/><Relationship Id="rId16" Type="http://schemas.openxmlformats.org/officeDocument/2006/relationships/customXml" Target="../customXML/item2.xml"/><Relationship Id="rId20" Type="http://schemas.openxmlformats.org/officeDocument/2006/relationships/customXml" Target="../customXML/item6.xml"/><Relationship Id="rId11" Type="http://schemas.openxmlformats.org/officeDocument/2006/relationships/header" Target="header2.xml"/><Relationship Id="rId1" Type="http://schemas.openxmlformats.org/officeDocument/2006/relationships/theme" Target="theme/theme1.xml"/><Relationship Id="rId6" Type="http://schemas.openxmlformats.org/officeDocument/2006/relationships/customXml" Target="../customXML/item1.xml"/><Relationship Id="rId15" Type="http://schemas.openxmlformats.org/officeDocument/2006/relationships/hyperlink" Target="http://www.legislation.gov.uk/ssi/2017/115/made" TargetMode="External"/><Relationship Id="rId5" Type="http://schemas.openxmlformats.org/officeDocument/2006/relationships/styles" Target="styles.xml"/><Relationship Id="rId10" Type="http://schemas.openxmlformats.org/officeDocument/2006/relationships/footer" Target="footer1.xml"/><Relationship Id="rId19" Type="http://schemas.openxmlformats.org/officeDocument/2006/relationships/customXml" Target="../customXML/item5.xml"/><Relationship Id="rId4" Type="http://schemas.openxmlformats.org/officeDocument/2006/relationships/numbering" Target="numbering.xml"/><Relationship Id="rId9" Type="http://schemas.openxmlformats.org/officeDocument/2006/relationships/header" Target="header1.xml"/><Relationship Id="rId14" Type="http://schemas.openxmlformats.org/officeDocument/2006/relationships/hyperlink" Target="http://dx.doi.org/10.3354/meps33927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yqyYVEypDwKjEuyNwmliVfoAnw==">CgMxLjA4AHIhMU1WRGRNZE8wS2dORzFnNkdMSVBKVktINk80dnp5eEFU</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B8F7AA4A23AA9C4BA0D5459EB1D3BDD0" ma:contentTypeVersion="784" ma:contentTypeDescription="Permitting &amp; Compliance Word Document" ma:contentTypeScope="" ma:versionID="df122d04ade68b407eeba4d7c511d561">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842d07c0-254f-4ff0-a7c8-bc72217e0758" targetNamespace="http://schemas.microsoft.com/office/2006/metadata/properties" ma:root="true" ma:fieldsID="12813f49bc521f3f3e6ccad7d59bfd30" ns2:_="" ns4:_="" ns5:_="" ns6:_="" ns7:_="">
    <xsd:import namespace="859f7ad6-93f6-4205-b62b-a17f28acbbac"/>
    <xsd:import namespace="9be56660-2c31-41ef-bc00-23e72f632f2a"/>
    <xsd:import namespace="622d3635-28fe-4580-8193-835172c5e96d"/>
    <xsd:import namespace="f4767c23-a9a6-4c65-9833-d699c4dbffae"/>
    <xsd:import namespace="842d07c0-254f-4ff0-a7c8-bc72217e075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element ref="ns7: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d07c0-254f-4ff0-a7c8-bc72217e0758"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Site_x0020_Name xmlns="859f7ad6-93f6-4205-b62b-a17f28acbbac">Expansion to Car Y Mor trial restorative ocean farms in Ramsey Sound producing seaweed and shellfish, Ramsey Sound, Pembrokeshire</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Report</Document_x0020_Type>
    <Welsh_x0020_Local_x0020_Authority xmlns="859f7ad6-93f6-4205-b62b-a17f28acbbac">Pembrokeshire County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Upper Clegyr, St David's, Pembrokeshire, SA62 6QN</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2025-09-04T23:00:00+00:00</Document_x0020_Date>
    <Facility_x0020_Address xmlns="859f7ad6-93f6-4205-b62b-a17f28acbbac">Ramsey Sound</Facility_x0020_Address>
    <Date_x0020_Issued xmlns="f4767c23-a9a6-4c65-9833-d699c4dbffae" xsi:nil="true"/>
    <Environment_x0020_Sub_x0020_Folder xmlns="859f7ad6-93f6-4205-b62b-a17f28acbbac">Licences applications</Environment_x0020_Sub_x0020_Folder>
    <Customer_x0020_Name xmlns="859f7ad6-93f6-4205-b62b-a17f28acbbac">For the Love of the Sea Limited</Customer_x0020_Name>
    <Surrendered_x002f_Expired_x0020_Date xmlns="859f7ad6-93f6-4205-b62b-a17f28acbbac" xsi:nil="true"/>
    <_dlc_DocId xmlns="9be56660-2c31-41ef-bc00-23e72f632f2a">REGU-1131566378-2258</_dlc_DocId>
    <_dlc_DocIdUrl xmlns="9be56660-2c31-41ef-bc00-23e72f632f2a">
      <Url>https://cyfoethnaturiolcymru.sharepoint.com/teams/Regulatory/Permitting/ml/_layouts/15/DocIdRedir.aspx?ID=REGU-1131566378-2258</Url>
      <Description>REGU-1131566378-2258</Description>
    </_dlc_DocIdUrl>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8D59F183-7408-484D-B748-FBF04A0F177A}"/>
</file>

<file path=customXML/itemProps3.xml><?xml version="1.0" encoding="utf-8"?>
<ds:datastoreItem xmlns:ds="http://schemas.openxmlformats.org/officeDocument/2006/customXml" ds:itemID="{BB9E8CC8-BEBB-41C0-A7F7-766253B331C3}"/>
</file>

<file path=customXML/itemProps4.xml><?xml version="1.0" encoding="utf-8"?>
<ds:datastoreItem xmlns:ds="http://schemas.openxmlformats.org/officeDocument/2006/customXml" ds:itemID="{D6444B0C-A3FD-4593-BB00-7CA8A09395F7}"/>
</file>

<file path=customXML/itemProps5.xml><?xml version="1.0" encoding="utf-8"?>
<ds:datastoreItem xmlns:ds="http://schemas.openxmlformats.org/officeDocument/2006/customXml" ds:itemID="{6651EF93-3932-47AB-9421-2F1575A0DE0A}"/>
</file>

<file path=customXML/itemProps6.xml><?xml version="1.0" encoding="utf-8"?>
<ds:datastoreItem xmlns:ds="http://schemas.openxmlformats.org/officeDocument/2006/customXml" ds:itemID="{9C677F23-69A9-40C9-8585-6EA46C0A55A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dcterms:created xsi:type="dcterms:W3CDTF">2025-08-07T09:59:00Z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2025-08-07T00:00:00Z</vt:filetime>
  </property>
  <property fmtid="{D5CDD505-2E9C-101B-9397-08002B2CF9AE}" pid="3" name="Producer">
    <vt:lpwstr>Skia/PDF m94 Google Docs Renderer</vt:lpwstr>
  </property>
  <property fmtid="{D5CDD505-2E9C-101B-9397-08002B2CF9AE}" pid="4" name="LastSaved">
    <vt:filetime>2025-08-07T00:00:00Z</vt:filetime>
  </property>
  <property fmtid="{D5CDD505-2E9C-101B-9397-08002B2CF9AE}" pid="5" name="ContentTypeId">
    <vt:lpwstr>0x01010067EB80C5FE939D4A9B3D8BA62129B7F5010200B8F7AA4A23AA9C4BA0D5459EB1D3BDD0</vt:lpwstr>
  </property>
  <property fmtid="{D5CDD505-2E9C-101B-9397-08002B2CF9AE}" pid="6" name="_dlc_DocIdItemGuid">
    <vt:lpwstr>53efbef4-c12e-4b38-9846-b72d6a96f3c0</vt:lpwstr>
  </property>
  <property fmtid="{D5CDD505-2E9C-101B-9397-08002B2CF9AE}" pid="7" name="MediaServiceImageTags">
    <vt:lpwstr/>
  </property>
</Properties>
</file>