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4387351" w:rsidR="00D04424" w:rsidRPr="00B4761B" w:rsidRDefault="001F0E23" w:rsidP="003719AD">
      <w:pPr>
        <w:pStyle w:val="Heading1"/>
        <w:spacing w:before="0" w:after="0"/>
        <w:jc w:val="left"/>
        <w:rPr>
          <w:bCs/>
          <w:color w:val="000000" w:themeColor="text1"/>
          <w:sz w:val="32"/>
        </w:rPr>
      </w:pPr>
      <w:r w:rsidRPr="00B4761B">
        <w:rPr>
          <w:bCs/>
          <w:color w:val="000000" w:themeColor="text1"/>
          <w:sz w:val="32"/>
        </w:rPr>
        <w:t>Variation</w:t>
      </w:r>
      <w:r w:rsidR="00B73ECB" w:rsidRPr="00B4761B">
        <w:rPr>
          <w:bCs/>
          <w:color w:val="000000" w:themeColor="text1"/>
          <w:sz w:val="32"/>
        </w:rPr>
        <w:t xml:space="preserve"> </w:t>
      </w:r>
    </w:p>
    <w:p w14:paraId="41AC372F" w14:textId="77777777" w:rsidR="00136717" w:rsidRPr="00B4761B" w:rsidRDefault="00136717" w:rsidP="00136717">
      <w:pPr>
        <w:rPr>
          <w:color w:val="000000" w:themeColor="text1"/>
        </w:rPr>
      </w:pPr>
    </w:p>
    <w:p w14:paraId="0FF1524F" w14:textId="77777777" w:rsidR="007820C3" w:rsidRPr="00B4761B" w:rsidRDefault="007820C3" w:rsidP="00D04424">
      <w:pPr>
        <w:rPr>
          <w:rFonts w:ascii="Arial" w:hAnsi="Arial" w:cs="Arial"/>
          <w:color w:val="000000" w:themeColor="text1"/>
          <w:szCs w:val="24"/>
        </w:rPr>
      </w:pPr>
    </w:p>
    <w:p w14:paraId="0FF15250" w14:textId="4869CB4A" w:rsidR="00D04424" w:rsidRPr="00B4761B" w:rsidRDefault="0060457F" w:rsidP="006B0BFB">
      <w:pPr>
        <w:spacing w:after="120"/>
        <w:rPr>
          <w:rFonts w:ascii="Arial" w:hAnsi="Arial" w:cs="Arial"/>
          <w:color w:val="000000" w:themeColor="text1"/>
          <w:szCs w:val="24"/>
        </w:rPr>
      </w:pPr>
      <w:r w:rsidRPr="00B4761B">
        <w:rPr>
          <w:rFonts w:ascii="Arial" w:hAnsi="Arial" w:cs="Arial"/>
          <w:color w:val="000000" w:themeColor="text1"/>
          <w:szCs w:val="24"/>
        </w:rPr>
        <w:t xml:space="preserve">We have decided to </w:t>
      </w:r>
      <w:r w:rsidR="00D2020E" w:rsidRPr="00B4761B">
        <w:rPr>
          <w:rFonts w:ascii="Arial" w:hAnsi="Arial" w:cs="Arial"/>
          <w:color w:val="000000" w:themeColor="text1"/>
          <w:szCs w:val="24"/>
        </w:rPr>
        <w:t xml:space="preserve">issue </w:t>
      </w:r>
      <w:r w:rsidRPr="00B4761B">
        <w:rPr>
          <w:rFonts w:ascii="Arial" w:hAnsi="Arial" w:cs="Arial"/>
          <w:color w:val="000000" w:themeColor="text1"/>
          <w:szCs w:val="24"/>
        </w:rPr>
        <w:t xml:space="preserve">the variation for </w:t>
      </w:r>
      <w:r w:rsidR="00E3639F">
        <w:rPr>
          <w:rFonts w:ascii="Arial" w:hAnsi="Arial" w:cs="Arial"/>
          <w:color w:val="000000" w:themeColor="text1"/>
          <w:szCs w:val="24"/>
        </w:rPr>
        <w:t xml:space="preserve">Garth </w:t>
      </w:r>
      <w:r w:rsidR="00B4761B" w:rsidRPr="00B4761B">
        <w:rPr>
          <w:rFonts w:ascii="Arial" w:hAnsi="Arial" w:cs="Arial"/>
          <w:color w:val="000000" w:themeColor="text1"/>
          <w:szCs w:val="24"/>
        </w:rPr>
        <w:t xml:space="preserve">Construction Compound </w:t>
      </w:r>
      <w:r w:rsidRPr="00B4761B">
        <w:rPr>
          <w:rFonts w:ascii="Arial" w:hAnsi="Arial" w:cs="Arial"/>
          <w:color w:val="000000" w:themeColor="text1"/>
          <w:szCs w:val="24"/>
        </w:rPr>
        <w:t xml:space="preserve">operated by </w:t>
      </w:r>
      <w:r w:rsidR="00B4761B" w:rsidRPr="00B4761B">
        <w:rPr>
          <w:rFonts w:ascii="Arial" w:hAnsi="Arial" w:cs="Arial"/>
          <w:color w:val="000000" w:themeColor="text1"/>
          <w:szCs w:val="24"/>
        </w:rPr>
        <w:t>Hochtief (UK) Construction Limited.</w:t>
      </w:r>
    </w:p>
    <w:p w14:paraId="178F17B4" w14:textId="693F56D6" w:rsidR="00E907C6" w:rsidRPr="00B4761B"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Pr>
          <w:rFonts w:ascii="Arial" w:hAnsi="Arial"/>
          <w:color w:val="000000"/>
          <w:kern w:val="28"/>
          <w:szCs w:val="24"/>
        </w:rPr>
        <w:t xml:space="preserve">The application </w:t>
      </w:r>
      <w:r w:rsidRPr="00B4761B">
        <w:rPr>
          <w:rFonts w:ascii="Arial" w:hAnsi="Arial"/>
          <w:color w:val="000000" w:themeColor="text1"/>
          <w:kern w:val="28"/>
          <w:szCs w:val="24"/>
        </w:rPr>
        <w:t xml:space="preserve">number is </w:t>
      </w:r>
      <w:r w:rsidR="00B4761B" w:rsidRPr="00B4761B">
        <w:rPr>
          <w:rFonts w:ascii="Arial" w:hAnsi="Arial"/>
          <w:color w:val="000000" w:themeColor="text1"/>
          <w:szCs w:val="24"/>
        </w:rPr>
        <w:t>PAN-02975</w:t>
      </w:r>
      <w:r w:rsidR="00E3639F">
        <w:rPr>
          <w:rFonts w:ascii="Arial" w:hAnsi="Arial"/>
          <w:color w:val="000000" w:themeColor="text1"/>
          <w:szCs w:val="24"/>
        </w:rPr>
        <w:t>4</w:t>
      </w:r>
    </w:p>
    <w:p w14:paraId="0FF15251" w14:textId="630B069F" w:rsidR="00D04424" w:rsidRPr="00B4761B" w:rsidRDefault="00D04424" w:rsidP="006B0BFB">
      <w:pPr>
        <w:tabs>
          <w:tab w:val="left" w:pos="4253"/>
          <w:tab w:val="left" w:pos="6804"/>
        </w:tabs>
        <w:spacing w:after="120"/>
        <w:rPr>
          <w:rFonts w:ascii="Arial" w:hAnsi="Arial"/>
          <w:color w:val="000000" w:themeColor="text1"/>
          <w:szCs w:val="24"/>
        </w:rPr>
      </w:pPr>
      <w:r w:rsidRPr="00B4761B">
        <w:rPr>
          <w:rFonts w:ascii="Arial" w:hAnsi="Arial"/>
          <w:color w:val="000000" w:themeColor="text1"/>
          <w:kern w:val="28"/>
          <w:szCs w:val="24"/>
        </w:rPr>
        <w:t>The</w:t>
      </w:r>
      <w:r w:rsidRPr="00B4761B">
        <w:rPr>
          <w:rFonts w:ascii="Arial" w:hAnsi="Arial"/>
          <w:b/>
          <w:color w:val="000000" w:themeColor="text1"/>
          <w:kern w:val="28"/>
          <w:szCs w:val="24"/>
        </w:rPr>
        <w:t xml:space="preserve"> </w:t>
      </w:r>
      <w:r w:rsidRPr="00B4761B">
        <w:rPr>
          <w:rFonts w:ascii="Arial" w:hAnsi="Arial"/>
          <w:color w:val="000000" w:themeColor="text1"/>
          <w:szCs w:val="24"/>
        </w:rPr>
        <w:t xml:space="preserve">permit number is </w:t>
      </w:r>
      <w:r w:rsidR="00B4761B" w:rsidRPr="00B4761B">
        <w:rPr>
          <w:rFonts w:ascii="Arial" w:hAnsi="Arial"/>
          <w:color w:val="000000" w:themeColor="text1"/>
          <w:szCs w:val="24"/>
        </w:rPr>
        <w:t>EPR-</w:t>
      </w:r>
      <w:r w:rsidR="00E3639F" w:rsidRPr="00E3639F">
        <w:rPr>
          <w:rFonts w:ascii="Arial" w:hAnsi="Arial"/>
          <w:color w:val="000000" w:themeColor="text1"/>
          <w:szCs w:val="24"/>
        </w:rPr>
        <w:t>DB3190FD</w:t>
      </w:r>
      <w:r w:rsidR="00B4761B" w:rsidRPr="00B4761B">
        <w:rPr>
          <w:rFonts w:ascii="Arial" w:hAnsi="Arial"/>
          <w:color w:val="000000" w:themeColor="text1"/>
          <w:szCs w:val="24"/>
        </w:rPr>
        <w:t>.</w:t>
      </w:r>
    </w:p>
    <w:bookmarkEnd w:id="0"/>
    <w:bookmarkEnd w:id="1"/>
    <w:p w14:paraId="2EA38A88" w14:textId="77777777" w:rsidR="00E3639F" w:rsidRDefault="00E3639F" w:rsidP="006B0BFB">
      <w:pPr>
        <w:spacing w:after="120"/>
        <w:rPr>
          <w:rFonts w:ascii="Arial" w:hAnsi="Arial"/>
          <w:color w:val="000000"/>
        </w:rPr>
      </w:pPr>
      <w:r w:rsidRPr="00E3639F">
        <w:rPr>
          <w:rFonts w:ascii="Arial" w:hAnsi="Arial"/>
          <w:color w:val="000000"/>
        </w:rPr>
        <w:t xml:space="preserve">A variation to amend the Outlet 2 NGR on the existing permit from SH 58918 38998 to SH 58891 38978, the Effluent &amp; Flow Sampling Point from SH 59252 38598 to SH 59374 38778 and the max permitted rate from 6 l/s  to 15 l/s </w:t>
      </w:r>
    </w:p>
    <w:p w14:paraId="31714265" w14:textId="77777777" w:rsidR="00E3639F" w:rsidRDefault="00E3639F" w:rsidP="006B0BFB">
      <w:pPr>
        <w:spacing w:after="120"/>
        <w:rPr>
          <w:rFonts w:ascii="Arial" w:hAnsi="Arial"/>
          <w:color w:val="000000"/>
        </w:rPr>
      </w:pPr>
    </w:p>
    <w:p w14:paraId="0FF15253" w14:textId="53063D7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B4761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89B727F" w14:textId="77777777" w:rsidR="00B4761B" w:rsidRDefault="00B4761B" w:rsidP="00B4761B">
      <w:pPr>
        <w:spacing w:after="60"/>
        <w:rPr>
          <w:rFonts w:ascii="Arial" w:hAnsi="Arial"/>
          <w:szCs w:val="24"/>
        </w:rPr>
      </w:pPr>
    </w:p>
    <w:p w14:paraId="38B355E8" w14:textId="77777777" w:rsidR="00B4761B" w:rsidRDefault="00B4761B" w:rsidP="00B4761B">
      <w:pPr>
        <w:spacing w:after="60"/>
        <w:rPr>
          <w:rFonts w:ascii="Arial" w:hAnsi="Arial"/>
          <w:szCs w:val="24"/>
        </w:rPr>
      </w:pPr>
    </w:p>
    <w:p w14:paraId="61ED9F1B" w14:textId="77777777" w:rsidR="00B4761B" w:rsidRDefault="00B4761B" w:rsidP="00B4761B">
      <w:pPr>
        <w:spacing w:after="60"/>
        <w:rPr>
          <w:rFonts w:ascii="Arial" w:hAnsi="Arial"/>
          <w:szCs w:val="24"/>
        </w:rPr>
      </w:pPr>
    </w:p>
    <w:p w14:paraId="66DF6718" w14:textId="77777777" w:rsidR="00B4761B" w:rsidRDefault="00B4761B" w:rsidP="00B4761B">
      <w:pPr>
        <w:spacing w:after="60"/>
        <w:rPr>
          <w:rFonts w:ascii="Arial" w:hAnsi="Arial"/>
          <w:szCs w:val="24"/>
        </w:rPr>
      </w:pPr>
    </w:p>
    <w:p w14:paraId="703AF472" w14:textId="77777777" w:rsidR="00B4761B" w:rsidRDefault="00B4761B" w:rsidP="00B4761B">
      <w:pPr>
        <w:spacing w:after="60"/>
        <w:rPr>
          <w:rFonts w:ascii="Arial" w:hAnsi="Arial"/>
          <w:szCs w:val="24"/>
        </w:rPr>
      </w:pPr>
    </w:p>
    <w:p w14:paraId="1831271A" w14:textId="77777777" w:rsidR="00B4761B" w:rsidRDefault="00B4761B" w:rsidP="00B4761B">
      <w:pPr>
        <w:spacing w:after="60"/>
        <w:rPr>
          <w:rFonts w:ascii="Arial" w:hAnsi="Arial"/>
          <w:szCs w:val="24"/>
        </w:rPr>
      </w:pPr>
    </w:p>
    <w:p w14:paraId="4B0145B0" w14:textId="77777777" w:rsidR="00B4761B" w:rsidRDefault="00B4761B" w:rsidP="00B4761B">
      <w:pPr>
        <w:spacing w:after="60"/>
        <w:rPr>
          <w:rFonts w:ascii="Arial" w:hAnsi="Arial"/>
          <w:szCs w:val="24"/>
        </w:rPr>
      </w:pPr>
    </w:p>
    <w:p w14:paraId="18B9B283" w14:textId="77777777" w:rsidR="00B4761B" w:rsidRDefault="00B4761B" w:rsidP="00B4761B">
      <w:pPr>
        <w:spacing w:after="60"/>
        <w:rPr>
          <w:rFonts w:ascii="Arial" w:hAnsi="Arial"/>
          <w:szCs w:val="24"/>
        </w:rPr>
      </w:pPr>
    </w:p>
    <w:p w14:paraId="14FBC5D2" w14:textId="77777777" w:rsidR="00B4761B" w:rsidRPr="0067478B" w:rsidRDefault="00B4761B" w:rsidP="00B4761B">
      <w:pPr>
        <w:spacing w:after="60"/>
        <w:rPr>
          <w:rFonts w:ascii="Arial" w:hAnsi="Arial"/>
        </w:rPr>
      </w:pPr>
    </w:p>
    <w:p w14:paraId="0FF15265" w14:textId="77777777" w:rsidR="006420BA" w:rsidRPr="00B4761B" w:rsidRDefault="006420BA" w:rsidP="006420BA">
      <w:pPr>
        <w:pStyle w:val="Heading1"/>
        <w:jc w:val="left"/>
        <w:rPr>
          <w:color w:val="000000" w:themeColor="text1"/>
          <w:szCs w:val="28"/>
        </w:rPr>
      </w:pPr>
      <w:r w:rsidRPr="00B4761B">
        <w:rPr>
          <w:color w:val="000000" w:themeColor="text1"/>
          <w:szCs w:val="28"/>
        </w:rPr>
        <w:lastRenderedPageBreak/>
        <w:t xml:space="preserve">Key issues of the decision </w:t>
      </w:r>
    </w:p>
    <w:p w14:paraId="0FF15271" w14:textId="19E0D15F"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7679C7D"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774A1F" w:rsidRPr="007820C3" w:rsidRDefault="00774A1F"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8F1F96B" w:rsidR="007820C3" w:rsidRPr="00B4761B" w:rsidRDefault="007820C3" w:rsidP="007820C3">
            <w:pPr>
              <w:pStyle w:val="Heading3"/>
              <w:spacing w:before="60"/>
              <w:rPr>
                <w:rFonts w:ascii="Arial" w:hAnsi="Arial" w:cs="Arial"/>
                <w:b w:val="0"/>
                <w:color w:val="000000" w:themeColor="text1"/>
                <w:szCs w:val="24"/>
                <w:highlight w:val="red"/>
              </w:rPr>
            </w:pPr>
            <w:r w:rsidRPr="00B4761B">
              <w:rPr>
                <w:rFonts w:ascii="Arial" w:hAnsi="Arial" w:cs="Arial"/>
                <w:b w:val="0"/>
                <w:color w:val="000000" w:themeColor="text1"/>
                <w:szCs w:val="24"/>
              </w:rPr>
              <w:t>Responses to consultation</w:t>
            </w:r>
          </w:p>
        </w:tc>
        <w:tc>
          <w:tcPr>
            <w:tcW w:w="6266" w:type="dxa"/>
            <w:tcBorders>
              <w:bottom w:val="single" w:sz="4" w:space="0" w:color="auto"/>
            </w:tcBorders>
          </w:tcPr>
          <w:p w14:paraId="0FF1529A" w14:textId="1C993C80" w:rsidR="007820C3" w:rsidRPr="00B4761B" w:rsidRDefault="007820C3" w:rsidP="007820C3">
            <w:pPr>
              <w:spacing w:before="60"/>
              <w:rPr>
                <w:rFonts w:ascii="Arial" w:hAnsi="Arial" w:cs="Arial"/>
                <w:color w:val="000000" w:themeColor="text1"/>
                <w:szCs w:val="24"/>
              </w:rPr>
            </w:pPr>
            <w:r w:rsidRPr="00B4761B">
              <w:rPr>
                <w:rFonts w:ascii="Arial" w:hAnsi="Arial" w:cs="Arial"/>
                <w:color w:val="000000" w:themeColor="text1"/>
                <w:szCs w:val="24"/>
              </w:rPr>
              <w:t xml:space="preserve">The consultation responses were taken into account in the decision.  </w:t>
            </w:r>
          </w:p>
          <w:p w14:paraId="0FF1529B" w14:textId="77777777" w:rsidR="007820C3" w:rsidRPr="00B4761B" w:rsidRDefault="007820C3" w:rsidP="007820C3">
            <w:pPr>
              <w:spacing w:before="60"/>
              <w:rPr>
                <w:rFonts w:ascii="Arial" w:hAnsi="Arial" w:cs="Arial"/>
                <w:color w:val="000000" w:themeColor="text1"/>
                <w:szCs w:val="24"/>
              </w:rPr>
            </w:pPr>
          </w:p>
          <w:p w14:paraId="0FF1529C" w14:textId="77777777" w:rsidR="007820C3" w:rsidRPr="00B4761B" w:rsidRDefault="007820C3" w:rsidP="007820C3">
            <w:pPr>
              <w:spacing w:before="60"/>
              <w:rPr>
                <w:rFonts w:ascii="Arial" w:hAnsi="Arial" w:cs="Arial"/>
                <w:color w:val="000000" w:themeColor="text1"/>
                <w:szCs w:val="24"/>
              </w:rPr>
            </w:pPr>
            <w:r w:rsidRPr="00B4761B">
              <w:rPr>
                <w:rFonts w:ascii="Arial" w:hAnsi="Arial" w:cs="Arial"/>
                <w:color w:val="000000" w:themeColor="text1"/>
                <w:szCs w:val="24"/>
              </w:rPr>
              <w:t xml:space="preserve">The decision was taken in accordance with our guidance. </w:t>
            </w:r>
          </w:p>
          <w:p w14:paraId="0FF1529D" w14:textId="77777777" w:rsidR="007820C3" w:rsidRPr="00B4761B"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DB2B46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774A1F" w:rsidRDefault="0086051F" w:rsidP="00644DC8">
            <w:pPr>
              <w:spacing w:before="60"/>
              <w:rPr>
                <w:rFonts w:ascii="Arial" w:hAnsi="Arial" w:cs="Arial"/>
                <w:color w:val="000000" w:themeColor="text1"/>
              </w:rPr>
            </w:pPr>
            <w:r w:rsidRPr="00774A1F">
              <w:rPr>
                <w:rFonts w:ascii="Arial" w:hAnsi="Arial" w:cs="Arial"/>
                <w:color w:val="000000" w:themeColor="text1"/>
              </w:rPr>
              <w:t xml:space="preserve">WFD stage 2 scoping has been completed and the activity/project is considered as having </w:t>
            </w:r>
            <w:r w:rsidRPr="00774A1F">
              <w:rPr>
                <w:rFonts w:ascii="Arial" w:hAnsi="Arial" w:cs="Arial"/>
                <w:b/>
                <w:bCs/>
                <w:color w:val="000000" w:themeColor="text1"/>
              </w:rPr>
              <w:t>no risk of causing deterioration or preventing any water body or WFD Protected Area from reaching its objectives</w:t>
            </w:r>
            <w:r w:rsidRPr="00774A1F">
              <w:rPr>
                <w:rFonts w:ascii="Arial" w:hAnsi="Arial" w:cs="Arial"/>
                <w:color w:val="000000" w:themeColor="text1"/>
              </w:rPr>
              <w:t xml:space="preserve"> and taking account of the advice from technical officers - is considered compliant with the WFD Regulations 2017.</w:t>
            </w:r>
          </w:p>
          <w:p w14:paraId="7DEDFFF1" w14:textId="75D6F5CA" w:rsidR="002967CA" w:rsidRPr="007820C3" w:rsidRDefault="002967CA" w:rsidP="00774A1F">
            <w:pPr>
              <w:spacing w:before="60"/>
              <w:rPr>
                <w:rFonts w:ascii="Arial" w:hAnsi="Arial" w:cs="Arial"/>
                <w:szCs w:val="24"/>
              </w:rPr>
            </w:pPr>
          </w:p>
        </w:tc>
        <w:tc>
          <w:tcPr>
            <w:tcW w:w="1072" w:type="dxa"/>
          </w:tcPr>
          <w:p w14:paraId="2E80C0FB" w14:textId="75A877ED" w:rsidR="00D512DF" w:rsidRPr="00FB30B4" w:rsidRDefault="00774A1F"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68BD4956" w:rsidR="007820C3" w:rsidRPr="00B4761B"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6730043A" w:rsidR="007820C3" w:rsidRPr="00774A1F" w:rsidRDefault="007820C3" w:rsidP="00EF499E">
            <w:pPr>
              <w:rPr>
                <w:rFonts w:ascii="Arial" w:hAnsi="Arial" w:cs="Arial"/>
                <w:color w:val="000000" w:themeColor="text1"/>
                <w:szCs w:val="24"/>
              </w:rPr>
            </w:pPr>
            <w:r w:rsidRPr="00774A1F">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r w:rsidR="00774A1F" w:rsidRPr="00774A1F">
              <w:rPr>
                <w:rFonts w:ascii="Arial" w:hAnsi="Arial" w:cs="Arial"/>
                <w:color w:val="000000" w:themeColor="text1"/>
                <w:szCs w:val="24"/>
              </w:rPr>
              <w:t>.</w:t>
            </w:r>
          </w:p>
          <w:p w14:paraId="0FF152CD" w14:textId="3503EC33" w:rsidR="007820C3" w:rsidRPr="00774A1F" w:rsidRDefault="007820C3" w:rsidP="00EF499E">
            <w:pPr>
              <w:rPr>
                <w:rFonts w:ascii="Arial" w:hAnsi="Arial" w:cs="Arial"/>
                <w:color w:val="000000" w:themeColor="text1"/>
                <w:szCs w:val="24"/>
              </w:rPr>
            </w:pPr>
          </w:p>
          <w:p w14:paraId="0FF152CE" w14:textId="4495203E" w:rsidR="007820C3" w:rsidRPr="00774A1F" w:rsidRDefault="007820C3" w:rsidP="00EF499E">
            <w:pPr>
              <w:rPr>
                <w:rFonts w:ascii="Arial" w:hAnsi="Arial" w:cs="Arial"/>
                <w:color w:val="000000" w:themeColor="text1"/>
                <w:szCs w:val="24"/>
              </w:rPr>
            </w:pPr>
            <w:r w:rsidRPr="00774A1F">
              <w:rPr>
                <w:rFonts w:ascii="Arial" w:hAnsi="Arial" w:cs="Arial"/>
                <w:color w:val="000000" w:themeColor="text1"/>
                <w:szCs w:val="24"/>
              </w:rPr>
              <w:t xml:space="preserve">We have not formally consulted </w:t>
            </w:r>
            <w:r w:rsidR="009A3F85" w:rsidRPr="00774A1F">
              <w:rPr>
                <w:rFonts w:ascii="Arial" w:hAnsi="Arial" w:cs="Arial"/>
                <w:color w:val="000000" w:themeColor="text1"/>
                <w:szCs w:val="24"/>
              </w:rPr>
              <w:t xml:space="preserve"> </w:t>
            </w:r>
            <w:r w:rsidRPr="00774A1F">
              <w:rPr>
                <w:rFonts w:ascii="Arial" w:hAnsi="Arial" w:cs="Arial"/>
                <w:color w:val="000000" w:themeColor="text1"/>
                <w:szCs w:val="24"/>
              </w:rPr>
              <w:t xml:space="preserve">on the application.  The decision was taken in accordance with our guidance. </w:t>
            </w:r>
          </w:p>
          <w:p w14:paraId="0FF152CF" w14:textId="77777777" w:rsidR="00FB30B4" w:rsidRPr="007820C3" w:rsidRDefault="00FB30B4" w:rsidP="00774A1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310B1" w:rsidRDefault="00136717" w:rsidP="00136717">
            <w:pPr>
              <w:spacing w:before="60"/>
              <w:rPr>
                <w:rFonts w:ascii="Arial" w:hAnsi="Arial" w:cs="Arial"/>
                <w:color w:val="000000" w:themeColor="text1"/>
                <w:szCs w:val="24"/>
              </w:rPr>
            </w:pPr>
            <w:r w:rsidRPr="00E310B1">
              <w:rPr>
                <w:rFonts w:ascii="Arial" w:hAnsi="Arial" w:cs="Arial"/>
                <w:color w:val="000000" w:themeColor="text1"/>
                <w:szCs w:val="24"/>
              </w:rPr>
              <w:t>Assessment of Likely Significant Effect:</w:t>
            </w:r>
          </w:p>
          <w:p w14:paraId="49C04981" w14:textId="77777777" w:rsidR="00136717" w:rsidRPr="00E310B1" w:rsidRDefault="00136717" w:rsidP="00136717">
            <w:pPr>
              <w:spacing w:before="60"/>
              <w:rPr>
                <w:rFonts w:ascii="Arial" w:hAnsi="Arial" w:cs="Arial"/>
                <w:color w:val="000000" w:themeColor="text1"/>
                <w:szCs w:val="24"/>
              </w:rPr>
            </w:pPr>
          </w:p>
          <w:p w14:paraId="70D0AA2F" w14:textId="77777777" w:rsidR="00136717" w:rsidRPr="00E310B1" w:rsidRDefault="00136717" w:rsidP="00136717">
            <w:pPr>
              <w:spacing w:before="60"/>
              <w:rPr>
                <w:rFonts w:ascii="Arial" w:hAnsi="Arial" w:cs="Arial"/>
                <w:color w:val="000000" w:themeColor="text1"/>
                <w:szCs w:val="24"/>
              </w:rPr>
            </w:pPr>
            <w:r w:rsidRPr="00E310B1">
              <w:rPr>
                <w:rFonts w:ascii="Arial" w:hAnsi="Arial" w:cs="Arial"/>
                <w:color w:val="000000" w:themeColor="text1"/>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0128743D" w14:textId="77777777" w:rsidR="00136717" w:rsidRPr="00E310B1" w:rsidRDefault="00136717" w:rsidP="00136717">
            <w:pPr>
              <w:spacing w:before="60"/>
              <w:rPr>
                <w:rFonts w:ascii="Arial" w:hAnsi="Arial" w:cs="Arial"/>
                <w:color w:val="000000" w:themeColor="text1"/>
                <w:szCs w:val="24"/>
              </w:rPr>
            </w:pPr>
          </w:p>
          <w:p w14:paraId="080002AF" w14:textId="77777777" w:rsidR="00136717" w:rsidRPr="00E310B1" w:rsidRDefault="00136717" w:rsidP="00136717">
            <w:pPr>
              <w:spacing w:before="60"/>
              <w:rPr>
                <w:rFonts w:ascii="Arial" w:hAnsi="Arial" w:cs="Arial"/>
                <w:color w:val="000000" w:themeColor="text1"/>
                <w:szCs w:val="24"/>
              </w:rPr>
            </w:pPr>
            <w:r w:rsidRPr="00E310B1">
              <w:rPr>
                <w:rFonts w:ascii="Arial" w:hAnsi="Arial" w:cs="Arial"/>
                <w:color w:val="000000" w:themeColor="text1"/>
                <w:szCs w:val="24"/>
              </w:rPr>
              <w:t>Appropriate assessment:</w:t>
            </w:r>
          </w:p>
          <w:p w14:paraId="0373A1BC" w14:textId="77777777" w:rsidR="00136717" w:rsidRPr="00E310B1" w:rsidRDefault="00136717" w:rsidP="00136717">
            <w:pPr>
              <w:spacing w:before="60"/>
              <w:rPr>
                <w:rFonts w:ascii="Arial" w:hAnsi="Arial" w:cs="Arial"/>
                <w:color w:val="000000" w:themeColor="text1"/>
                <w:szCs w:val="24"/>
              </w:rPr>
            </w:pPr>
          </w:p>
          <w:p w14:paraId="06106415" w14:textId="5C2DA310" w:rsidR="00136717" w:rsidRPr="00E310B1" w:rsidRDefault="00136717" w:rsidP="00136717">
            <w:pPr>
              <w:spacing w:before="60"/>
              <w:rPr>
                <w:rFonts w:ascii="Arial" w:hAnsi="Arial" w:cs="Arial"/>
                <w:color w:val="000000" w:themeColor="text1"/>
                <w:szCs w:val="24"/>
              </w:rPr>
            </w:pPr>
            <w:r w:rsidRPr="00E310B1">
              <w:rPr>
                <w:rFonts w:ascii="Arial" w:hAnsi="Arial" w:cs="Arial"/>
                <w:color w:val="000000" w:themeColor="text1"/>
                <w:szCs w:val="24"/>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r w:rsidR="00E310B1" w:rsidRPr="00E310B1">
              <w:rPr>
                <w:rFonts w:ascii="Arial" w:hAnsi="Arial" w:cs="Arial"/>
                <w:color w:val="000000" w:themeColor="text1"/>
                <w:szCs w:val="24"/>
              </w:rPr>
              <w:t>.</w:t>
            </w:r>
            <w:r w:rsidRPr="00E310B1">
              <w:rPr>
                <w:rFonts w:ascii="Arial" w:hAnsi="Arial" w:cs="Arial"/>
                <w:color w:val="000000" w:themeColor="text1"/>
                <w:szCs w:val="24"/>
              </w:rPr>
              <w:t xml:space="preserve"> </w:t>
            </w:r>
          </w:p>
          <w:p w14:paraId="67AFC2B0" w14:textId="77777777" w:rsidR="00136717" w:rsidRPr="007820C3" w:rsidRDefault="00136717" w:rsidP="00E310B1">
            <w:pPr>
              <w:rPr>
                <w:rFonts w:ascii="Arial" w:hAnsi="Arial" w:cs="Arial"/>
                <w:color w:val="000000"/>
                <w:szCs w:val="24"/>
              </w:rPr>
            </w:pPr>
          </w:p>
        </w:tc>
        <w:tc>
          <w:tcPr>
            <w:tcW w:w="1072" w:type="dxa"/>
          </w:tcPr>
          <w:p w14:paraId="5CCCC72E" w14:textId="727BD2BD" w:rsidR="00136717" w:rsidRPr="00FB30B4" w:rsidRDefault="00B4761B"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11365C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4761B" w:rsidRDefault="007820C3" w:rsidP="00A60F17">
            <w:pPr>
              <w:rPr>
                <w:rFonts w:ascii="Arial" w:hAnsi="Arial" w:cs="Arial"/>
                <w:color w:val="000000" w:themeColor="text1"/>
                <w:szCs w:val="24"/>
              </w:rPr>
            </w:pPr>
            <w:r w:rsidRPr="00B4761B">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B4761B">
            <w:pPr>
              <w:pStyle w:val="BodyText"/>
              <w:rPr>
                <w:rFonts w:ascii="Arial" w:hAnsi="Arial" w:cs="Arial"/>
                <w:szCs w:val="24"/>
              </w:rPr>
            </w:pPr>
          </w:p>
        </w:tc>
        <w:tc>
          <w:tcPr>
            <w:tcW w:w="1072" w:type="dxa"/>
          </w:tcPr>
          <w:p w14:paraId="0FF152EA" w14:textId="14B8D1F7" w:rsidR="007820C3" w:rsidRPr="00FB30B4" w:rsidRDefault="00B4761B"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46B0DC7" w14:textId="77777777" w:rsidR="00E310B1" w:rsidRPr="008436A1" w:rsidRDefault="00E310B1" w:rsidP="00E310B1">
            <w:pPr>
              <w:rPr>
                <w:rFonts w:ascii="Arial" w:hAnsi="Arial" w:cs="Arial"/>
                <w:szCs w:val="24"/>
              </w:rPr>
            </w:pPr>
            <w:r w:rsidRPr="008436A1">
              <w:rPr>
                <w:rFonts w:ascii="Arial" w:hAnsi="Arial" w:cs="Arial"/>
                <w:szCs w:val="24"/>
              </w:rPr>
              <w:t xml:space="preserve">We have reviewed the techniques used by the operator and compared these with the relevant guidance notes. </w:t>
            </w:r>
          </w:p>
          <w:p w14:paraId="2598A50E" w14:textId="77777777" w:rsidR="00FB30B4" w:rsidRDefault="00E310B1" w:rsidP="00B4761B">
            <w:pPr>
              <w:rPr>
                <w:rFonts w:ascii="Arial" w:hAnsi="Arial" w:cs="Arial"/>
                <w:szCs w:val="24"/>
              </w:rPr>
            </w:pPr>
            <w:r w:rsidRPr="008436A1">
              <w:rPr>
                <w:rFonts w:ascii="Arial" w:hAnsi="Arial" w:cs="Arial"/>
                <w:szCs w:val="24"/>
              </w:rPr>
              <w:t>The proposed techniques / emission levels for priorities for control are in line with the benchmark levels contained in the TGN</w:t>
            </w:r>
            <w:r>
              <w:rPr>
                <w:rFonts w:ascii="Arial" w:hAnsi="Arial" w:cs="Arial"/>
                <w:szCs w:val="24"/>
              </w:rPr>
              <w:t xml:space="preserve"> 7.01</w:t>
            </w:r>
            <w:r w:rsidRPr="008436A1">
              <w:rPr>
                <w:rFonts w:ascii="Arial" w:hAnsi="Arial" w:cs="Arial"/>
                <w:szCs w:val="24"/>
              </w:rPr>
              <w:t xml:space="preserve"> and we consider them to represent appropriate techniques for the facility.</w:t>
            </w:r>
          </w:p>
          <w:p w14:paraId="0FF152F4" w14:textId="35B4723D" w:rsidR="00E310B1" w:rsidRPr="007820C3" w:rsidRDefault="00E310B1" w:rsidP="00B4761B">
            <w:pPr>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B595594" w14:textId="77777777" w:rsidR="00E96702" w:rsidRDefault="00E96702" w:rsidP="00D16B80">
            <w:pPr>
              <w:pStyle w:val="NormalWeb"/>
              <w:rPr>
                <w:rFonts w:ascii="Arial" w:hAnsi="Arial" w:cs="Arial"/>
                <w:color w:val="FF00FF"/>
              </w:rPr>
            </w:pPr>
          </w:p>
          <w:p w14:paraId="7C4FE69A" w14:textId="77777777" w:rsidR="00D16B80" w:rsidRPr="00E96702" w:rsidRDefault="00D16B80" w:rsidP="00D16B8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3D425049" w14:textId="6C00CE7E" w:rsidR="0A08D9AA" w:rsidRDefault="0A08D9AA" w:rsidP="396B50C7">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D16B80">
              <w:rPr>
                <w:rFonts w:ascii="Arial" w:eastAsia="Arial" w:hAnsi="Arial" w:cs="Arial"/>
                <w:color w:val="000000" w:themeColor="text1"/>
              </w:rPr>
              <w:t>groundwater activity permit under EPR2016.</w:t>
            </w:r>
          </w:p>
          <w:p w14:paraId="0E33EB74" w14:textId="27BDFAFE" w:rsidR="00D16B80" w:rsidRDefault="00D16B80"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5B49A86" w:rsidR="00C44B7E" w:rsidRPr="00E310B1" w:rsidRDefault="00C44B7E" w:rsidP="00E310B1">
      <w:pPr>
        <w:pStyle w:val="Heading1"/>
        <w:jc w:val="left"/>
        <w:rPr>
          <w:color w:val="FF00FF"/>
          <w:szCs w:val="24"/>
        </w:rPr>
      </w:pPr>
    </w:p>
    <w:sectPr w:rsidR="00C44B7E" w:rsidRPr="00E310B1"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31786296">
    <w:abstractNumId w:val="1"/>
  </w:num>
  <w:num w:numId="2" w16cid:durableId="526144003">
    <w:abstractNumId w:val="15"/>
  </w:num>
  <w:num w:numId="3" w16cid:durableId="1600023555">
    <w:abstractNumId w:val="12"/>
  </w:num>
  <w:num w:numId="4" w16cid:durableId="1406805836">
    <w:abstractNumId w:val="2"/>
  </w:num>
  <w:num w:numId="5" w16cid:durableId="1493721874">
    <w:abstractNumId w:val="4"/>
  </w:num>
  <w:num w:numId="6" w16cid:durableId="172648804">
    <w:abstractNumId w:val="3"/>
  </w:num>
  <w:num w:numId="7" w16cid:durableId="1882664549">
    <w:abstractNumId w:val="7"/>
  </w:num>
  <w:num w:numId="8" w16cid:durableId="2112846721">
    <w:abstractNumId w:val="14"/>
  </w:num>
  <w:num w:numId="9" w16cid:durableId="1597593132">
    <w:abstractNumId w:val="18"/>
  </w:num>
  <w:num w:numId="10" w16cid:durableId="928925315">
    <w:abstractNumId w:val="10"/>
  </w:num>
  <w:num w:numId="11" w16cid:durableId="438455071">
    <w:abstractNumId w:val="13"/>
  </w:num>
  <w:num w:numId="12" w16cid:durableId="2047442908">
    <w:abstractNumId w:val="17"/>
  </w:num>
  <w:num w:numId="13" w16cid:durableId="781728500">
    <w:abstractNumId w:val="16"/>
  </w:num>
  <w:num w:numId="14" w16cid:durableId="1250113312">
    <w:abstractNumId w:val="9"/>
  </w:num>
  <w:num w:numId="15" w16cid:durableId="1258976230">
    <w:abstractNumId w:val="11"/>
  </w:num>
  <w:num w:numId="16" w16cid:durableId="161513331">
    <w:abstractNumId w:val="5"/>
  </w:num>
  <w:num w:numId="17" w16cid:durableId="1211386145">
    <w:abstractNumId w:val="0"/>
  </w:num>
  <w:num w:numId="18" w16cid:durableId="2008828385">
    <w:abstractNumId w:val="8"/>
  </w:num>
  <w:num w:numId="19" w16cid:durableId="2387037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24EF8"/>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A32DE"/>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4A1F"/>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9F7A16"/>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A6042"/>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4761B"/>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30466"/>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16B8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10B1"/>
    <w:rsid w:val="00E35F5D"/>
    <w:rsid w:val="00E3639F"/>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6884"/>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REGU-369-2761607</_dlc_DocId>
    <_dlc_DocIdUrl xmlns="9be56660-2c31-41ef-bc00-23e72f632f2a">
      <Url>https://cyfoethnaturiolcymru.sharepoint.com/teams/Regulatory/Permitting/_layouts/15/DocIdRedir.aspx?ID=REGU-369-2761607</Url>
      <Description>REGU-369-2761607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Garth Construction Compound</Site_x0020_Name>
    <Internal_x002f_External xmlns="859f7ad6-93f6-4205-b62b-a17f28acbbac">Internal document</Internal_x002f_External>
    <Post_x0020_code xmlns="859f7ad6-93f6-4205-b62b-a17f28acbbac">LL48 6HP</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England, SN5 6PE</Addressee>
    <Process_x0020_Type xmlns="859f7ad6-93f6-4205-b62b-a17f28acbbac">Application</Process_x0020_Type>
    <Surrendered_x002f_Expired xmlns="859f7ad6-93f6-4205-b62b-a17f28acbbac" xsi:nil="true"/>
    <Document_x0020_Date xmlns="859f7ad6-93f6-4205-b62b-a17f28acbbac">2026-01-09T00:00:00+00:00</Document_x0020_Date>
    <Facility_x0020_Address xmlns="859f7ad6-93f6-4205-b62b-a17f28acbbac">Quarry Lane, Minffordd, Penrhyndeudraeth</Facility_x0020_Address>
    <Environment_x0020_Sub_x0020_Folder xmlns="859f7ad6-93f6-4205-b62b-a17f28acbbac">Licence variation</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42C022A-C80C-4AF5-937F-E4F43E882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purl.org/dc/dcmitype/"/>
    <ds:schemaRef ds:uri="http://schemas.microsoft.com/office/infopath/2007/PartnerControls"/>
    <ds:schemaRef ds:uri="859f7ad6-93f6-4205-b62b-a17f28acbbac"/>
    <ds:schemaRef ds:uri="http://schemas.microsoft.com/office/2006/metadata/properties"/>
    <ds:schemaRef ds:uri="http://purl.org/dc/terms/"/>
    <ds:schemaRef ds:uri="http://schemas.openxmlformats.org/package/2006/metadata/core-properties"/>
    <ds:schemaRef ds:uri="6e121689-de5b-41b9-a751-bfeda7fa2b07"/>
    <ds:schemaRef ds:uri="9be56660-2c31-41ef-bc00-23e72f632f2a"/>
    <ds:schemaRef ds:uri="cd6faf52-b12f-444c-a3fc-1f0e7a71d996"/>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5242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2025-10-20T13:39:00Z</dcterms:created>
  <dcterms:modified xsi:type="dcterms:W3CDTF">2025-10-27T14:37:00Z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ea639224-1550-4ed6-ac90-f818a1915de1</vt:lpwstr>
  </property>
  <property fmtid="{D5CDD505-2E9C-101B-9397-08002B2CF9AE}" pid="11" name="SharedWithUsers">
    <vt:lpwstr/>
  </property>
  <property fmtid="{D5CDD505-2E9C-101B-9397-08002B2CF9AE}" pid="12" name="MediaServiceImageTags">
    <vt:lpwstr/>
  </property>
</Properties>
</file>