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00" w:type="dxa"/>
        <w:tblInd w:w="-19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2500"/>
        <w:gridCol w:w="1000"/>
        <w:gridCol w:w="6000"/>
      </w:tblGrid>
      <w:tr w:rsidR="00C23C2C">
        <w:trPr>
          <w:cantSplit/>
          <w:trHeight w:val="348"/>
        </w:trPr>
        <w:tc>
          <w:tcPr>
            <w:tcW w:w="2500" w:type="dxa"/>
            <w:vMerge w:val="restart"/>
            <w:tcBorders>
              <w:top w:val="double" w:sz="6" w:space="0" w:color="auto"/>
            </w:tcBorders>
          </w:tcPr>
          <w:p w:rsidR="00C23C2C" w:rsidRDefault="00C23C2C">
            <w:pPr>
              <w:pStyle w:val="Heading1"/>
            </w:pPr>
            <w:r>
              <w:t xml:space="preserve">Site Specific Activity and Control Measures        </w:t>
            </w:r>
          </w:p>
          <w:p w:rsidR="00C23C2C" w:rsidRDefault="00C23C2C">
            <w:r>
              <w:t xml:space="preserve">                                     (This section </w:t>
            </w:r>
            <w:r>
              <w:rPr>
                <w:b/>
                <w:bCs/>
              </w:rPr>
              <w:t>must</w:t>
            </w:r>
            <w:r>
              <w:t xml:space="preserve"> be completed)</w:t>
            </w:r>
          </w:p>
          <w:p w:rsidR="00C23C2C" w:rsidRDefault="00C23C2C"/>
        </w:tc>
        <w:tc>
          <w:tcPr>
            <w:tcW w:w="1000" w:type="dxa"/>
            <w:tcBorders>
              <w:top w:val="double" w:sz="6" w:space="0" w:color="auto"/>
              <w:bottom w:val="nil"/>
              <w:right w:val="nil"/>
            </w:tcBorders>
          </w:tcPr>
          <w:p w:rsidR="00C23C2C" w:rsidRDefault="00C23C2C">
            <w:pPr>
              <w:pStyle w:val="Heading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Method</w:t>
            </w:r>
          </w:p>
        </w:tc>
        <w:tc>
          <w:tcPr>
            <w:tcW w:w="6000" w:type="dxa"/>
            <w:tcBorders>
              <w:top w:val="double" w:sz="6" w:space="0" w:color="auto"/>
              <w:left w:val="nil"/>
              <w:bottom w:val="nil"/>
            </w:tcBorders>
          </w:tcPr>
          <w:p w:rsidR="00C23C2C" w:rsidRDefault="00C23C2C">
            <w:r>
              <w:t>General use. Plant filled from bund protected tank</w:t>
            </w:r>
          </w:p>
        </w:tc>
      </w:tr>
      <w:tr w:rsidR="00C23C2C">
        <w:trPr>
          <w:cantSplit/>
          <w:trHeight w:val="346"/>
        </w:trPr>
        <w:tc>
          <w:tcPr>
            <w:tcW w:w="2500" w:type="dxa"/>
            <w:vMerge/>
          </w:tcPr>
          <w:p w:rsidR="00C23C2C" w:rsidRDefault="00C23C2C">
            <w:pPr>
              <w:pStyle w:val="Heading1"/>
            </w:pPr>
          </w:p>
        </w:tc>
        <w:tc>
          <w:tcPr>
            <w:tcW w:w="1000" w:type="dxa"/>
            <w:tcBorders>
              <w:top w:val="nil"/>
              <w:bottom w:val="nil"/>
              <w:right w:val="nil"/>
            </w:tcBorders>
          </w:tcPr>
          <w:p w:rsidR="00C23C2C" w:rsidRDefault="00C23C2C">
            <w:pPr>
              <w:pStyle w:val="Header"/>
              <w:tabs>
                <w:tab w:val="clear" w:pos="4153"/>
                <w:tab w:val="clear" w:pos="8306"/>
              </w:tabs>
            </w:pPr>
            <w:r>
              <w:t>Location</w:t>
            </w:r>
          </w:p>
        </w:tc>
        <w:tc>
          <w:tcPr>
            <w:tcW w:w="6000" w:type="dxa"/>
            <w:tcBorders>
              <w:top w:val="nil"/>
              <w:left w:val="nil"/>
              <w:bottom w:val="nil"/>
            </w:tcBorders>
          </w:tcPr>
          <w:p w:rsidR="00C23C2C" w:rsidRDefault="00C23C2C">
            <w:r>
              <w:t>Site compound and bowser</w:t>
            </w:r>
          </w:p>
        </w:tc>
      </w:tr>
      <w:tr w:rsidR="00C23C2C">
        <w:trPr>
          <w:cantSplit/>
          <w:trHeight w:val="346"/>
        </w:trPr>
        <w:tc>
          <w:tcPr>
            <w:tcW w:w="2500" w:type="dxa"/>
            <w:vMerge/>
          </w:tcPr>
          <w:p w:rsidR="00C23C2C" w:rsidRDefault="00C23C2C">
            <w:pPr>
              <w:pStyle w:val="Heading1"/>
            </w:pPr>
          </w:p>
        </w:tc>
        <w:tc>
          <w:tcPr>
            <w:tcW w:w="1000" w:type="dxa"/>
            <w:tcBorders>
              <w:top w:val="nil"/>
              <w:bottom w:val="nil"/>
              <w:right w:val="nil"/>
            </w:tcBorders>
          </w:tcPr>
          <w:p w:rsidR="00C23C2C" w:rsidRDefault="00C23C2C">
            <w:pPr>
              <w:pStyle w:val="Header"/>
              <w:tabs>
                <w:tab w:val="clear" w:pos="4153"/>
                <w:tab w:val="clear" w:pos="8306"/>
              </w:tabs>
            </w:pPr>
            <w:r>
              <w:t>Duration</w:t>
            </w:r>
          </w:p>
        </w:tc>
        <w:tc>
          <w:tcPr>
            <w:tcW w:w="6000" w:type="dxa"/>
            <w:tcBorders>
              <w:top w:val="nil"/>
              <w:left w:val="nil"/>
              <w:bottom w:val="nil"/>
            </w:tcBorders>
          </w:tcPr>
          <w:p w:rsidR="00C23C2C" w:rsidRDefault="00C23C2C">
            <w:pPr>
              <w:pStyle w:val="Header"/>
              <w:tabs>
                <w:tab w:val="clear" w:pos="4153"/>
                <w:tab w:val="clear" w:pos="8306"/>
              </w:tabs>
            </w:pPr>
            <w:r>
              <w:t>Duration of contract</w:t>
            </w:r>
          </w:p>
        </w:tc>
      </w:tr>
      <w:tr w:rsidR="00C23C2C">
        <w:trPr>
          <w:cantSplit/>
          <w:trHeight w:val="346"/>
        </w:trPr>
        <w:tc>
          <w:tcPr>
            <w:tcW w:w="2500" w:type="dxa"/>
            <w:vMerge/>
            <w:tcBorders>
              <w:bottom w:val="single" w:sz="4" w:space="0" w:color="auto"/>
            </w:tcBorders>
          </w:tcPr>
          <w:p w:rsidR="00C23C2C" w:rsidRDefault="00C23C2C">
            <w:pPr>
              <w:pStyle w:val="Heading1"/>
            </w:pPr>
          </w:p>
        </w:tc>
        <w:tc>
          <w:tcPr>
            <w:tcW w:w="1000" w:type="dxa"/>
            <w:tcBorders>
              <w:top w:val="nil"/>
              <w:bottom w:val="single" w:sz="4" w:space="0" w:color="auto"/>
              <w:right w:val="nil"/>
            </w:tcBorders>
          </w:tcPr>
          <w:p w:rsidR="00C23C2C" w:rsidRDefault="00C23C2C">
            <w:pPr>
              <w:pStyle w:val="Header"/>
              <w:tabs>
                <w:tab w:val="clear" w:pos="4153"/>
                <w:tab w:val="clear" w:pos="8306"/>
              </w:tabs>
            </w:pPr>
            <w:r>
              <w:t>Control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</w:tcBorders>
          </w:tcPr>
          <w:p w:rsidR="00C23C2C" w:rsidRDefault="00C23C2C">
            <w:r>
              <w:t>Toolbox talk to all plant/machine operators. Tank controlled by storeman.</w:t>
            </w:r>
          </w:p>
        </w:tc>
      </w:tr>
      <w:tr w:rsidR="00C23C2C">
        <w:tc>
          <w:tcPr>
            <w:tcW w:w="2500" w:type="dxa"/>
            <w:tcBorders>
              <w:top w:val="single" w:sz="4" w:space="0" w:color="auto"/>
              <w:bottom w:val="single" w:sz="4" w:space="0" w:color="auto"/>
            </w:tcBorders>
          </w:tcPr>
          <w:p w:rsidR="00C23C2C" w:rsidRDefault="00C23C2C">
            <w:pPr>
              <w:pStyle w:val="Heading1"/>
            </w:pPr>
            <w:r>
              <w:t>Exposure Limits</w:t>
            </w:r>
          </w:p>
          <w:p w:rsidR="00C23C2C" w:rsidRDefault="00C23C2C"/>
        </w:tc>
        <w:tc>
          <w:tcPr>
            <w:tcW w:w="7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C2C" w:rsidRDefault="00C23C2C">
            <w:r>
              <w:t>None applicable</w:t>
            </w:r>
          </w:p>
        </w:tc>
      </w:tr>
      <w:tr w:rsidR="00C23C2C">
        <w:tc>
          <w:tcPr>
            <w:tcW w:w="2500" w:type="dxa"/>
            <w:tcBorders>
              <w:top w:val="single" w:sz="4" w:space="0" w:color="auto"/>
              <w:bottom w:val="single" w:sz="4" w:space="0" w:color="auto"/>
            </w:tcBorders>
          </w:tcPr>
          <w:p w:rsidR="00C23C2C" w:rsidRDefault="00C23C2C">
            <w:pPr>
              <w:pStyle w:val="Heading1"/>
            </w:pPr>
            <w:r>
              <w:t>Physical Properties</w:t>
            </w:r>
          </w:p>
          <w:p w:rsidR="00C23C2C" w:rsidRDefault="00C23C2C"/>
          <w:p w:rsidR="00C23C2C" w:rsidRDefault="009C5B24">
            <w:pPr>
              <w:jc w:val="center"/>
              <w:rPr>
                <w:rFonts w:cs="Arial"/>
                <w:color w:val="000000"/>
                <w:szCs w:val="20"/>
                <w:lang w:val="en-US"/>
              </w:rPr>
            </w:pPr>
            <w:r>
              <w:rPr>
                <w:rFonts w:cs="Arial"/>
                <w:noProof/>
                <w:color w:val="000000"/>
                <w:szCs w:val="20"/>
                <w:lang w:eastAsia="en-GB"/>
              </w:rPr>
              <w:drawing>
                <wp:inline distT="0" distB="0" distL="0" distR="0">
                  <wp:extent cx="664210" cy="534670"/>
                  <wp:effectExtent l="1905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3C2C" w:rsidRDefault="00C23C2C"/>
        </w:tc>
        <w:tc>
          <w:tcPr>
            <w:tcW w:w="7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C2C" w:rsidRDefault="00C23C2C">
            <w:r>
              <w:t>Petroleum distillates and hydrocarbons</w:t>
            </w:r>
          </w:p>
          <w:p w:rsidR="00C23C2C" w:rsidRDefault="00C23C2C"/>
          <w:p w:rsidR="00C23C2C" w:rsidRDefault="00C23C2C">
            <w:pPr>
              <w:rPr>
                <w:sz w:val="22"/>
              </w:rPr>
            </w:pPr>
            <w:r>
              <w:rPr>
                <w:sz w:val="22"/>
              </w:rPr>
              <w:t>DERV - Clear liquid, flashpoint &gt;56°C, characteristic odour</w:t>
            </w:r>
          </w:p>
          <w:p w:rsidR="00C23C2C" w:rsidRDefault="00C23C2C">
            <w:pPr>
              <w:rPr>
                <w:sz w:val="22"/>
              </w:rPr>
            </w:pPr>
          </w:p>
          <w:p w:rsidR="00C23C2C" w:rsidRDefault="00C23C2C">
            <w:r>
              <w:rPr>
                <w:sz w:val="22"/>
              </w:rPr>
              <w:t>GAS OIL - also contains red additives (HM Customs markers)</w:t>
            </w:r>
          </w:p>
        </w:tc>
      </w:tr>
      <w:tr w:rsidR="00C23C2C">
        <w:trPr>
          <w:cantSplit/>
          <w:trHeight w:val="761"/>
        </w:trPr>
        <w:tc>
          <w:tcPr>
            <w:tcW w:w="2500" w:type="dxa"/>
            <w:vMerge w:val="restart"/>
            <w:tcBorders>
              <w:top w:val="single" w:sz="4" w:space="0" w:color="auto"/>
            </w:tcBorders>
          </w:tcPr>
          <w:p w:rsidR="00C23C2C" w:rsidRDefault="00C23C2C">
            <w:pPr>
              <w:pStyle w:val="Heading1"/>
            </w:pPr>
            <w:r>
              <w:t>Hazard</w:t>
            </w:r>
          </w:p>
          <w:p w:rsidR="00C23C2C" w:rsidRDefault="00C23C2C"/>
          <w:p w:rsidR="00C23C2C" w:rsidRDefault="009C5B24">
            <w:pPr>
              <w:jc w:val="center"/>
              <w:rPr>
                <w:rFonts w:cs="Arial"/>
                <w:color w:val="000000"/>
                <w:szCs w:val="20"/>
                <w:lang w:val="en-US"/>
              </w:rPr>
            </w:pPr>
            <w:r>
              <w:rPr>
                <w:rFonts w:cs="Arial"/>
                <w:noProof/>
                <w:color w:val="000000"/>
                <w:szCs w:val="20"/>
                <w:lang w:eastAsia="en-GB"/>
              </w:rPr>
              <w:drawing>
                <wp:inline distT="0" distB="0" distL="0" distR="0">
                  <wp:extent cx="673100" cy="526415"/>
                  <wp:effectExtent l="1905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26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3C2C" w:rsidRDefault="00C23C2C"/>
        </w:tc>
        <w:tc>
          <w:tcPr>
            <w:tcW w:w="1000" w:type="dxa"/>
            <w:tcBorders>
              <w:top w:val="single" w:sz="4" w:space="0" w:color="auto"/>
              <w:bottom w:val="nil"/>
              <w:right w:val="nil"/>
            </w:tcBorders>
          </w:tcPr>
          <w:p w:rsidR="00C23C2C" w:rsidRDefault="009C5B24">
            <w:r>
              <w:rPr>
                <w:noProof/>
                <w:sz w:val="19"/>
                <w:lang w:eastAsia="en-GB"/>
              </w:rPr>
              <w:drawing>
                <wp:inline distT="0" distB="0" distL="0" distR="0">
                  <wp:extent cx="440055" cy="440055"/>
                  <wp:effectExtent l="19050" t="0" r="0" b="0"/>
                  <wp:docPr id="2" name="Picture 2" descr="ORX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ORX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" cy="440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tcBorders>
              <w:top w:val="single" w:sz="4" w:space="0" w:color="auto"/>
              <w:left w:val="nil"/>
              <w:bottom w:val="nil"/>
            </w:tcBorders>
          </w:tcPr>
          <w:p w:rsidR="00C23C2C" w:rsidRDefault="00C23C2C">
            <w:pPr>
              <w:pStyle w:val="BodyText"/>
              <w:spacing w:after="4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Vapour in high concentrations can lead to nausea, headaches and dizziness.</w:t>
            </w:r>
          </w:p>
          <w:p w:rsidR="00C23C2C" w:rsidRDefault="00C23C2C">
            <w:pPr>
              <w:spacing w:after="40"/>
            </w:pPr>
            <w:r>
              <w:t xml:space="preserve">Skin contact over prolonged period can lead to skin irritation, dermatitis.  </w:t>
            </w:r>
          </w:p>
        </w:tc>
      </w:tr>
      <w:tr w:rsidR="00C23C2C">
        <w:trPr>
          <w:cantSplit/>
          <w:trHeight w:val="761"/>
        </w:trPr>
        <w:tc>
          <w:tcPr>
            <w:tcW w:w="2500" w:type="dxa"/>
            <w:vMerge/>
            <w:tcBorders>
              <w:bottom w:val="single" w:sz="4" w:space="0" w:color="auto"/>
            </w:tcBorders>
          </w:tcPr>
          <w:p w:rsidR="00C23C2C" w:rsidRDefault="00C23C2C">
            <w:pPr>
              <w:pStyle w:val="Heading1"/>
            </w:pPr>
          </w:p>
        </w:tc>
        <w:tc>
          <w:tcPr>
            <w:tcW w:w="1000" w:type="dxa"/>
            <w:tcBorders>
              <w:top w:val="nil"/>
              <w:bottom w:val="single" w:sz="4" w:space="0" w:color="auto"/>
              <w:right w:val="nil"/>
            </w:tcBorders>
          </w:tcPr>
          <w:p w:rsidR="00C23C2C" w:rsidRDefault="00C23C2C"/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</w:tcBorders>
          </w:tcPr>
          <w:p w:rsidR="00C23C2C" w:rsidRDefault="00C23C2C">
            <w:r>
              <w:t>Warty skin growths can occur which can become cancerous if occupational and personal hygiene standards are poor.</w:t>
            </w:r>
          </w:p>
          <w:p w:rsidR="00C23C2C" w:rsidRDefault="00C23C2C">
            <w:r>
              <w:t>Ingestion/vomiting can result in aspiration into lungs which can be fatal</w:t>
            </w:r>
          </w:p>
        </w:tc>
        <w:bookmarkStart w:id="0" w:name="_GoBack"/>
        <w:bookmarkEnd w:id="0"/>
      </w:tr>
      <w:tr w:rsidR="00C23C2C">
        <w:tc>
          <w:tcPr>
            <w:tcW w:w="2500" w:type="dxa"/>
            <w:tcBorders>
              <w:top w:val="single" w:sz="4" w:space="0" w:color="auto"/>
              <w:bottom w:val="single" w:sz="4" w:space="0" w:color="auto"/>
            </w:tcBorders>
          </w:tcPr>
          <w:p w:rsidR="00C23C2C" w:rsidRDefault="00C23C2C">
            <w:pPr>
              <w:pStyle w:val="BodyText"/>
            </w:pPr>
            <w:r>
              <w:t>Work Procedures/PPE</w:t>
            </w:r>
          </w:p>
          <w:p w:rsidR="00C23C2C" w:rsidRDefault="00C23C2C">
            <w:pPr>
              <w:pStyle w:val="BodyText"/>
            </w:pPr>
          </w:p>
          <w:p w:rsidR="00C23C2C" w:rsidRDefault="009C5B24">
            <w:pPr>
              <w:jc w:val="center"/>
              <w:rPr>
                <w:rFonts w:cs="Arial"/>
                <w:color w:val="000000"/>
                <w:szCs w:val="20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543560" cy="534670"/>
                  <wp:effectExtent l="19050" t="0" r="8890" b="0"/>
                  <wp:docPr id="4" name="Picture 4" descr="BD06720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D06720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3C2C" w:rsidRDefault="00C23C2C"/>
        </w:tc>
        <w:tc>
          <w:tcPr>
            <w:tcW w:w="7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C2C" w:rsidRDefault="00C23C2C">
            <w:pPr>
              <w:pStyle w:val="BodyText"/>
              <w:rPr>
                <w:rFonts w:cs="Arial"/>
                <w:b w:val="0"/>
                <w:bCs w:val="0"/>
              </w:rPr>
            </w:pPr>
            <w:r>
              <w:rPr>
                <w:rFonts w:cs="Arial"/>
                <w:b w:val="0"/>
                <w:bCs w:val="0"/>
              </w:rPr>
              <w:t>Avoid contact with skin and eyes</w:t>
            </w:r>
          </w:p>
          <w:p w:rsidR="00C23C2C" w:rsidRDefault="00C23C2C">
            <w:r>
              <w:rPr>
                <w:rFonts w:cs="Arial"/>
              </w:rPr>
              <w:t xml:space="preserve">Wear impervious gloves </w:t>
            </w:r>
            <w:r>
              <w:t>(impervious heavy duty knitted wrist) to</w:t>
            </w:r>
          </w:p>
          <w:p w:rsidR="00C23C2C" w:rsidRDefault="00C23C2C">
            <w:r>
              <w:t>BS EN 374.</w:t>
            </w:r>
          </w:p>
          <w:p w:rsidR="00C23C2C" w:rsidRDefault="00C23C2C">
            <w:r>
              <w:t>No smoking or other sources of ignition during re-fuelling</w:t>
            </w:r>
          </w:p>
          <w:p w:rsidR="00C23C2C" w:rsidRDefault="00C23C2C">
            <w:pPr>
              <w:pStyle w:val="BodyText"/>
              <w:rPr>
                <w:rFonts w:cs="Arial"/>
                <w:b w:val="0"/>
                <w:bCs w:val="0"/>
              </w:rPr>
            </w:pPr>
            <w:r>
              <w:rPr>
                <w:rFonts w:cs="Arial"/>
                <w:b w:val="0"/>
                <w:bCs w:val="0"/>
              </w:rPr>
              <w:t>Avoid breathing vapour, ensure adequate ventilation</w:t>
            </w:r>
          </w:p>
          <w:p w:rsidR="00C23C2C" w:rsidRDefault="00C23C2C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</w:rPr>
            </w:pPr>
          </w:p>
        </w:tc>
      </w:tr>
      <w:tr w:rsidR="00C23C2C">
        <w:tc>
          <w:tcPr>
            <w:tcW w:w="2500" w:type="dxa"/>
            <w:tcBorders>
              <w:top w:val="single" w:sz="4" w:space="0" w:color="auto"/>
              <w:bottom w:val="single" w:sz="4" w:space="0" w:color="auto"/>
            </w:tcBorders>
          </w:tcPr>
          <w:p w:rsidR="00C23C2C" w:rsidRDefault="00C23C2C">
            <w:pPr>
              <w:pStyle w:val="Heading1"/>
            </w:pPr>
            <w:r>
              <w:t>First Aid/Fire</w:t>
            </w:r>
          </w:p>
          <w:p w:rsidR="00C23C2C" w:rsidRDefault="00C23C2C"/>
          <w:p w:rsidR="00C23C2C" w:rsidRDefault="009C5B24">
            <w:pPr>
              <w:jc w:val="center"/>
              <w:rPr>
                <w:rFonts w:cs="Arial"/>
                <w:color w:val="000000"/>
                <w:szCs w:val="20"/>
                <w:lang w:val="en-US"/>
              </w:rPr>
            </w:pPr>
            <w:r>
              <w:rPr>
                <w:rFonts w:cs="Arial"/>
                <w:noProof/>
                <w:color w:val="000000"/>
                <w:szCs w:val="20"/>
                <w:lang w:eastAsia="en-GB"/>
              </w:rPr>
              <w:drawing>
                <wp:inline distT="0" distB="0" distL="0" distR="0">
                  <wp:extent cx="681355" cy="560705"/>
                  <wp:effectExtent l="19050" t="0" r="444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355" cy="560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3C2C" w:rsidRDefault="00C23C2C"/>
        </w:tc>
        <w:tc>
          <w:tcPr>
            <w:tcW w:w="7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C2C" w:rsidRDefault="00C23C2C">
            <w:r>
              <w:rPr>
                <w:b/>
                <w:bCs/>
              </w:rPr>
              <w:t>Inhalation:</w:t>
            </w:r>
            <w:r>
              <w:t xml:space="preserve"> remove to fresh air and rest</w:t>
            </w:r>
          </w:p>
          <w:p w:rsidR="00C23C2C" w:rsidRDefault="00C23C2C">
            <w:r>
              <w:rPr>
                <w:b/>
                <w:bCs/>
              </w:rPr>
              <w:t>Ingestion:</w:t>
            </w:r>
            <w:r>
              <w:t xml:space="preserve"> do not induce vomiting – seek immediate medical attention</w:t>
            </w:r>
          </w:p>
          <w:p w:rsidR="00C23C2C" w:rsidRDefault="00C23C2C">
            <w:r>
              <w:rPr>
                <w:b/>
                <w:bCs/>
              </w:rPr>
              <w:t>Eye Contact:</w:t>
            </w:r>
            <w:r>
              <w:t xml:space="preserve"> irrigate with plenty of water</w:t>
            </w:r>
          </w:p>
          <w:p w:rsidR="00C23C2C" w:rsidRDefault="00C23C2C">
            <w:r>
              <w:rPr>
                <w:b/>
                <w:bCs/>
              </w:rPr>
              <w:t>Skin Contact:</w:t>
            </w:r>
            <w:r>
              <w:t xml:space="preserve"> wash with soap and water – remove contaminated clothing</w:t>
            </w:r>
          </w:p>
          <w:p w:rsidR="00C23C2C" w:rsidRDefault="00C23C2C">
            <w:r>
              <w:rPr>
                <w:b/>
                <w:bCs/>
              </w:rPr>
              <w:t>Fire:</w:t>
            </w:r>
            <w:r>
              <w:t xml:space="preserve"> treat as a petroleum fire - use foam / dry powder / CO</w:t>
            </w:r>
            <w:r>
              <w:rPr>
                <w:vertAlign w:val="subscript"/>
              </w:rPr>
              <w:t>2</w:t>
            </w:r>
            <w:r>
              <w:t xml:space="preserve"> </w:t>
            </w:r>
          </w:p>
          <w:p w:rsidR="00C23C2C" w:rsidRDefault="00C23C2C"/>
        </w:tc>
      </w:tr>
      <w:tr w:rsidR="00C23C2C">
        <w:tc>
          <w:tcPr>
            <w:tcW w:w="2500" w:type="dxa"/>
            <w:tcBorders>
              <w:top w:val="single" w:sz="4" w:space="0" w:color="auto"/>
              <w:bottom w:val="single" w:sz="4" w:space="0" w:color="auto"/>
            </w:tcBorders>
          </w:tcPr>
          <w:p w:rsidR="00C23C2C" w:rsidRDefault="00C23C2C">
            <w:pPr>
              <w:pStyle w:val="Heading1"/>
            </w:pPr>
            <w:r>
              <w:t>Storage/Disposal</w:t>
            </w:r>
          </w:p>
          <w:p w:rsidR="00C23C2C" w:rsidRDefault="00C23C2C"/>
          <w:p w:rsidR="00C23C2C" w:rsidRDefault="009C5B24">
            <w:pPr>
              <w:jc w:val="center"/>
              <w:rPr>
                <w:rFonts w:cs="Arial"/>
                <w:color w:val="000000"/>
                <w:szCs w:val="20"/>
                <w:lang w:val="en-US"/>
              </w:rPr>
            </w:pPr>
            <w:r>
              <w:rPr>
                <w:rFonts w:cs="Arial"/>
                <w:noProof/>
                <w:color w:val="000000"/>
                <w:szCs w:val="20"/>
                <w:lang w:eastAsia="en-GB"/>
              </w:rPr>
              <w:drawing>
                <wp:inline distT="0" distB="0" distL="0" distR="0">
                  <wp:extent cx="509270" cy="569595"/>
                  <wp:effectExtent l="19050" t="0" r="508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270" cy="569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3C2C" w:rsidRDefault="00C23C2C"/>
        </w:tc>
        <w:tc>
          <w:tcPr>
            <w:tcW w:w="700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23C2C" w:rsidRDefault="00C23C2C">
            <w:r>
              <w:rPr>
                <w:b/>
                <w:bCs/>
              </w:rPr>
              <w:t>Storage:</w:t>
            </w:r>
            <w:r>
              <w:t xml:space="preserve"> clearly labelled (UN No 1202), Flammable liquid diamond warning symbol.  A secondary containment facility must be provided for the storage unit, in accordance with the Control of Pollution (Oil Storage) Regulations 2001</w:t>
            </w:r>
          </w:p>
          <w:p w:rsidR="00C23C2C" w:rsidRDefault="00C23C2C"/>
          <w:p w:rsidR="00C23C2C" w:rsidRDefault="00C23C2C">
            <w:r>
              <w:rPr>
                <w:b/>
                <w:bCs/>
              </w:rPr>
              <w:t>Disposal:</w:t>
            </w:r>
            <w:r>
              <w:t xml:space="preserve"> as special waste</w:t>
            </w:r>
          </w:p>
        </w:tc>
      </w:tr>
      <w:tr w:rsidR="00C23C2C">
        <w:tc>
          <w:tcPr>
            <w:tcW w:w="2500" w:type="dxa"/>
            <w:tcBorders>
              <w:top w:val="single" w:sz="4" w:space="0" w:color="auto"/>
              <w:bottom w:val="double" w:sz="6" w:space="0" w:color="auto"/>
            </w:tcBorders>
          </w:tcPr>
          <w:p w:rsidR="00C23C2C" w:rsidRDefault="00C23C2C">
            <w:pPr>
              <w:pStyle w:val="Heading1"/>
            </w:pPr>
            <w:r>
              <w:t>Environmental</w:t>
            </w:r>
          </w:p>
          <w:p w:rsidR="00C23C2C" w:rsidRDefault="00C23C2C"/>
          <w:p w:rsidR="00C23C2C" w:rsidRDefault="009C5B2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551815" cy="534670"/>
                  <wp:effectExtent l="19050" t="0" r="635" b="0"/>
                  <wp:docPr id="7" name="Picture 7" descr="SY00155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Y00155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15" cy="534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3C2C" w:rsidRDefault="00C23C2C"/>
        </w:tc>
        <w:tc>
          <w:tcPr>
            <w:tcW w:w="7000" w:type="dxa"/>
            <w:gridSpan w:val="2"/>
            <w:tcBorders>
              <w:top w:val="single" w:sz="4" w:space="0" w:color="auto"/>
              <w:bottom w:val="double" w:sz="6" w:space="0" w:color="auto"/>
            </w:tcBorders>
          </w:tcPr>
          <w:p w:rsidR="00C23C2C" w:rsidRDefault="00C23C2C">
            <w:r>
              <w:t>Harmful to aquatic organisms, may cause long-term damage in aquatic environment</w:t>
            </w:r>
          </w:p>
          <w:p w:rsidR="00C23C2C" w:rsidRDefault="00C23C2C">
            <w:pPr>
              <w:rPr>
                <w:u w:val="single"/>
              </w:rPr>
            </w:pPr>
          </w:p>
          <w:p w:rsidR="00C23C2C" w:rsidRDefault="00C23C2C">
            <w:r>
              <w:rPr>
                <w:b/>
                <w:bCs/>
              </w:rPr>
              <w:t>Spillages:</w:t>
            </w:r>
            <w:r>
              <w:t xml:space="preserve"> remove all ignition sources, absorb with spill kit / sand and prevent entering drains or watercourses, evacuate personnel from area, transfer to suitable containers for disposal</w:t>
            </w:r>
          </w:p>
        </w:tc>
      </w:tr>
    </w:tbl>
    <w:p w:rsidR="00C23C2C" w:rsidRDefault="00C23C2C"/>
    <w:sectPr w:rsidR="00C23C2C" w:rsidSect="001D72AB">
      <w:headerReference w:type="default" r:id="rId13"/>
      <w:footerReference w:type="default" r:id="rId14"/>
      <w:pgSz w:w="11906" w:h="16838"/>
      <w:pgMar w:top="1134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EB1" w:rsidRDefault="00096EB1">
      <w:r>
        <w:separator/>
      </w:r>
    </w:p>
  </w:endnote>
  <w:endnote w:type="continuationSeparator" w:id="0">
    <w:p w:rsidR="00096EB1" w:rsidRDefault="00096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C2C" w:rsidRDefault="00F10F77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-63500</wp:posOffset>
              </wp:positionH>
              <wp:positionV relativeFrom="paragraph">
                <wp:posOffset>28575</wp:posOffset>
              </wp:positionV>
              <wp:extent cx="5842000" cy="0"/>
              <wp:effectExtent l="12700" t="9525" r="12700" b="9525"/>
              <wp:wrapNone/>
              <wp:docPr id="9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AB8209" id="Line 12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pt,2.25pt" to="45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uA6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"/>
          </w:pict>
        </mc:Fallback>
      </mc:AlternateContent>
    </w:r>
  </w:p>
  <w:p w:rsidR="00C23C2C" w:rsidRDefault="0071386E">
    <w:pPr>
      <w:pStyle w:val="Footer"/>
      <w:rPr>
        <w:rStyle w:val="PageNumber"/>
      </w:rPr>
    </w:pPr>
    <w:r>
      <w:t>AGCL</w:t>
    </w:r>
    <w:r w:rsidR="00C23C2C">
      <w:t xml:space="preserve">                              </w:t>
    </w:r>
    <w:r>
      <w:t xml:space="preserve">                     </w:t>
    </w:r>
    <w:r w:rsidR="00C23C2C">
      <w:t xml:space="preserve"> Page </w:t>
    </w:r>
    <w:r w:rsidR="001D72AB">
      <w:rPr>
        <w:rStyle w:val="PageNumber"/>
      </w:rPr>
      <w:fldChar w:fldCharType="begin"/>
    </w:r>
    <w:r w:rsidR="00C23C2C">
      <w:rPr>
        <w:rStyle w:val="PageNumber"/>
      </w:rPr>
      <w:instrText xml:space="preserve"> PAGE </w:instrText>
    </w:r>
    <w:r w:rsidR="001D72AB">
      <w:rPr>
        <w:rStyle w:val="PageNumber"/>
      </w:rPr>
      <w:fldChar w:fldCharType="separate"/>
    </w:r>
    <w:r w:rsidR="00F10F77">
      <w:rPr>
        <w:rStyle w:val="PageNumber"/>
        <w:noProof/>
      </w:rPr>
      <w:t>1</w:t>
    </w:r>
    <w:r w:rsidR="001D72AB">
      <w:rPr>
        <w:rStyle w:val="PageNumber"/>
      </w:rPr>
      <w:fldChar w:fldCharType="end"/>
    </w:r>
    <w:r w:rsidR="00C23C2C">
      <w:rPr>
        <w:rStyle w:val="PageNumber"/>
      </w:rPr>
      <w:t xml:space="preserve"> of </w:t>
    </w:r>
    <w:r w:rsidR="001D72AB">
      <w:rPr>
        <w:rStyle w:val="PageNumber"/>
      </w:rPr>
      <w:fldChar w:fldCharType="begin"/>
    </w:r>
    <w:r w:rsidR="00C23C2C">
      <w:rPr>
        <w:rStyle w:val="PageNumber"/>
      </w:rPr>
      <w:instrText xml:space="preserve"> NUMPAGES </w:instrText>
    </w:r>
    <w:r w:rsidR="001D72AB">
      <w:rPr>
        <w:rStyle w:val="PageNumber"/>
      </w:rPr>
      <w:fldChar w:fldCharType="separate"/>
    </w:r>
    <w:r w:rsidR="00F10F77">
      <w:rPr>
        <w:rStyle w:val="PageNumber"/>
        <w:noProof/>
      </w:rPr>
      <w:t>1</w:t>
    </w:r>
    <w:r w:rsidR="001D72AB">
      <w:rPr>
        <w:rStyle w:val="PageNumber"/>
      </w:rPr>
      <w:fldChar w:fldCharType="end"/>
    </w:r>
    <w:r w:rsidR="00C23C2C">
      <w:rPr>
        <w:rStyle w:val="PageNumber"/>
      </w:rPr>
      <w:t xml:space="preserve">          </w:t>
    </w:r>
    <w:r>
      <w:rPr>
        <w:rStyle w:val="PageNumber"/>
      </w:rPr>
      <w:t xml:space="preserve">                Version 1/ Feb 2010</w:t>
    </w:r>
    <w:r w:rsidR="00C23C2C">
      <w:rPr>
        <w:rStyle w:val="PageNumber"/>
      </w:rPr>
      <w:t>/COSHH/005</w:t>
    </w:r>
  </w:p>
  <w:p w:rsidR="00C23C2C" w:rsidRDefault="00C23C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EB1" w:rsidRDefault="00096EB1">
      <w:r>
        <w:separator/>
      </w:r>
    </w:p>
  </w:footnote>
  <w:footnote w:type="continuationSeparator" w:id="0">
    <w:p w:rsidR="00096EB1" w:rsidRDefault="00096E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C2C" w:rsidRDefault="00F10F77">
    <w:pPr>
      <w:pStyle w:val="Header"/>
      <w:shd w:val="clear" w:color="auto" w:fill="E6E6E6"/>
      <w:rPr>
        <w:sz w:val="16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1460500</wp:posOffset>
              </wp:positionH>
              <wp:positionV relativeFrom="paragraph">
                <wp:posOffset>2540</wp:posOffset>
              </wp:positionV>
              <wp:extent cx="2603500" cy="342900"/>
              <wp:effectExtent l="12700" t="12065" r="12700" b="6985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03500" cy="342900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23C2C" w:rsidRDefault="00C23C2C">
                          <w:pPr>
                            <w:pStyle w:val="Heading5"/>
                            <w:rPr>
                              <w:bCs/>
                              <w:sz w:val="24"/>
                            </w:rPr>
                          </w:pPr>
                          <w:r>
                            <w:rPr>
                              <w:bCs/>
                              <w:sz w:val="24"/>
                            </w:rPr>
                            <w:t>COSHH ASSESSMENT SHEET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5pt;margin-top:.2pt;width:205pt;height:2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" fillcolor="#ddd">
              <v:textbox>
                <w:txbxContent>
                  <w:p w:rsidR="00C23C2C" w:rsidRDefault="00C23C2C">
                    <w:pPr>
                      <w:pStyle w:val="Heading5"/>
                      <w:rPr>
                        <w:bCs/>
                        <w:sz w:val="24"/>
                      </w:rPr>
                    </w:pPr>
                    <w:r>
                      <w:rPr>
                        <w:bCs/>
                        <w:sz w:val="24"/>
                      </w:rPr>
                      <w:t>COSHH ASSESSMENT SHEET</w:t>
                    </w:r>
                  </w:p>
                </w:txbxContent>
              </v:textbox>
            </v:shape>
          </w:pict>
        </mc:Fallback>
      </mc:AlternateContent>
    </w:r>
  </w:p>
  <w:p w:rsidR="00C23C2C" w:rsidRDefault="009C5B24">
    <w:pPr>
      <w:pStyle w:val="Header"/>
      <w:rPr>
        <w:sz w:val="16"/>
      </w:rPr>
    </w:pPr>
    <w:r>
      <w:rPr>
        <w:sz w:val="16"/>
      </w:rPr>
      <w:t xml:space="preserve">                                                                                                                                                     </w:t>
    </w:r>
    <w:r>
      <w:rPr>
        <w:noProof/>
        <w:lang w:eastAsia="en-GB"/>
      </w:rPr>
      <w:drawing>
        <wp:inline distT="0" distB="0" distL="0" distR="0">
          <wp:extent cx="1345565" cy="284480"/>
          <wp:effectExtent l="19050" t="0" r="6985" b="0"/>
          <wp:docPr id="8" name="Picture 8" descr="Copy of Griffith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opy of Griffiths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65" cy="284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23C2C" w:rsidRDefault="00C23C2C">
    <w:pPr>
      <w:pStyle w:val="Header"/>
      <w:rPr>
        <w:sz w:val="16"/>
      </w:rPr>
    </w:pPr>
  </w:p>
  <w:p w:rsidR="00C23C2C" w:rsidRDefault="00F10F77">
    <w:pPr>
      <w:pStyle w:val="Header"/>
      <w:rPr>
        <w:sz w:val="16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2540000</wp:posOffset>
              </wp:positionH>
              <wp:positionV relativeFrom="paragraph">
                <wp:posOffset>109220</wp:posOffset>
              </wp:positionV>
              <wp:extent cx="3048000" cy="228600"/>
              <wp:effectExtent l="6350" t="13970" r="12700" b="5080"/>
              <wp:wrapNone/>
              <wp:docPr id="1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228600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23C2C" w:rsidRDefault="0071386E">
                          <w:r>
                            <w:t>Site:</w:t>
                          </w:r>
                          <w:r w:rsidR="0002761D">
                            <w:t xml:space="preserve"> </w:t>
                          </w:r>
                          <w:r w:rsidR="00D2160B">
                            <w:t>SA1 Phase 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200pt;margin-top:8.6pt;width:240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" fillcolor="#ddd">
              <v:textbox>
                <w:txbxContent>
                  <w:p w:rsidR="00C23C2C" w:rsidRDefault="0071386E">
                    <w:r>
                      <w:t>Site:</w:t>
                    </w:r>
                    <w:r w:rsidR="0002761D">
                      <w:t xml:space="preserve"> </w:t>
                    </w:r>
                    <w:r w:rsidR="00D2160B">
                      <w:t>SA1 Phase 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-62865</wp:posOffset>
              </wp:positionH>
              <wp:positionV relativeFrom="paragraph">
                <wp:posOffset>109220</wp:posOffset>
              </wp:positionV>
              <wp:extent cx="2412365" cy="228600"/>
              <wp:effectExtent l="13335" t="13970" r="12700" b="5080"/>
              <wp:wrapNone/>
              <wp:docPr id="1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2365" cy="228600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23C2C" w:rsidRDefault="00C23C2C">
                          <w:r>
                            <w:t>Product: Diesel fuel – DERV / GAS OIL</w:t>
                          </w:r>
                        </w:p>
                        <w:p w:rsidR="00C23C2C" w:rsidRDefault="00C23C2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4.95pt;margin-top:8.6pt;width:189.9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" fillcolor="#ddd">
              <v:textbox>
                <w:txbxContent>
                  <w:p w:rsidR="00C23C2C" w:rsidRDefault="00C23C2C">
                    <w:r>
                      <w:t>Product: Diesel fuel – DERV / GAS OIL</w:t>
                    </w:r>
                  </w:p>
                  <w:p w:rsidR="00C23C2C" w:rsidRDefault="00C23C2C"/>
                </w:txbxContent>
              </v:textbox>
            </v:shape>
          </w:pict>
        </mc:Fallback>
      </mc:AlternateContent>
    </w:r>
  </w:p>
  <w:p w:rsidR="00C23C2C" w:rsidRDefault="00C23C2C">
    <w:pPr>
      <w:pStyle w:val="Header"/>
      <w:rPr>
        <w:sz w:val="16"/>
      </w:rPr>
    </w:pPr>
  </w:p>
  <w:p w:rsidR="00C23C2C" w:rsidRDefault="00C23C2C">
    <w:pPr>
      <w:pStyle w:val="Header"/>
      <w:rPr>
        <w:sz w:val="16"/>
      </w:rPr>
    </w:pPr>
  </w:p>
  <w:p w:rsidR="00C23C2C" w:rsidRDefault="00C23C2C">
    <w:pPr>
      <w:pStyle w:val="Header"/>
      <w:rPr>
        <w:sz w:val="16"/>
      </w:rPr>
    </w:pPr>
  </w:p>
  <w:p w:rsidR="00C23C2C" w:rsidRDefault="00F10F77">
    <w:pPr>
      <w:pStyle w:val="Header"/>
      <w:rPr>
        <w:sz w:val="16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2540000</wp:posOffset>
              </wp:positionH>
              <wp:positionV relativeFrom="paragraph">
                <wp:posOffset>23495</wp:posOffset>
              </wp:positionV>
              <wp:extent cx="3048000" cy="228600"/>
              <wp:effectExtent l="6350" t="13970" r="12700" b="5080"/>
              <wp:wrapNone/>
              <wp:docPr id="12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228600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23C2C" w:rsidRDefault="0002761D">
                          <w:r>
                            <w:t>Assessment by: Nathan Hunt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29" type="#_x0000_t202" style="position:absolute;margin-left:200pt;margin-top:1.85pt;width:240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" fillcolor="#ddd">
              <v:textbox>
                <w:txbxContent>
                  <w:p w:rsidR="00C23C2C" w:rsidRDefault="0002761D">
                    <w:r>
                      <w:t>Assessment by: Nathan Hunt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1270000</wp:posOffset>
              </wp:positionH>
              <wp:positionV relativeFrom="paragraph">
                <wp:posOffset>23495</wp:posOffset>
              </wp:positionV>
              <wp:extent cx="1079500" cy="228600"/>
              <wp:effectExtent l="12700" t="13970" r="12700" b="508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9500" cy="228600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23C2C" w:rsidRDefault="0000557C">
                          <w:r>
                            <w:t>Date</w:t>
                          </w:r>
                          <w:r w:rsidR="00F10F77">
                            <w:t>: 24.08</w:t>
                          </w:r>
                          <w:r w:rsidR="00EE201B">
                            <w:t>.18</w:t>
                          </w:r>
                          <w:r>
                            <w:t xml:space="preserve"> </w:t>
                          </w:r>
                          <w:r w:rsidR="00EE201B">
                            <w:t>22626.01.187</w:t>
                          </w:r>
                          <w:r w:rsidR="00C23C2C">
                            <w:t xml:space="preserve"> 2m225/05/07002.03.07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0" type="#_x0000_t202" style="position:absolute;margin-left:100pt;margin-top:1.85pt;width:85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" fillcolor="#ddd">
              <v:textbox>
                <w:txbxContent>
                  <w:p w:rsidR="00C23C2C" w:rsidRDefault="0000557C">
                    <w:r>
                      <w:t>Date</w:t>
                    </w:r>
                    <w:r w:rsidR="00F10F77">
                      <w:t>: 24.08</w:t>
                    </w:r>
                    <w:r w:rsidR="00EE201B">
                      <w:t>.18</w:t>
                    </w:r>
                    <w:r>
                      <w:t xml:space="preserve"> </w:t>
                    </w:r>
                    <w:r w:rsidR="00EE201B">
                      <w:t>22626.01.187</w:t>
                    </w:r>
                    <w:r w:rsidR="00C23C2C">
                      <w:t xml:space="preserve"> 2m225/05/07002.03.07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-63500</wp:posOffset>
              </wp:positionH>
              <wp:positionV relativeFrom="paragraph">
                <wp:posOffset>23495</wp:posOffset>
              </wp:positionV>
              <wp:extent cx="1143000" cy="228600"/>
              <wp:effectExtent l="12700" t="13970" r="6350" b="508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228600"/>
                      </a:xfrm>
                      <a:prstGeom prst="rect">
                        <a:avLst/>
                      </a:prstGeom>
                      <a:solidFill>
                        <a:srgbClr val="DDDDDD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23C2C" w:rsidRDefault="00C23C2C">
                          <w:r>
                            <w:t>REF No: 005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1" type="#_x0000_t202" style="position:absolute;margin-left:-5pt;margin-top:1.85pt;width:90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" fillcolor="#ddd">
              <v:textbox>
                <w:txbxContent>
                  <w:p w:rsidR="00C23C2C" w:rsidRDefault="00C23C2C">
                    <w:r>
                      <w:t>REF No: 005</w:t>
                    </w:r>
                  </w:p>
                </w:txbxContent>
              </v:textbox>
            </v:shape>
          </w:pict>
        </mc:Fallback>
      </mc:AlternateContent>
    </w:r>
  </w:p>
  <w:p w:rsidR="00C23C2C" w:rsidRDefault="00C23C2C">
    <w:pPr>
      <w:pStyle w:val="Header"/>
      <w:rPr>
        <w:sz w:val="16"/>
      </w:rPr>
    </w:pPr>
  </w:p>
  <w:p w:rsidR="00C23C2C" w:rsidRDefault="00C23C2C">
    <w:pPr>
      <w:pStyle w:val="Header"/>
    </w:pPr>
  </w:p>
  <w:p w:rsidR="00C23C2C" w:rsidRDefault="00C23C2C">
    <w:pPr>
      <w:pStyle w:val="Header"/>
    </w:pPr>
  </w:p>
  <w:p w:rsidR="00C23C2C" w:rsidRDefault="00C23C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86E"/>
    <w:rsid w:val="0000557C"/>
    <w:rsid w:val="0001036D"/>
    <w:rsid w:val="0002761D"/>
    <w:rsid w:val="00095325"/>
    <w:rsid w:val="00096EB1"/>
    <w:rsid w:val="00177D72"/>
    <w:rsid w:val="001B3480"/>
    <w:rsid w:val="001D72AB"/>
    <w:rsid w:val="003E454A"/>
    <w:rsid w:val="00522EE2"/>
    <w:rsid w:val="00530003"/>
    <w:rsid w:val="00663690"/>
    <w:rsid w:val="0071386E"/>
    <w:rsid w:val="00765EA9"/>
    <w:rsid w:val="0087606B"/>
    <w:rsid w:val="009C5B24"/>
    <w:rsid w:val="00C23C2C"/>
    <w:rsid w:val="00C80B7A"/>
    <w:rsid w:val="00D2160B"/>
    <w:rsid w:val="00E34BE7"/>
    <w:rsid w:val="00EE201B"/>
    <w:rsid w:val="00F03C60"/>
    <w:rsid w:val="00F1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"/>
    </o:shapedefaults>
    <o:shapelayout v:ext="edit">
      <o:idmap v:ext="edit" data="1"/>
    </o:shapelayout>
  </w:shapeDefaults>
  <w:decimalSymbol w:val="."/>
  <w:listSeparator w:val=","/>
  <w15:docId w15:val="{B67EA818-F271-43FD-8574-72BE0C7C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2AB"/>
    <w:rPr>
      <w:rFonts w:ascii="Arial" w:hAnsi="Arial"/>
      <w:szCs w:val="24"/>
      <w:lang w:val="en-GB"/>
    </w:rPr>
  </w:style>
  <w:style w:type="paragraph" w:styleId="Heading1">
    <w:name w:val="heading 1"/>
    <w:basedOn w:val="Normal"/>
    <w:next w:val="Normal"/>
    <w:qFormat/>
    <w:rsid w:val="001D72AB"/>
    <w:pPr>
      <w:keepNext/>
      <w:outlineLvl w:val="0"/>
    </w:pPr>
    <w:rPr>
      <w:b/>
      <w:bCs/>
    </w:rPr>
  </w:style>
  <w:style w:type="paragraph" w:styleId="Heading5">
    <w:name w:val="heading 5"/>
    <w:basedOn w:val="Normal"/>
    <w:next w:val="Normal"/>
    <w:qFormat/>
    <w:rsid w:val="001D72AB"/>
    <w:pPr>
      <w:keepNext/>
      <w:jc w:val="center"/>
      <w:outlineLvl w:val="4"/>
    </w:pPr>
    <w:rPr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1D72A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1D72AB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sid w:val="001D72AB"/>
    <w:rPr>
      <w:b/>
      <w:bCs/>
    </w:rPr>
  </w:style>
  <w:style w:type="character" w:styleId="PageNumber">
    <w:name w:val="page number"/>
    <w:basedOn w:val="DefaultParagraphFont"/>
    <w:semiHidden/>
    <w:rsid w:val="001D72AB"/>
  </w:style>
  <w:style w:type="paragraph" w:styleId="BalloonText">
    <w:name w:val="Balloon Text"/>
    <w:basedOn w:val="Normal"/>
    <w:link w:val="BalloonTextChar"/>
    <w:uiPriority w:val="99"/>
    <w:semiHidden/>
    <w:unhideWhenUsed/>
    <w:rsid w:val="008760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06B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21" Type="http://schemas.openxmlformats.org/officeDocument/2006/relationships/customXml" Target="../customXml/item5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20" Type="http://schemas.openxmlformats.org/officeDocument/2006/relationships/customXml" Target="../customXml/item4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19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Seventh finishing Contract SA1</Site_x0020_Name>
    <Internal_x002f_External xmlns="859f7ad6-93f6-4205-b62b-a17f28acbbac">Incoming document</Internal_x002f_External>
    <IconOverlay xmlns="http://schemas.microsoft.com/sharepoint/v4" xsi:nil="true"/>
    <Document_x0020_Type xmlns="859f7ad6-93f6-4205-b62b-a17f28acbbac">Plan/Drawing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Llys y Ddraig, Penllergaer Business Park, Swansea, SA4 9NX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2018-09-23T23:00:00+00:00</Document_x0020_Date>
    <Facility_x0020_Address xmlns="859f7ad6-93f6-4205-b62b-a17f28acbbac">Swansea</Facility_x0020_Address>
    <Environment_x0020_Sub_x0020_Folder xmlns="859f7ad6-93f6-4205-b62b-a17f28acbbac">Licences applications</Environment_x0020_Sub_x0020_Folder>
    <Customer_x0020_Name xmlns="859f7ad6-93f6-4205-b62b-a17f28acbbac">Department of Economy and Infrastructure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6B13D7F-FE54-4787-9488-4ACD379710A7}"/>
</file>

<file path=customXml/itemProps2.xml><?xml version="1.0" encoding="utf-8"?>
<ds:datastoreItem xmlns:ds="http://schemas.openxmlformats.org/officeDocument/2006/customXml" ds:itemID="{BA1268E7-7A1E-407A-BC29-1D7585E77547}"/>
</file>

<file path=customXml/itemProps3.xml><?xml version="1.0" encoding="utf-8"?>
<ds:datastoreItem xmlns:ds="http://schemas.openxmlformats.org/officeDocument/2006/customXml" ds:itemID="{5526333F-89EF-4E2D-9B1B-66C3A491ED3D}"/>
</file>

<file path=customXml/itemProps4.xml><?xml version="1.0" encoding="utf-8"?>
<ds:datastoreItem xmlns:ds="http://schemas.openxmlformats.org/officeDocument/2006/customXml" ds:itemID="{A87F585C-CF68-4D01-B085-62D3BC63B383}"/>
</file>

<file path=customXml/itemProps5.xml><?xml version="1.0" encoding="utf-8"?>
<ds:datastoreItem xmlns:ds="http://schemas.openxmlformats.org/officeDocument/2006/customXml" ds:itemID="{928C6FD9-B139-4F49-80F1-BC002ABADC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Exposure Limits</vt:lpstr>
    </vt:vector>
  </TitlesOfParts>
  <Company>Subterra</Company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Exposure Limits</dc:title>
  <dc:subject/>
  <dc:creator>Lynsey Page</dc:creator>
  <cp:keywords/>
  <dc:description/>
  <cp:lastModifiedBy>Nathan Hunt</cp:lastModifiedBy>
  <cp:revision>2</cp:revision>
  <cp:lastPrinted>2018-01-26T09:11:00Z</cp:lastPrinted>
  <dcterms:created xsi:type="dcterms:W3CDTF">2018-08-24T12:20:00Z</dcterms:created>
  <dcterms:modified xsi:type="dcterms:W3CDTF">2018-08-24T12:20:00Z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ItemGuid">
    <vt:lpwstr>f23d0fad-518a-4884-a171-f5cde54b6e48</vt:lpwstr>
  </property>
  <property fmtid="{D5CDD505-2E9C-101B-9397-08002B2CF9AE}" pid="4" name="_dlc_DocId">
    <vt:lpwstr>REGU-1508415246-2574</vt:lpwstr>
  </property>
  <property fmtid="{D5CDD505-2E9C-101B-9397-08002B2CF9AE}" pid="5" name="_dlc_DocIdUrl">
    <vt:lpwstr>https://cyfoethnaturiolcymru.sharepoint.com/teams/Regulatory/Permitting/ml/_layouts/15/DocIdRedir.aspx?ID=REGU-1508415246-2574, REGU-1508415246-2574</vt:lpwstr>
  </property>
</Properties>
</file>