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commentsExtended.xml" ContentType="application/vnd.openxmlformats-officedocument.wordprocessingml.commentsExtended+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BADC1" w14:textId="77777777" w:rsidR="00A8109E" w:rsidRDefault="00A8109E" w:rsidP="00414841">
      <w:pPr>
        <w:jc w:val="center"/>
        <w:rPr>
          <w:rFonts w:ascii="Arial" w:hAnsi="Arial" w:cs="Arial"/>
          <w:noProof/>
          <w:sz w:val="20"/>
          <w:lang w:eastAsia="en-GB"/>
        </w:rPr>
      </w:pPr>
    </w:p>
    <w:p w14:paraId="34256988" w14:textId="77777777" w:rsidR="00D07567" w:rsidRDefault="00D07567" w:rsidP="00414841">
      <w:pPr>
        <w:jc w:val="center"/>
        <w:rPr>
          <w:rFonts w:ascii="Arial" w:hAnsi="Arial" w:cs="Arial"/>
          <w:noProof/>
          <w:sz w:val="20"/>
          <w:lang w:eastAsia="en-GB"/>
        </w:rPr>
      </w:pPr>
    </w:p>
    <w:p w14:paraId="1A4E4486" w14:textId="77777777" w:rsidR="00D07567" w:rsidRDefault="00D07567" w:rsidP="00414841">
      <w:pPr>
        <w:jc w:val="center"/>
        <w:rPr>
          <w:rFonts w:ascii="Arial" w:hAnsi="Arial" w:cs="Arial"/>
          <w:noProof/>
          <w:sz w:val="20"/>
          <w:lang w:eastAsia="en-GB"/>
        </w:rPr>
      </w:pPr>
    </w:p>
    <w:p w14:paraId="47A79269" w14:textId="77777777" w:rsidR="00414841" w:rsidRPr="00551058" w:rsidRDefault="00414841" w:rsidP="00414841">
      <w:pPr>
        <w:jc w:val="center"/>
      </w:pPr>
      <w:r w:rsidRPr="00551058">
        <w:rPr>
          <w:rFonts w:ascii="Arial" w:hAnsi="Arial" w:cs="Arial"/>
          <w:noProof/>
          <w:sz w:val="20"/>
          <w:lang w:eastAsia="en-GB"/>
        </w:rPr>
        <w:drawing>
          <wp:inline distT="0" distB="0" distL="0" distR="0" wp14:anchorId="67F380E4" wp14:editId="03A4A351">
            <wp:extent cx="3781425" cy="2409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81425" cy="2409825"/>
                    </a:xfrm>
                    <a:prstGeom prst="rect">
                      <a:avLst/>
                    </a:prstGeom>
                    <a:noFill/>
                    <a:ln>
                      <a:noFill/>
                    </a:ln>
                  </pic:spPr>
                </pic:pic>
              </a:graphicData>
            </a:graphic>
          </wp:inline>
        </w:drawing>
      </w:r>
    </w:p>
    <w:p w14:paraId="02A895CC" w14:textId="77777777" w:rsidR="00414841" w:rsidRPr="00551058" w:rsidRDefault="00414841" w:rsidP="00D07567">
      <w:pPr>
        <w:jc w:val="center"/>
      </w:pPr>
    </w:p>
    <w:p w14:paraId="188769CF" w14:textId="77777777" w:rsidR="00414841" w:rsidRPr="00551058" w:rsidRDefault="00414841" w:rsidP="00414841">
      <w:pPr>
        <w:jc w:val="center"/>
      </w:pPr>
    </w:p>
    <w:p w14:paraId="1DF2F49C" w14:textId="77777777" w:rsidR="00423C9C" w:rsidRPr="00551058" w:rsidRDefault="00423C9C" w:rsidP="00414841">
      <w:pPr>
        <w:jc w:val="cente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414841" w:rsidRPr="00551058" w14:paraId="3FDD5D8C" w14:textId="77777777" w:rsidTr="00423C9C">
        <w:trPr>
          <w:jc w:val="center"/>
        </w:trPr>
        <w:tc>
          <w:tcPr>
            <w:tcW w:w="9242" w:type="dxa"/>
            <w:vAlign w:val="center"/>
          </w:tcPr>
          <w:p w14:paraId="0C9EB6F4" w14:textId="06E327D3" w:rsidR="00414841" w:rsidRPr="00551058" w:rsidRDefault="006B77A4" w:rsidP="00414841">
            <w:pPr>
              <w:jc w:val="center"/>
              <w:rPr>
                <w:b/>
                <w:sz w:val="56"/>
              </w:rPr>
            </w:pPr>
            <w:r w:rsidRPr="00551058">
              <w:rPr>
                <w:b/>
                <w:sz w:val="56"/>
              </w:rPr>
              <w:t>HyNet Carbon Capture and Storage</w:t>
            </w:r>
          </w:p>
        </w:tc>
      </w:tr>
      <w:tr w:rsidR="00414841" w:rsidRPr="00551058" w14:paraId="6FB18118" w14:textId="77777777" w:rsidTr="00423C9C">
        <w:trPr>
          <w:jc w:val="center"/>
        </w:trPr>
        <w:tc>
          <w:tcPr>
            <w:tcW w:w="9242" w:type="dxa"/>
            <w:vAlign w:val="center"/>
          </w:tcPr>
          <w:p w14:paraId="2A5A9276" w14:textId="2370C326" w:rsidR="00414841" w:rsidRPr="00551058" w:rsidRDefault="006B77A4" w:rsidP="00414841">
            <w:pPr>
              <w:jc w:val="center"/>
              <w:rPr>
                <w:b/>
                <w:sz w:val="56"/>
              </w:rPr>
            </w:pPr>
            <w:r w:rsidRPr="00551058">
              <w:rPr>
                <w:b/>
                <w:sz w:val="56"/>
              </w:rPr>
              <w:t xml:space="preserve">Welsh Channel </w:t>
            </w:r>
            <w:r w:rsidR="00B079F8">
              <w:rPr>
                <w:b/>
                <w:sz w:val="56"/>
              </w:rPr>
              <w:t>and Liverpool Bay TSS</w:t>
            </w:r>
          </w:p>
        </w:tc>
      </w:tr>
      <w:tr w:rsidR="00414841" w:rsidRPr="00551058" w14:paraId="64F829C1" w14:textId="77777777" w:rsidTr="00423C9C">
        <w:trPr>
          <w:jc w:val="center"/>
        </w:trPr>
        <w:tc>
          <w:tcPr>
            <w:tcW w:w="9242" w:type="dxa"/>
            <w:vAlign w:val="center"/>
          </w:tcPr>
          <w:p w14:paraId="07B279D2" w14:textId="1C099A27" w:rsidR="00414841" w:rsidRPr="00551058" w:rsidRDefault="001C66A8" w:rsidP="00414841">
            <w:pPr>
              <w:jc w:val="center"/>
              <w:rPr>
                <w:b/>
                <w:sz w:val="56"/>
              </w:rPr>
            </w:pPr>
            <w:r>
              <w:rPr>
                <w:b/>
                <w:sz w:val="56"/>
              </w:rPr>
              <w:t>Traffic</w:t>
            </w:r>
            <w:r w:rsidR="00B079F8">
              <w:rPr>
                <w:b/>
                <w:sz w:val="56"/>
              </w:rPr>
              <w:t xml:space="preserve"> Review</w:t>
            </w:r>
          </w:p>
        </w:tc>
      </w:tr>
    </w:tbl>
    <w:p w14:paraId="1F66C15C" w14:textId="77777777" w:rsidR="00414841" w:rsidRPr="00551058" w:rsidRDefault="00414841" w:rsidP="00D07567">
      <w:pPr>
        <w:jc w:val="center"/>
      </w:pPr>
    </w:p>
    <w:p w14:paraId="44149DA5" w14:textId="77777777" w:rsidR="00414841" w:rsidRPr="00551058" w:rsidRDefault="00414841" w:rsidP="00414841">
      <w:pPr>
        <w:jc w:val="center"/>
      </w:pPr>
    </w:p>
    <w:p w14:paraId="65F097C2" w14:textId="77777777" w:rsidR="000C0C03" w:rsidRPr="00551058" w:rsidRDefault="000C0C03" w:rsidP="00414841">
      <w:pPr>
        <w:jc w:val="cente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3402"/>
      </w:tblGrid>
      <w:tr w:rsidR="00414841" w:rsidRPr="00551058" w14:paraId="0A3B8DED" w14:textId="77777777" w:rsidTr="00456AA0">
        <w:trPr>
          <w:jc w:val="center"/>
        </w:trPr>
        <w:tc>
          <w:tcPr>
            <w:tcW w:w="3402" w:type="dxa"/>
            <w:vAlign w:val="center"/>
          </w:tcPr>
          <w:p w14:paraId="59FADEFE" w14:textId="77777777" w:rsidR="00414841" w:rsidRPr="00551058" w:rsidRDefault="00414841" w:rsidP="00423C9C">
            <w:pPr>
              <w:jc w:val="right"/>
              <w:rPr>
                <w:b/>
              </w:rPr>
            </w:pPr>
            <w:r w:rsidRPr="00551058">
              <w:rPr>
                <w:b/>
              </w:rPr>
              <w:t>Prepared by</w:t>
            </w:r>
          </w:p>
        </w:tc>
        <w:tc>
          <w:tcPr>
            <w:tcW w:w="3402" w:type="dxa"/>
            <w:vAlign w:val="center"/>
          </w:tcPr>
          <w:p w14:paraId="0849973C" w14:textId="77777777" w:rsidR="00414841" w:rsidRPr="00551058" w:rsidRDefault="00414841" w:rsidP="00414841">
            <w:r w:rsidRPr="00551058">
              <w:t>Anatec Limited</w:t>
            </w:r>
          </w:p>
        </w:tc>
      </w:tr>
      <w:tr w:rsidR="00414841" w:rsidRPr="00551058" w14:paraId="3D2E8D6E" w14:textId="77777777" w:rsidTr="00456AA0">
        <w:trPr>
          <w:jc w:val="center"/>
        </w:trPr>
        <w:tc>
          <w:tcPr>
            <w:tcW w:w="3402" w:type="dxa"/>
            <w:vAlign w:val="center"/>
          </w:tcPr>
          <w:p w14:paraId="29C06842" w14:textId="77777777" w:rsidR="00414841" w:rsidRPr="00551058" w:rsidRDefault="00414841" w:rsidP="00423C9C">
            <w:pPr>
              <w:jc w:val="right"/>
              <w:rPr>
                <w:b/>
              </w:rPr>
            </w:pPr>
            <w:r w:rsidRPr="00551058">
              <w:rPr>
                <w:b/>
              </w:rPr>
              <w:t>Presented to</w:t>
            </w:r>
          </w:p>
        </w:tc>
        <w:tc>
          <w:tcPr>
            <w:tcW w:w="3402" w:type="dxa"/>
            <w:vAlign w:val="center"/>
          </w:tcPr>
          <w:p w14:paraId="556C776E" w14:textId="3671FEF6" w:rsidR="00414841" w:rsidRPr="00551058" w:rsidRDefault="00082B69" w:rsidP="00B92CA3">
            <w:r>
              <w:t>Tetra Tech</w:t>
            </w:r>
          </w:p>
        </w:tc>
      </w:tr>
      <w:tr w:rsidR="00414841" w:rsidRPr="00551058" w14:paraId="49C31E7B" w14:textId="77777777" w:rsidTr="00456AA0">
        <w:trPr>
          <w:jc w:val="center"/>
        </w:trPr>
        <w:tc>
          <w:tcPr>
            <w:tcW w:w="3402" w:type="dxa"/>
            <w:vAlign w:val="center"/>
          </w:tcPr>
          <w:p w14:paraId="3DF47FF7" w14:textId="77777777" w:rsidR="00414841" w:rsidRPr="00551058" w:rsidRDefault="00414841" w:rsidP="00423C9C">
            <w:pPr>
              <w:jc w:val="right"/>
              <w:rPr>
                <w:b/>
              </w:rPr>
            </w:pPr>
            <w:r w:rsidRPr="00551058">
              <w:rPr>
                <w:b/>
              </w:rPr>
              <w:t>Date</w:t>
            </w:r>
          </w:p>
        </w:tc>
        <w:tc>
          <w:tcPr>
            <w:tcW w:w="3402" w:type="dxa"/>
            <w:vAlign w:val="center"/>
          </w:tcPr>
          <w:p w14:paraId="67DDF9C0" w14:textId="54AB8CEB" w:rsidR="00414841" w:rsidRPr="00551058" w:rsidRDefault="0042410E" w:rsidP="00504639">
            <w:r>
              <w:t>22 May 2026</w:t>
            </w:r>
          </w:p>
        </w:tc>
      </w:tr>
      <w:tr w:rsidR="00414841" w:rsidRPr="00551058" w14:paraId="6EE0F550" w14:textId="77777777" w:rsidTr="00456AA0">
        <w:trPr>
          <w:jc w:val="center"/>
        </w:trPr>
        <w:tc>
          <w:tcPr>
            <w:tcW w:w="3402" w:type="dxa"/>
            <w:vAlign w:val="center"/>
          </w:tcPr>
          <w:p w14:paraId="5D752574" w14:textId="77777777" w:rsidR="00414841" w:rsidRPr="00551058" w:rsidRDefault="0073612B" w:rsidP="00423C9C">
            <w:pPr>
              <w:jc w:val="right"/>
              <w:rPr>
                <w:b/>
              </w:rPr>
            </w:pPr>
            <w:r w:rsidRPr="00551058">
              <w:rPr>
                <w:b/>
              </w:rPr>
              <w:t>Version</w:t>
            </w:r>
          </w:p>
        </w:tc>
        <w:tc>
          <w:tcPr>
            <w:tcW w:w="3402" w:type="dxa"/>
            <w:vAlign w:val="center"/>
          </w:tcPr>
          <w:p w14:paraId="722ACBFF" w14:textId="203F91BA" w:rsidR="00414841" w:rsidRPr="00551058" w:rsidRDefault="00EB196E" w:rsidP="00414841">
            <w:r w:rsidRPr="00551058">
              <w:t>A</w:t>
            </w:r>
          </w:p>
        </w:tc>
      </w:tr>
      <w:tr w:rsidR="00414841" w:rsidRPr="00551058" w14:paraId="5DC3AF40" w14:textId="77777777" w:rsidTr="00456AA0">
        <w:trPr>
          <w:jc w:val="center"/>
        </w:trPr>
        <w:tc>
          <w:tcPr>
            <w:tcW w:w="3402" w:type="dxa"/>
            <w:vAlign w:val="center"/>
          </w:tcPr>
          <w:p w14:paraId="472FEBAF" w14:textId="77777777" w:rsidR="00414841" w:rsidRPr="00551058" w:rsidRDefault="00414841" w:rsidP="00423C9C">
            <w:pPr>
              <w:jc w:val="right"/>
              <w:rPr>
                <w:b/>
              </w:rPr>
            </w:pPr>
            <w:r w:rsidRPr="00551058">
              <w:rPr>
                <w:b/>
              </w:rPr>
              <w:t>Document Reference</w:t>
            </w:r>
          </w:p>
        </w:tc>
        <w:tc>
          <w:tcPr>
            <w:tcW w:w="3402" w:type="dxa"/>
            <w:vAlign w:val="center"/>
          </w:tcPr>
          <w:p w14:paraId="14716887" w14:textId="7B24D92B" w:rsidR="00414841" w:rsidRPr="00551058" w:rsidRDefault="00EB196E" w:rsidP="00414841">
            <w:r w:rsidRPr="00551058">
              <w:t>S-A5611-001-A</w:t>
            </w:r>
          </w:p>
        </w:tc>
      </w:tr>
    </w:tbl>
    <w:p w14:paraId="37270A89" w14:textId="77777777" w:rsidR="00C55A8F" w:rsidRPr="00551058" w:rsidRDefault="00C55A8F" w:rsidP="00414841">
      <w:pPr>
        <w:sectPr w:rsidR="00C55A8F" w:rsidRPr="00551058" w:rsidSect="00333D36">
          <w:headerReference w:type="default" r:id="rId12"/>
          <w:footerReference w:type="default" r:id="rId13"/>
          <w:pgSz w:w="11906" w:h="16838" w:code="9"/>
          <w:pgMar w:top="720" w:right="1440" w:bottom="720" w:left="1440" w:header="709" w:footer="709" w:gutter="0"/>
          <w:cols w:space="708"/>
          <w:docGrid w:linePitch="360"/>
        </w:sectPr>
      </w:pPr>
    </w:p>
    <w:p w14:paraId="6FCBECE7" w14:textId="3FCBF1E2" w:rsidR="0080318C" w:rsidRPr="00551058" w:rsidRDefault="00C55A8F" w:rsidP="00C55A8F">
      <w:r w:rsidRPr="00551058">
        <w:lastRenderedPageBreak/>
        <w:t xml:space="preserve">This study has been carried out by Anatec </w:t>
      </w:r>
      <w:r w:rsidR="00797213">
        <w:t>Limited</w:t>
      </w:r>
      <w:r w:rsidR="00797213" w:rsidRPr="00551058">
        <w:t xml:space="preserve"> </w:t>
      </w:r>
      <w:r w:rsidRPr="00551058">
        <w:t xml:space="preserve">on behalf of </w:t>
      </w:r>
      <w:r w:rsidR="005A7BE0">
        <w:t>Tetra Tech</w:t>
      </w:r>
      <w:r w:rsidRPr="00551058">
        <w:t>. The assessment represents Anatec’s best judgment based on the information available at the time of preparation. Any use which a third party makes of this report is the responsibility of such third party. Anatec accepts no responsibility for damages suffered as a result of decisions made or actions taken in reliance on information contained in this report. The content of this document should not be edited without approval from Anatec. All figures within this report are copyright Anatec unless otherwise stated. No reproduction of these images is allowed without written consent from Anatec.</w:t>
      </w:r>
    </w:p>
    <w:tbl>
      <w:tblPr>
        <w:tblStyle w:val="AnatecTable"/>
        <w:tblW w:w="0" w:type="auto"/>
        <w:tblLook w:val="04A0" w:firstRow="1" w:lastRow="0" w:firstColumn="1" w:lastColumn="0" w:noHBand="0" w:noVBand="1"/>
      </w:tblPr>
      <w:tblGrid>
        <w:gridCol w:w="3003"/>
        <w:gridCol w:w="3003"/>
        <w:gridCol w:w="3004"/>
      </w:tblGrid>
      <w:tr w:rsidR="006F3BF9" w:rsidRPr="00551058" w14:paraId="72C16616" w14:textId="77777777">
        <w:trPr>
          <w:cnfStyle w:val="100000000000" w:firstRow="1" w:lastRow="0" w:firstColumn="0" w:lastColumn="0" w:oddVBand="0" w:evenVBand="0" w:oddHBand="0" w:evenHBand="0" w:firstRowFirstColumn="0" w:firstRowLastColumn="0" w:lastRowFirstColumn="0" w:lastRowLastColumn="0"/>
        </w:trPr>
        <w:tc>
          <w:tcPr>
            <w:tcW w:w="3003" w:type="dxa"/>
          </w:tcPr>
          <w:p w14:paraId="7D4C5087" w14:textId="77777777" w:rsidR="006F3BF9" w:rsidRPr="00551058" w:rsidRDefault="00D151DA" w:rsidP="00F859D3">
            <w:pPr>
              <w:jc w:val="center"/>
            </w:pPr>
            <w:r w:rsidRPr="00551058">
              <w:t>Version</w:t>
            </w:r>
          </w:p>
        </w:tc>
        <w:tc>
          <w:tcPr>
            <w:tcW w:w="3003" w:type="dxa"/>
          </w:tcPr>
          <w:p w14:paraId="73BA398F" w14:textId="77777777" w:rsidR="006F3BF9" w:rsidRPr="00551058" w:rsidRDefault="006F3BF9" w:rsidP="00F859D3">
            <w:pPr>
              <w:jc w:val="center"/>
            </w:pPr>
            <w:r w:rsidRPr="00551058">
              <w:t>Date</w:t>
            </w:r>
          </w:p>
        </w:tc>
        <w:tc>
          <w:tcPr>
            <w:tcW w:w="3004" w:type="dxa"/>
          </w:tcPr>
          <w:p w14:paraId="4A3F2027" w14:textId="77777777" w:rsidR="006F3BF9" w:rsidRPr="00551058" w:rsidRDefault="006F3BF9" w:rsidP="00F859D3">
            <w:pPr>
              <w:jc w:val="center"/>
            </w:pPr>
            <w:r w:rsidRPr="00551058">
              <w:t>Summary of Change</w:t>
            </w:r>
          </w:p>
        </w:tc>
      </w:tr>
      <w:tr w:rsidR="006F3BF9" w:rsidRPr="00551058" w14:paraId="56556677" w14:textId="77777777">
        <w:tc>
          <w:tcPr>
            <w:tcW w:w="3003" w:type="dxa"/>
          </w:tcPr>
          <w:p w14:paraId="007645BE" w14:textId="1537C854" w:rsidR="006F3BF9" w:rsidRPr="00551058" w:rsidRDefault="00EB196E" w:rsidP="00F859D3">
            <w:pPr>
              <w:jc w:val="center"/>
            </w:pPr>
            <w:r w:rsidRPr="00551058">
              <w:t>A</w:t>
            </w:r>
          </w:p>
        </w:tc>
        <w:tc>
          <w:tcPr>
            <w:tcW w:w="3003" w:type="dxa"/>
          </w:tcPr>
          <w:p w14:paraId="545E454A" w14:textId="15BD8150" w:rsidR="006F3BF9" w:rsidRPr="00551058" w:rsidRDefault="0042410E" w:rsidP="00F859D3">
            <w:pPr>
              <w:jc w:val="center"/>
            </w:pPr>
            <w:r>
              <w:t>22 May 2026</w:t>
            </w:r>
          </w:p>
        </w:tc>
        <w:tc>
          <w:tcPr>
            <w:tcW w:w="3004" w:type="dxa"/>
          </w:tcPr>
          <w:p w14:paraId="3F951BB9" w14:textId="7DE6DA8B" w:rsidR="006F3BF9" w:rsidRPr="00551058" w:rsidRDefault="00881596" w:rsidP="00F859D3">
            <w:pPr>
              <w:jc w:val="center"/>
            </w:pPr>
            <w:r>
              <w:t>First Issue</w:t>
            </w:r>
          </w:p>
        </w:tc>
      </w:tr>
    </w:tbl>
    <w:p w14:paraId="7F98B77D" w14:textId="77777777" w:rsidR="00113C63" w:rsidRPr="00551058" w:rsidRDefault="00113C63">
      <w:pPr>
        <w:spacing w:line="276" w:lineRule="auto"/>
        <w:jc w:val="left"/>
      </w:pPr>
      <w:r w:rsidRPr="00551058">
        <w:br w:type="page"/>
      </w:r>
    </w:p>
    <w:p w14:paraId="20C4296D" w14:textId="6CBA85CD" w:rsidR="00ED112C" w:rsidRPr="00551058" w:rsidRDefault="00ED112C" w:rsidP="00692A7F">
      <w:pPr>
        <w:pStyle w:val="AnatecNonContentsHeading"/>
      </w:pPr>
      <w:r w:rsidRPr="00551058">
        <w:lastRenderedPageBreak/>
        <w:t>Table of Contents</w:t>
      </w:r>
    </w:p>
    <w:p w14:paraId="1AFA6062" w14:textId="7CBFD610" w:rsidR="00AB4A42" w:rsidRDefault="00B52B57">
      <w:pPr>
        <w:pStyle w:val="TOC1"/>
        <w:rPr>
          <w:rFonts w:asciiTheme="minorHAnsi" w:eastAsiaTheme="minorEastAsia" w:hAnsiTheme="minorHAnsi"/>
          <w:b w:val="0"/>
          <w:color w:val="auto"/>
          <w:kern w:val="2"/>
          <w:sz w:val="24"/>
          <w:szCs w:val="24"/>
          <w:lang w:eastAsia="en-GB"/>
          <w14:ligatures w14:val="standardContextual"/>
        </w:rPr>
      </w:pPr>
      <w:r w:rsidRPr="00551058">
        <w:rPr>
          <w:b w:val="0"/>
        </w:rPr>
        <w:fldChar w:fldCharType="begin"/>
      </w:r>
      <w:r w:rsidRPr="00551058">
        <w:rPr>
          <w:b w:val="0"/>
        </w:rPr>
        <w:instrText xml:space="preserve"> TOC \o "2-3" \h \z \t "Heading 1,1,Anatec Heading,1,Anatec Appendix Heading 1,1,Anatec Appendix Heading 2,2,Anatec Appendix Heading 3,3" </w:instrText>
      </w:r>
      <w:r w:rsidRPr="00551058">
        <w:rPr>
          <w:b w:val="0"/>
        </w:rPr>
        <w:fldChar w:fldCharType="separate"/>
      </w:r>
      <w:hyperlink w:anchor="_Toc230357481" w:history="1">
        <w:r w:rsidR="00AB4A42" w:rsidRPr="00AB1982">
          <w:rPr>
            <w:rStyle w:val="Hyperlink"/>
          </w:rPr>
          <w:t>1</w:t>
        </w:r>
        <w:r w:rsidR="00AB4A42">
          <w:rPr>
            <w:rFonts w:asciiTheme="minorHAnsi" w:eastAsiaTheme="minorEastAsia" w:hAnsiTheme="minorHAnsi"/>
            <w:b w:val="0"/>
            <w:color w:val="auto"/>
            <w:kern w:val="2"/>
            <w:sz w:val="24"/>
            <w:szCs w:val="24"/>
            <w:lang w:eastAsia="en-GB"/>
            <w14:ligatures w14:val="standardContextual"/>
          </w:rPr>
          <w:tab/>
        </w:r>
        <w:r w:rsidR="00AB4A42" w:rsidRPr="00AB1982">
          <w:rPr>
            <w:rStyle w:val="Hyperlink"/>
          </w:rPr>
          <w:t>Introduction</w:t>
        </w:r>
        <w:r w:rsidR="00AB4A42">
          <w:rPr>
            <w:webHidden/>
          </w:rPr>
          <w:tab/>
        </w:r>
        <w:r w:rsidR="00AB4A42">
          <w:rPr>
            <w:webHidden/>
          </w:rPr>
          <w:fldChar w:fldCharType="begin"/>
        </w:r>
        <w:r w:rsidR="00AB4A42">
          <w:rPr>
            <w:webHidden/>
          </w:rPr>
          <w:instrText xml:space="preserve"> PAGEREF _Toc230357481 \h </w:instrText>
        </w:r>
        <w:r w:rsidR="00AB4A42">
          <w:rPr>
            <w:webHidden/>
          </w:rPr>
        </w:r>
        <w:r w:rsidR="00AB4A42">
          <w:rPr>
            <w:webHidden/>
          </w:rPr>
          <w:fldChar w:fldCharType="separate"/>
        </w:r>
        <w:r w:rsidR="00AB4A42">
          <w:rPr>
            <w:webHidden/>
          </w:rPr>
          <w:t>5</w:t>
        </w:r>
        <w:r w:rsidR="00AB4A42">
          <w:rPr>
            <w:webHidden/>
          </w:rPr>
          <w:fldChar w:fldCharType="end"/>
        </w:r>
      </w:hyperlink>
    </w:p>
    <w:p w14:paraId="12503CDD" w14:textId="736CC18B" w:rsidR="00AB4A42" w:rsidRDefault="00AB4A42">
      <w:pPr>
        <w:pStyle w:val="TOC2"/>
        <w:rPr>
          <w:rFonts w:eastAsiaTheme="minorEastAsia"/>
          <w:noProof/>
          <w:color w:val="auto"/>
          <w:kern w:val="2"/>
          <w:szCs w:val="24"/>
          <w:lang w:eastAsia="en-GB"/>
          <w14:ligatures w14:val="standardContextual"/>
        </w:rPr>
      </w:pPr>
      <w:hyperlink w:anchor="_Toc230357482" w:history="1">
        <w:r w:rsidRPr="00AB1982">
          <w:rPr>
            <w:rStyle w:val="Hyperlink"/>
            <w:noProof/>
          </w:rPr>
          <w:t>1.1</w:t>
        </w:r>
        <w:r>
          <w:rPr>
            <w:rFonts w:eastAsiaTheme="minorEastAsia"/>
            <w:noProof/>
            <w:color w:val="auto"/>
            <w:kern w:val="2"/>
            <w:szCs w:val="24"/>
            <w:lang w:eastAsia="en-GB"/>
            <w14:ligatures w14:val="standardContextual"/>
          </w:rPr>
          <w:tab/>
        </w:r>
        <w:r w:rsidRPr="00AB1982">
          <w:rPr>
            <w:rStyle w:val="Hyperlink"/>
            <w:noProof/>
          </w:rPr>
          <w:t>Objectives</w:t>
        </w:r>
        <w:r>
          <w:rPr>
            <w:noProof/>
            <w:webHidden/>
          </w:rPr>
          <w:tab/>
        </w:r>
        <w:r>
          <w:rPr>
            <w:noProof/>
            <w:webHidden/>
          </w:rPr>
          <w:fldChar w:fldCharType="begin"/>
        </w:r>
        <w:r>
          <w:rPr>
            <w:noProof/>
            <w:webHidden/>
          </w:rPr>
          <w:instrText xml:space="preserve"> PAGEREF _Toc230357482 \h </w:instrText>
        </w:r>
        <w:r>
          <w:rPr>
            <w:noProof/>
            <w:webHidden/>
          </w:rPr>
        </w:r>
        <w:r>
          <w:rPr>
            <w:noProof/>
            <w:webHidden/>
          </w:rPr>
          <w:fldChar w:fldCharType="separate"/>
        </w:r>
        <w:r>
          <w:rPr>
            <w:noProof/>
            <w:webHidden/>
          </w:rPr>
          <w:t>5</w:t>
        </w:r>
        <w:r>
          <w:rPr>
            <w:noProof/>
            <w:webHidden/>
          </w:rPr>
          <w:fldChar w:fldCharType="end"/>
        </w:r>
      </w:hyperlink>
    </w:p>
    <w:p w14:paraId="2B3B92AC" w14:textId="64BEDDE0" w:rsidR="00AB4A42" w:rsidRDefault="00AB4A42">
      <w:pPr>
        <w:pStyle w:val="TOC2"/>
        <w:rPr>
          <w:rFonts w:eastAsiaTheme="minorEastAsia"/>
          <w:noProof/>
          <w:color w:val="auto"/>
          <w:kern w:val="2"/>
          <w:szCs w:val="24"/>
          <w:lang w:eastAsia="en-GB"/>
          <w14:ligatures w14:val="standardContextual"/>
        </w:rPr>
      </w:pPr>
      <w:hyperlink w:anchor="_Toc230357483" w:history="1">
        <w:r w:rsidRPr="00AB1982">
          <w:rPr>
            <w:rStyle w:val="Hyperlink"/>
            <w:noProof/>
          </w:rPr>
          <w:t>1.2</w:t>
        </w:r>
        <w:r>
          <w:rPr>
            <w:rFonts w:eastAsiaTheme="minorEastAsia"/>
            <w:noProof/>
            <w:color w:val="auto"/>
            <w:kern w:val="2"/>
            <w:szCs w:val="24"/>
            <w:lang w:eastAsia="en-GB"/>
            <w14:ligatures w14:val="standardContextual"/>
          </w:rPr>
          <w:tab/>
        </w:r>
        <w:r w:rsidRPr="00AB1982">
          <w:rPr>
            <w:rStyle w:val="Hyperlink"/>
            <w:noProof/>
          </w:rPr>
          <w:t>Relevant Marine Licence Conditions</w:t>
        </w:r>
        <w:r>
          <w:rPr>
            <w:noProof/>
            <w:webHidden/>
          </w:rPr>
          <w:tab/>
        </w:r>
        <w:r>
          <w:rPr>
            <w:noProof/>
            <w:webHidden/>
          </w:rPr>
          <w:fldChar w:fldCharType="begin"/>
        </w:r>
        <w:r>
          <w:rPr>
            <w:noProof/>
            <w:webHidden/>
          </w:rPr>
          <w:instrText xml:space="preserve"> PAGEREF _Toc230357483 \h </w:instrText>
        </w:r>
        <w:r>
          <w:rPr>
            <w:noProof/>
            <w:webHidden/>
          </w:rPr>
        </w:r>
        <w:r>
          <w:rPr>
            <w:noProof/>
            <w:webHidden/>
          </w:rPr>
          <w:fldChar w:fldCharType="separate"/>
        </w:r>
        <w:r>
          <w:rPr>
            <w:noProof/>
            <w:webHidden/>
          </w:rPr>
          <w:t>5</w:t>
        </w:r>
        <w:r>
          <w:rPr>
            <w:noProof/>
            <w:webHidden/>
          </w:rPr>
          <w:fldChar w:fldCharType="end"/>
        </w:r>
      </w:hyperlink>
    </w:p>
    <w:p w14:paraId="2776A6A7" w14:textId="46CF7D05" w:rsidR="00AB4A42" w:rsidRDefault="00AB4A42">
      <w:pPr>
        <w:pStyle w:val="TOC2"/>
        <w:rPr>
          <w:rFonts w:eastAsiaTheme="minorEastAsia"/>
          <w:noProof/>
          <w:color w:val="auto"/>
          <w:kern w:val="2"/>
          <w:szCs w:val="24"/>
          <w:lang w:eastAsia="en-GB"/>
          <w14:ligatures w14:val="standardContextual"/>
        </w:rPr>
      </w:pPr>
      <w:hyperlink w:anchor="_Toc230357484" w:history="1">
        <w:r w:rsidRPr="00AB1982">
          <w:rPr>
            <w:rStyle w:val="Hyperlink"/>
            <w:noProof/>
          </w:rPr>
          <w:t>1.3</w:t>
        </w:r>
        <w:r>
          <w:rPr>
            <w:rFonts w:eastAsiaTheme="minorEastAsia"/>
            <w:noProof/>
            <w:color w:val="auto"/>
            <w:kern w:val="2"/>
            <w:szCs w:val="24"/>
            <w:lang w:eastAsia="en-GB"/>
            <w14:ligatures w14:val="standardContextual"/>
          </w:rPr>
          <w:tab/>
        </w:r>
        <w:r w:rsidRPr="00AB1982">
          <w:rPr>
            <w:rStyle w:val="Hyperlink"/>
            <w:noProof/>
          </w:rPr>
          <w:t>Automatic Identification System Data</w:t>
        </w:r>
        <w:r>
          <w:rPr>
            <w:noProof/>
            <w:webHidden/>
          </w:rPr>
          <w:tab/>
        </w:r>
        <w:r>
          <w:rPr>
            <w:noProof/>
            <w:webHidden/>
          </w:rPr>
          <w:fldChar w:fldCharType="begin"/>
        </w:r>
        <w:r>
          <w:rPr>
            <w:noProof/>
            <w:webHidden/>
          </w:rPr>
          <w:instrText xml:space="preserve"> PAGEREF _Toc230357484 \h </w:instrText>
        </w:r>
        <w:r>
          <w:rPr>
            <w:noProof/>
            <w:webHidden/>
          </w:rPr>
        </w:r>
        <w:r>
          <w:rPr>
            <w:noProof/>
            <w:webHidden/>
          </w:rPr>
          <w:fldChar w:fldCharType="separate"/>
        </w:r>
        <w:r>
          <w:rPr>
            <w:noProof/>
            <w:webHidden/>
          </w:rPr>
          <w:t>6</w:t>
        </w:r>
        <w:r>
          <w:rPr>
            <w:noProof/>
            <w:webHidden/>
          </w:rPr>
          <w:fldChar w:fldCharType="end"/>
        </w:r>
      </w:hyperlink>
    </w:p>
    <w:p w14:paraId="0DE42A2A" w14:textId="00158C2A" w:rsidR="00AB4A42" w:rsidRDefault="00AB4A42">
      <w:pPr>
        <w:pStyle w:val="TOC1"/>
        <w:rPr>
          <w:rFonts w:asciiTheme="minorHAnsi" w:eastAsiaTheme="minorEastAsia" w:hAnsiTheme="minorHAnsi"/>
          <w:b w:val="0"/>
          <w:color w:val="auto"/>
          <w:kern w:val="2"/>
          <w:sz w:val="24"/>
          <w:szCs w:val="24"/>
          <w:lang w:eastAsia="en-GB"/>
          <w14:ligatures w14:val="standardContextual"/>
        </w:rPr>
      </w:pPr>
      <w:hyperlink w:anchor="_Toc230357485" w:history="1">
        <w:r w:rsidRPr="00AB1982">
          <w:rPr>
            <w:rStyle w:val="Hyperlink"/>
          </w:rPr>
          <w:t>2</w:t>
        </w:r>
        <w:r>
          <w:rPr>
            <w:rFonts w:asciiTheme="minorHAnsi" w:eastAsiaTheme="minorEastAsia" w:hAnsiTheme="minorHAnsi"/>
            <w:b w:val="0"/>
            <w:color w:val="auto"/>
            <w:kern w:val="2"/>
            <w:sz w:val="24"/>
            <w:szCs w:val="24"/>
            <w:lang w:eastAsia="en-GB"/>
            <w14:ligatures w14:val="standardContextual"/>
          </w:rPr>
          <w:tab/>
        </w:r>
        <w:r w:rsidRPr="00AB1982">
          <w:rPr>
            <w:rStyle w:val="Hyperlink"/>
          </w:rPr>
          <w:t>Welsh Channel</w:t>
        </w:r>
        <w:r>
          <w:rPr>
            <w:webHidden/>
          </w:rPr>
          <w:tab/>
        </w:r>
        <w:r>
          <w:rPr>
            <w:webHidden/>
          </w:rPr>
          <w:fldChar w:fldCharType="begin"/>
        </w:r>
        <w:r>
          <w:rPr>
            <w:webHidden/>
          </w:rPr>
          <w:instrText xml:space="preserve"> PAGEREF _Toc230357485 \h </w:instrText>
        </w:r>
        <w:r>
          <w:rPr>
            <w:webHidden/>
          </w:rPr>
        </w:r>
        <w:r>
          <w:rPr>
            <w:webHidden/>
          </w:rPr>
          <w:fldChar w:fldCharType="separate"/>
        </w:r>
        <w:r>
          <w:rPr>
            <w:webHidden/>
          </w:rPr>
          <w:t>7</w:t>
        </w:r>
        <w:r>
          <w:rPr>
            <w:webHidden/>
          </w:rPr>
          <w:fldChar w:fldCharType="end"/>
        </w:r>
      </w:hyperlink>
    </w:p>
    <w:p w14:paraId="05324A67" w14:textId="2D8EEC8D" w:rsidR="00AB4A42" w:rsidRDefault="00AB4A42">
      <w:pPr>
        <w:pStyle w:val="TOC2"/>
        <w:rPr>
          <w:rFonts w:eastAsiaTheme="minorEastAsia"/>
          <w:noProof/>
          <w:color w:val="auto"/>
          <w:kern w:val="2"/>
          <w:szCs w:val="24"/>
          <w:lang w:eastAsia="en-GB"/>
          <w14:ligatures w14:val="standardContextual"/>
        </w:rPr>
      </w:pPr>
      <w:hyperlink w:anchor="_Toc230357486" w:history="1">
        <w:r w:rsidRPr="00AB1982">
          <w:rPr>
            <w:rStyle w:val="Hyperlink"/>
            <w:noProof/>
          </w:rPr>
          <w:t>2.1</w:t>
        </w:r>
        <w:r>
          <w:rPr>
            <w:rFonts w:eastAsiaTheme="minorEastAsia"/>
            <w:noProof/>
            <w:color w:val="auto"/>
            <w:kern w:val="2"/>
            <w:szCs w:val="24"/>
            <w:lang w:eastAsia="en-GB"/>
            <w14:ligatures w14:val="standardContextual"/>
          </w:rPr>
          <w:tab/>
        </w:r>
        <w:r w:rsidRPr="00AB1982">
          <w:rPr>
            <w:rStyle w:val="Hyperlink"/>
            <w:noProof/>
          </w:rPr>
          <w:t>Location-Based Vessel Traffic Analysis</w:t>
        </w:r>
        <w:r>
          <w:rPr>
            <w:noProof/>
            <w:webHidden/>
          </w:rPr>
          <w:tab/>
        </w:r>
        <w:r>
          <w:rPr>
            <w:noProof/>
            <w:webHidden/>
          </w:rPr>
          <w:fldChar w:fldCharType="begin"/>
        </w:r>
        <w:r>
          <w:rPr>
            <w:noProof/>
            <w:webHidden/>
          </w:rPr>
          <w:instrText xml:space="preserve"> PAGEREF _Toc230357486 \h </w:instrText>
        </w:r>
        <w:r>
          <w:rPr>
            <w:noProof/>
            <w:webHidden/>
          </w:rPr>
        </w:r>
        <w:r>
          <w:rPr>
            <w:noProof/>
            <w:webHidden/>
          </w:rPr>
          <w:fldChar w:fldCharType="separate"/>
        </w:r>
        <w:r>
          <w:rPr>
            <w:noProof/>
            <w:webHidden/>
          </w:rPr>
          <w:t>7</w:t>
        </w:r>
        <w:r>
          <w:rPr>
            <w:noProof/>
            <w:webHidden/>
          </w:rPr>
          <w:fldChar w:fldCharType="end"/>
        </w:r>
      </w:hyperlink>
    </w:p>
    <w:p w14:paraId="755D0D48" w14:textId="5F984CEC" w:rsidR="00AB4A42" w:rsidRDefault="00AB4A42">
      <w:pPr>
        <w:pStyle w:val="TOC3"/>
        <w:tabs>
          <w:tab w:val="left" w:pos="1939"/>
        </w:tabs>
        <w:rPr>
          <w:rFonts w:eastAsiaTheme="minorEastAsia"/>
          <w:noProof/>
          <w:kern w:val="2"/>
          <w:szCs w:val="24"/>
          <w:lang w:eastAsia="en-GB"/>
          <w14:ligatures w14:val="standardContextual"/>
        </w:rPr>
      </w:pPr>
      <w:hyperlink w:anchor="_Toc230357487" w:history="1">
        <w:r w:rsidRPr="00AB1982">
          <w:rPr>
            <w:rStyle w:val="Hyperlink"/>
            <w:noProof/>
          </w:rPr>
          <w:t>2.1.1</w:t>
        </w:r>
        <w:r>
          <w:rPr>
            <w:rFonts w:eastAsiaTheme="minorEastAsia"/>
            <w:noProof/>
            <w:kern w:val="2"/>
            <w:szCs w:val="24"/>
            <w:lang w:eastAsia="en-GB"/>
            <w14:ligatures w14:val="standardContextual"/>
          </w:rPr>
          <w:tab/>
        </w:r>
        <w:r w:rsidRPr="00AB1982">
          <w:rPr>
            <w:rStyle w:val="Hyperlink"/>
            <w:noProof/>
          </w:rPr>
          <w:t>Vessel Count and Type</w:t>
        </w:r>
        <w:r>
          <w:rPr>
            <w:noProof/>
            <w:webHidden/>
          </w:rPr>
          <w:tab/>
        </w:r>
        <w:r>
          <w:rPr>
            <w:noProof/>
            <w:webHidden/>
          </w:rPr>
          <w:fldChar w:fldCharType="begin"/>
        </w:r>
        <w:r>
          <w:rPr>
            <w:noProof/>
            <w:webHidden/>
          </w:rPr>
          <w:instrText xml:space="preserve"> PAGEREF _Toc230357487 \h </w:instrText>
        </w:r>
        <w:r>
          <w:rPr>
            <w:noProof/>
            <w:webHidden/>
          </w:rPr>
        </w:r>
        <w:r>
          <w:rPr>
            <w:noProof/>
            <w:webHidden/>
          </w:rPr>
          <w:fldChar w:fldCharType="separate"/>
        </w:r>
        <w:r>
          <w:rPr>
            <w:noProof/>
            <w:webHidden/>
          </w:rPr>
          <w:t>8</w:t>
        </w:r>
        <w:r>
          <w:rPr>
            <w:noProof/>
            <w:webHidden/>
          </w:rPr>
          <w:fldChar w:fldCharType="end"/>
        </w:r>
      </w:hyperlink>
    </w:p>
    <w:p w14:paraId="0DD38862" w14:textId="589FC7A1" w:rsidR="00AB4A42" w:rsidRDefault="00AB4A42">
      <w:pPr>
        <w:pStyle w:val="TOC3"/>
        <w:tabs>
          <w:tab w:val="left" w:pos="1939"/>
        </w:tabs>
        <w:rPr>
          <w:rFonts w:eastAsiaTheme="minorEastAsia"/>
          <w:noProof/>
          <w:kern w:val="2"/>
          <w:szCs w:val="24"/>
          <w:lang w:eastAsia="en-GB"/>
          <w14:ligatures w14:val="standardContextual"/>
        </w:rPr>
      </w:pPr>
      <w:hyperlink w:anchor="_Toc230357488" w:history="1">
        <w:r w:rsidRPr="00AB1982">
          <w:rPr>
            <w:rStyle w:val="Hyperlink"/>
            <w:noProof/>
          </w:rPr>
          <w:t>2.1.2</w:t>
        </w:r>
        <w:r>
          <w:rPr>
            <w:rFonts w:eastAsiaTheme="minorEastAsia"/>
            <w:noProof/>
            <w:kern w:val="2"/>
            <w:szCs w:val="24"/>
            <w:lang w:eastAsia="en-GB"/>
            <w14:ligatures w14:val="standardContextual"/>
          </w:rPr>
          <w:tab/>
        </w:r>
        <w:r w:rsidRPr="00AB1982">
          <w:rPr>
            <w:rStyle w:val="Hyperlink"/>
            <w:noProof/>
          </w:rPr>
          <w:t>Vessel Draught</w:t>
        </w:r>
        <w:r>
          <w:rPr>
            <w:noProof/>
            <w:webHidden/>
          </w:rPr>
          <w:tab/>
        </w:r>
        <w:r>
          <w:rPr>
            <w:noProof/>
            <w:webHidden/>
          </w:rPr>
          <w:fldChar w:fldCharType="begin"/>
        </w:r>
        <w:r>
          <w:rPr>
            <w:noProof/>
            <w:webHidden/>
          </w:rPr>
          <w:instrText xml:space="preserve"> PAGEREF _Toc230357488 \h </w:instrText>
        </w:r>
        <w:r>
          <w:rPr>
            <w:noProof/>
            <w:webHidden/>
          </w:rPr>
        </w:r>
        <w:r>
          <w:rPr>
            <w:noProof/>
            <w:webHidden/>
          </w:rPr>
          <w:fldChar w:fldCharType="separate"/>
        </w:r>
        <w:r>
          <w:rPr>
            <w:noProof/>
            <w:webHidden/>
          </w:rPr>
          <w:t>10</w:t>
        </w:r>
        <w:r>
          <w:rPr>
            <w:noProof/>
            <w:webHidden/>
          </w:rPr>
          <w:fldChar w:fldCharType="end"/>
        </w:r>
      </w:hyperlink>
    </w:p>
    <w:p w14:paraId="0723C995" w14:textId="7CF64BA9" w:rsidR="00AB4A42" w:rsidRDefault="00AB4A42">
      <w:pPr>
        <w:pStyle w:val="TOC2"/>
        <w:rPr>
          <w:rFonts w:eastAsiaTheme="minorEastAsia"/>
          <w:noProof/>
          <w:color w:val="auto"/>
          <w:kern w:val="2"/>
          <w:szCs w:val="24"/>
          <w:lang w:eastAsia="en-GB"/>
          <w14:ligatures w14:val="standardContextual"/>
        </w:rPr>
      </w:pPr>
      <w:hyperlink w:anchor="_Toc230357489" w:history="1">
        <w:r w:rsidRPr="00AB1982">
          <w:rPr>
            <w:rStyle w:val="Hyperlink"/>
            <w:noProof/>
          </w:rPr>
          <w:t>2.2</w:t>
        </w:r>
        <w:r>
          <w:rPr>
            <w:rFonts w:eastAsiaTheme="minorEastAsia"/>
            <w:noProof/>
            <w:color w:val="auto"/>
            <w:kern w:val="2"/>
            <w:szCs w:val="24"/>
            <w:lang w:eastAsia="en-GB"/>
            <w14:ligatures w14:val="standardContextual"/>
          </w:rPr>
          <w:tab/>
        </w:r>
        <w:r w:rsidRPr="00AB1982">
          <w:rPr>
            <w:rStyle w:val="Hyperlink"/>
            <w:noProof/>
          </w:rPr>
          <w:t>Time-Based Vessel Traffic Analysis</w:t>
        </w:r>
        <w:r>
          <w:rPr>
            <w:noProof/>
            <w:webHidden/>
          </w:rPr>
          <w:tab/>
        </w:r>
        <w:r>
          <w:rPr>
            <w:noProof/>
            <w:webHidden/>
          </w:rPr>
          <w:fldChar w:fldCharType="begin"/>
        </w:r>
        <w:r>
          <w:rPr>
            <w:noProof/>
            <w:webHidden/>
          </w:rPr>
          <w:instrText xml:space="preserve"> PAGEREF _Toc230357489 \h </w:instrText>
        </w:r>
        <w:r>
          <w:rPr>
            <w:noProof/>
            <w:webHidden/>
          </w:rPr>
        </w:r>
        <w:r>
          <w:rPr>
            <w:noProof/>
            <w:webHidden/>
          </w:rPr>
          <w:fldChar w:fldCharType="separate"/>
        </w:r>
        <w:r>
          <w:rPr>
            <w:noProof/>
            <w:webHidden/>
          </w:rPr>
          <w:t>11</w:t>
        </w:r>
        <w:r>
          <w:rPr>
            <w:noProof/>
            <w:webHidden/>
          </w:rPr>
          <w:fldChar w:fldCharType="end"/>
        </w:r>
      </w:hyperlink>
    </w:p>
    <w:p w14:paraId="02F91287" w14:textId="11247DB1" w:rsidR="00AB4A42" w:rsidRDefault="00AB4A42">
      <w:pPr>
        <w:pStyle w:val="TOC3"/>
        <w:tabs>
          <w:tab w:val="left" w:pos="1939"/>
        </w:tabs>
        <w:rPr>
          <w:rFonts w:eastAsiaTheme="minorEastAsia"/>
          <w:noProof/>
          <w:kern w:val="2"/>
          <w:szCs w:val="24"/>
          <w:lang w:eastAsia="en-GB"/>
          <w14:ligatures w14:val="standardContextual"/>
        </w:rPr>
      </w:pPr>
      <w:hyperlink w:anchor="_Toc230357490" w:history="1">
        <w:r w:rsidRPr="00AB1982">
          <w:rPr>
            <w:rStyle w:val="Hyperlink"/>
            <w:noProof/>
          </w:rPr>
          <w:t>2.2.1</w:t>
        </w:r>
        <w:r>
          <w:rPr>
            <w:rFonts w:eastAsiaTheme="minorEastAsia"/>
            <w:noProof/>
            <w:kern w:val="2"/>
            <w:szCs w:val="24"/>
            <w:lang w:eastAsia="en-GB"/>
            <w14:ligatures w14:val="standardContextual"/>
          </w:rPr>
          <w:tab/>
        </w:r>
        <w:r w:rsidRPr="00AB1982">
          <w:rPr>
            <w:rStyle w:val="Hyperlink"/>
            <w:noProof/>
          </w:rPr>
          <w:t>Hourly Breakdown</w:t>
        </w:r>
        <w:r>
          <w:rPr>
            <w:noProof/>
            <w:webHidden/>
          </w:rPr>
          <w:tab/>
        </w:r>
        <w:r>
          <w:rPr>
            <w:noProof/>
            <w:webHidden/>
          </w:rPr>
          <w:fldChar w:fldCharType="begin"/>
        </w:r>
        <w:r>
          <w:rPr>
            <w:noProof/>
            <w:webHidden/>
          </w:rPr>
          <w:instrText xml:space="preserve"> PAGEREF _Toc230357490 \h </w:instrText>
        </w:r>
        <w:r>
          <w:rPr>
            <w:noProof/>
            <w:webHidden/>
          </w:rPr>
        </w:r>
        <w:r>
          <w:rPr>
            <w:noProof/>
            <w:webHidden/>
          </w:rPr>
          <w:fldChar w:fldCharType="separate"/>
        </w:r>
        <w:r>
          <w:rPr>
            <w:noProof/>
            <w:webHidden/>
          </w:rPr>
          <w:t>12</w:t>
        </w:r>
        <w:r>
          <w:rPr>
            <w:noProof/>
            <w:webHidden/>
          </w:rPr>
          <w:fldChar w:fldCharType="end"/>
        </w:r>
      </w:hyperlink>
    </w:p>
    <w:p w14:paraId="28487DC4" w14:textId="76B23CBA" w:rsidR="00AB4A42" w:rsidRDefault="00AB4A42">
      <w:pPr>
        <w:pStyle w:val="TOC3"/>
        <w:tabs>
          <w:tab w:val="left" w:pos="1939"/>
        </w:tabs>
        <w:rPr>
          <w:rFonts w:eastAsiaTheme="minorEastAsia"/>
          <w:noProof/>
          <w:kern w:val="2"/>
          <w:szCs w:val="24"/>
          <w:lang w:eastAsia="en-GB"/>
          <w14:ligatures w14:val="standardContextual"/>
        </w:rPr>
      </w:pPr>
      <w:hyperlink w:anchor="_Toc230357491" w:history="1">
        <w:r w:rsidRPr="00AB1982">
          <w:rPr>
            <w:rStyle w:val="Hyperlink"/>
            <w:noProof/>
          </w:rPr>
          <w:t>2.2.2</w:t>
        </w:r>
        <w:r>
          <w:rPr>
            <w:rFonts w:eastAsiaTheme="minorEastAsia"/>
            <w:noProof/>
            <w:kern w:val="2"/>
            <w:szCs w:val="24"/>
            <w:lang w:eastAsia="en-GB"/>
            <w14:ligatures w14:val="standardContextual"/>
          </w:rPr>
          <w:tab/>
        </w:r>
        <w:r w:rsidRPr="00AB1982">
          <w:rPr>
            <w:rStyle w:val="Hyperlink"/>
            <w:noProof/>
          </w:rPr>
          <w:t>Tidal Breakdown</w:t>
        </w:r>
        <w:r>
          <w:rPr>
            <w:noProof/>
            <w:webHidden/>
          </w:rPr>
          <w:tab/>
        </w:r>
        <w:r>
          <w:rPr>
            <w:noProof/>
            <w:webHidden/>
          </w:rPr>
          <w:fldChar w:fldCharType="begin"/>
        </w:r>
        <w:r>
          <w:rPr>
            <w:noProof/>
            <w:webHidden/>
          </w:rPr>
          <w:instrText xml:space="preserve"> PAGEREF _Toc230357491 \h </w:instrText>
        </w:r>
        <w:r>
          <w:rPr>
            <w:noProof/>
            <w:webHidden/>
          </w:rPr>
        </w:r>
        <w:r>
          <w:rPr>
            <w:noProof/>
            <w:webHidden/>
          </w:rPr>
          <w:fldChar w:fldCharType="separate"/>
        </w:r>
        <w:r>
          <w:rPr>
            <w:noProof/>
            <w:webHidden/>
          </w:rPr>
          <w:t>13</w:t>
        </w:r>
        <w:r>
          <w:rPr>
            <w:noProof/>
            <w:webHidden/>
          </w:rPr>
          <w:fldChar w:fldCharType="end"/>
        </w:r>
      </w:hyperlink>
    </w:p>
    <w:p w14:paraId="000D8EF1" w14:textId="12CB65C0" w:rsidR="00AB4A42" w:rsidRDefault="00AB4A42">
      <w:pPr>
        <w:pStyle w:val="TOC1"/>
        <w:rPr>
          <w:rFonts w:asciiTheme="minorHAnsi" w:eastAsiaTheme="minorEastAsia" w:hAnsiTheme="minorHAnsi"/>
          <w:b w:val="0"/>
          <w:color w:val="auto"/>
          <w:kern w:val="2"/>
          <w:sz w:val="24"/>
          <w:szCs w:val="24"/>
          <w:lang w:eastAsia="en-GB"/>
          <w14:ligatures w14:val="standardContextual"/>
        </w:rPr>
      </w:pPr>
      <w:hyperlink w:anchor="_Toc230357492" w:history="1">
        <w:r w:rsidRPr="00AB1982">
          <w:rPr>
            <w:rStyle w:val="Hyperlink"/>
          </w:rPr>
          <w:t>3</w:t>
        </w:r>
        <w:r>
          <w:rPr>
            <w:rFonts w:asciiTheme="minorHAnsi" w:eastAsiaTheme="minorEastAsia" w:hAnsiTheme="minorHAnsi"/>
            <w:b w:val="0"/>
            <w:color w:val="auto"/>
            <w:kern w:val="2"/>
            <w:sz w:val="24"/>
            <w:szCs w:val="24"/>
            <w:lang w:eastAsia="en-GB"/>
            <w14:ligatures w14:val="standardContextual"/>
          </w:rPr>
          <w:tab/>
        </w:r>
        <w:r w:rsidRPr="00AB1982">
          <w:rPr>
            <w:rStyle w:val="Hyperlink"/>
          </w:rPr>
          <w:t>Liverpool Bay TSS</w:t>
        </w:r>
        <w:r>
          <w:rPr>
            <w:webHidden/>
          </w:rPr>
          <w:tab/>
        </w:r>
        <w:r>
          <w:rPr>
            <w:webHidden/>
          </w:rPr>
          <w:fldChar w:fldCharType="begin"/>
        </w:r>
        <w:r>
          <w:rPr>
            <w:webHidden/>
          </w:rPr>
          <w:instrText xml:space="preserve"> PAGEREF _Toc230357492 \h </w:instrText>
        </w:r>
        <w:r>
          <w:rPr>
            <w:webHidden/>
          </w:rPr>
        </w:r>
        <w:r>
          <w:rPr>
            <w:webHidden/>
          </w:rPr>
          <w:fldChar w:fldCharType="separate"/>
        </w:r>
        <w:r>
          <w:rPr>
            <w:webHidden/>
          </w:rPr>
          <w:t>14</w:t>
        </w:r>
        <w:r>
          <w:rPr>
            <w:webHidden/>
          </w:rPr>
          <w:fldChar w:fldCharType="end"/>
        </w:r>
      </w:hyperlink>
    </w:p>
    <w:p w14:paraId="233169A7" w14:textId="69B2C9F8" w:rsidR="00AB4A42" w:rsidRDefault="00AB4A42">
      <w:pPr>
        <w:pStyle w:val="TOC2"/>
        <w:rPr>
          <w:rFonts w:eastAsiaTheme="minorEastAsia"/>
          <w:noProof/>
          <w:color w:val="auto"/>
          <w:kern w:val="2"/>
          <w:szCs w:val="24"/>
          <w:lang w:eastAsia="en-GB"/>
          <w14:ligatures w14:val="standardContextual"/>
        </w:rPr>
      </w:pPr>
      <w:hyperlink w:anchor="_Toc230357493" w:history="1">
        <w:r w:rsidRPr="00AB1982">
          <w:rPr>
            <w:rStyle w:val="Hyperlink"/>
            <w:noProof/>
          </w:rPr>
          <w:t>3.1</w:t>
        </w:r>
        <w:r>
          <w:rPr>
            <w:rFonts w:eastAsiaTheme="minorEastAsia"/>
            <w:noProof/>
            <w:color w:val="auto"/>
            <w:kern w:val="2"/>
            <w:szCs w:val="24"/>
            <w:lang w:eastAsia="en-GB"/>
            <w14:ligatures w14:val="standardContextual"/>
          </w:rPr>
          <w:tab/>
        </w:r>
        <w:r w:rsidRPr="00AB1982">
          <w:rPr>
            <w:rStyle w:val="Hyperlink"/>
            <w:noProof/>
          </w:rPr>
          <w:t>Location-Based Vessel Traffic Analysis</w:t>
        </w:r>
        <w:r>
          <w:rPr>
            <w:noProof/>
            <w:webHidden/>
          </w:rPr>
          <w:tab/>
        </w:r>
        <w:r>
          <w:rPr>
            <w:noProof/>
            <w:webHidden/>
          </w:rPr>
          <w:fldChar w:fldCharType="begin"/>
        </w:r>
        <w:r>
          <w:rPr>
            <w:noProof/>
            <w:webHidden/>
          </w:rPr>
          <w:instrText xml:space="preserve"> PAGEREF _Toc230357493 \h </w:instrText>
        </w:r>
        <w:r>
          <w:rPr>
            <w:noProof/>
            <w:webHidden/>
          </w:rPr>
        </w:r>
        <w:r>
          <w:rPr>
            <w:noProof/>
            <w:webHidden/>
          </w:rPr>
          <w:fldChar w:fldCharType="separate"/>
        </w:r>
        <w:r>
          <w:rPr>
            <w:noProof/>
            <w:webHidden/>
          </w:rPr>
          <w:t>14</w:t>
        </w:r>
        <w:r>
          <w:rPr>
            <w:noProof/>
            <w:webHidden/>
          </w:rPr>
          <w:fldChar w:fldCharType="end"/>
        </w:r>
      </w:hyperlink>
    </w:p>
    <w:p w14:paraId="39AEE4B1" w14:textId="5FE538B4" w:rsidR="00AB4A42" w:rsidRDefault="00AB4A42">
      <w:pPr>
        <w:pStyle w:val="TOC3"/>
        <w:tabs>
          <w:tab w:val="left" w:pos="1939"/>
        </w:tabs>
        <w:rPr>
          <w:rFonts w:eastAsiaTheme="minorEastAsia"/>
          <w:noProof/>
          <w:kern w:val="2"/>
          <w:szCs w:val="24"/>
          <w:lang w:eastAsia="en-GB"/>
          <w14:ligatures w14:val="standardContextual"/>
        </w:rPr>
      </w:pPr>
      <w:hyperlink w:anchor="_Toc230357494" w:history="1">
        <w:r w:rsidRPr="00AB1982">
          <w:rPr>
            <w:rStyle w:val="Hyperlink"/>
            <w:noProof/>
          </w:rPr>
          <w:t>3.1.1</w:t>
        </w:r>
        <w:r>
          <w:rPr>
            <w:rFonts w:eastAsiaTheme="minorEastAsia"/>
            <w:noProof/>
            <w:kern w:val="2"/>
            <w:szCs w:val="24"/>
            <w:lang w:eastAsia="en-GB"/>
            <w14:ligatures w14:val="standardContextual"/>
          </w:rPr>
          <w:tab/>
        </w:r>
        <w:r w:rsidRPr="00AB1982">
          <w:rPr>
            <w:rStyle w:val="Hyperlink"/>
            <w:noProof/>
          </w:rPr>
          <w:t>Vessel Count and Type</w:t>
        </w:r>
        <w:r>
          <w:rPr>
            <w:noProof/>
            <w:webHidden/>
          </w:rPr>
          <w:tab/>
        </w:r>
        <w:r>
          <w:rPr>
            <w:noProof/>
            <w:webHidden/>
          </w:rPr>
          <w:fldChar w:fldCharType="begin"/>
        </w:r>
        <w:r>
          <w:rPr>
            <w:noProof/>
            <w:webHidden/>
          </w:rPr>
          <w:instrText xml:space="preserve"> PAGEREF _Toc230357494 \h </w:instrText>
        </w:r>
        <w:r>
          <w:rPr>
            <w:noProof/>
            <w:webHidden/>
          </w:rPr>
        </w:r>
        <w:r>
          <w:rPr>
            <w:noProof/>
            <w:webHidden/>
          </w:rPr>
          <w:fldChar w:fldCharType="separate"/>
        </w:r>
        <w:r>
          <w:rPr>
            <w:noProof/>
            <w:webHidden/>
          </w:rPr>
          <w:t>14</w:t>
        </w:r>
        <w:r>
          <w:rPr>
            <w:noProof/>
            <w:webHidden/>
          </w:rPr>
          <w:fldChar w:fldCharType="end"/>
        </w:r>
      </w:hyperlink>
    </w:p>
    <w:p w14:paraId="0588242F" w14:textId="32D0BE56" w:rsidR="00AB4A42" w:rsidRDefault="00AB4A42">
      <w:pPr>
        <w:pStyle w:val="TOC3"/>
        <w:tabs>
          <w:tab w:val="left" w:pos="1939"/>
        </w:tabs>
        <w:rPr>
          <w:rFonts w:eastAsiaTheme="minorEastAsia"/>
          <w:noProof/>
          <w:kern w:val="2"/>
          <w:szCs w:val="24"/>
          <w:lang w:eastAsia="en-GB"/>
          <w14:ligatures w14:val="standardContextual"/>
        </w:rPr>
      </w:pPr>
      <w:hyperlink w:anchor="_Toc230357495" w:history="1">
        <w:r w:rsidRPr="00AB1982">
          <w:rPr>
            <w:rStyle w:val="Hyperlink"/>
            <w:noProof/>
          </w:rPr>
          <w:t>3.1.2</w:t>
        </w:r>
        <w:r>
          <w:rPr>
            <w:rFonts w:eastAsiaTheme="minorEastAsia"/>
            <w:noProof/>
            <w:kern w:val="2"/>
            <w:szCs w:val="24"/>
            <w:lang w:eastAsia="en-GB"/>
            <w14:ligatures w14:val="standardContextual"/>
          </w:rPr>
          <w:tab/>
        </w:r>
        <w:r w:rsidRPr="00AB1982">
          <w:rPr>
            <w:rStyle w:val="Hyperlink"/>
            <w:noProof/>
          </w:rPr>
          <w:t>Vessel Draught</w:t>
        </w:r>
        <w:r>
          <w:rPr>
            <w:noProof/>
            <w:webHidden/>
          </w:rPr>
          <w:tab/>
        </w:r>
        <w:r>
          <w:rPr>
            <w:noProof/>
            <w:webHidden/>
          </w:rPr>
          <w:fldChar w:fldCharType="begin"/>
        </w:r>
        <w:r>
          <w:rPr>
            <w:noProof/>
            <w:webHidden/>
          </w:rPr>
          <w:instrText xml:space="preserve"> PAGEREF _Toc230357495 \h </w:instrText>
        </w:r>
        <w:r>
          <w:rPr>
            <w:noProof/>
            <w:webHidden/>
          </w:rPr>
        </w:r>
        <w:r>
          <w:rPr>
            <w:noProof/>
            <w:webHidden/>
          </w:rPr>
          <w:fldChar w:fldCharType="separate"/>
        </w:r>
        <w:r>
          <w:rPr>
            <w:noProof/>
            <w:webHidden/>
          </w:rPr>
          <w:t>17</w:t>
        </w:r>
        <w:r>
          <w:rPr>
            <w:noProof/>
            <w:webHidden/>
          </w:rPr>
          <w:fldChar w:fldCharType="end"/>
        </w:r>
      </w:hyperlink>
    </w:p>
    <w:p w14:paraId="52E0D64C" w14:textId="05923D1F" w:rsidR="00AB4A42" w:rsidRDefault="00AB4A42">
      <w:pPr>
        <w:pStyle w:val="TOC2"/>
        <w:rPr>
          <w:rFonts w:eastAsiaTheme="minorEastAsia"/>
          <w:noProof/>
          <w:color w:val="auto"/>
          <w:kern w:val="2"/>
          <w:szCs w:val="24"/>
          <w:lang w:eastAsia="en-GB"/>
          <w14:ligatures w14:val="standardContextual"/>
        </w:rPr>
      </w:pPr>
      <w:hyperlink w:anchor="_Toc230357496" w:history="1">
        <w:r w:rsidRPr="00AB1982">
          <w:rPr>
            <w:rStyle w:val="Hyperlink"/>
            <w:noProof/>
          </w:rPr>
          <w:t>3.2</w:t>
        </w:r>
        <w:r>
          <w:rPr>
            <w:rFonts w:eastAsiaTheme="minorEastAsia"/>
            <w:noProof/>
            <w:color w:val="auto"/>
            <w:kern w:val="2"/>
            <w:szCs w:val="24"/>
            <w:lang w:eastAsia="en-GB"/>
            <w14:ligatures w14:val="standardContextual"/>
          </w:rPr>
          <w:tab/>
        </w:r>
        <w:r w:rsidRPr="00AB1982">
          <w:rPr>
            <w:rStyle w:val="Hyperlink"/>
            <w:noProof/>
          </w:rPr>
          <w:t>Time-Based Vessel Traffic Analysis</w:t>
        </w:r>
        <w:r>
          <w:rPr>
            <w:noProof/>
            <w:webHidden/>
          </w:rPr>
          <w:tab/>
        </w:r>
        <w:r>
          <w:rPr>
            <w:noProof/>
            <w:webHidden/>
          </w:rPr>
          <w:fldChar w:fldCharType="begin"/>
        </w:r>
        <w:r>
          <w:rPr>
            <w:noProof/>
            <w:webHidden/>
          </w:rPr>
          <w:instrText xml:space="preserve"> PAGEREF _Toc230357496 \h </w:instrText>
        </w:r>
        <w:r>
          <w:rPr>
            <w:noProof/>
            <w:webHidden/>
          </w:rPr>
        </w:r>
        <w:r>
          <w:rPr>
            <w:noProof/>
            <w:webHidden/>
          </w:rPr>
          <w:fldChar w:fldCharType="separate"/>
        </w:r>
        <w:r>
          <w:rPr>
            <w:noProof/>
            <w:webHidden/>
          </w:rPr>
          <w:t>19</w:t>
        </w:r>
        <w:r>
          <w:rPr>
            <w:noProof/>
            <w:webHidden/>
          </w:rPr>
          <w:fldChar w:fldCharType="end"/>
        </w:r>
      </w:hyperlink>
    </w:p>
    <w:p w14:paraId="1689F66E" w14:textId="5CA9099C" w:rsidR="00AB4A42" w:rsidRDefault="00AB4A42">
      <w:pPr>
        <w:pStyle w:val="TOC1"/>
        <w:rPr>
          <w:rFonts w:asciiTheme="minorHAnsi" w:eastAsiaTheme="minorEastAsia" w:hAnsiTheme="minorHAnsi"/>
          <w:b w:val="0"/>
          <w:color w:val="auto"/>
          <w:kern w:val="2"/>
          <w:sz w:val="24"/>
          <w:szCs w:val="24"/>
          <w:lang w:eastAsia="en-GB"/>
          <w14:ligatures w14:val="standardContextual"/>
        </w:rPr>
      </w:pPr>
      <w:hyperlink w:anchor="_Toc230357497" w:history="1">
        <w:r w:rsidRPr="00AB1982">
          <w:rPr>
            <w:rStyle w:val="Hyperlink"/>
          </w:rPr>
          <w:t>4</w:t>
        </w:r>
        <w:r>
          <w:rPr>
            <w:rFonts w:asciiTheme="minorHAnsi" w:eastAsiaTheme="minorEastAsia" w:hAnsiTheme="minorHAnsi"/>
            <w:b w:val="0"/>
            <w:color w:val="auto"/>
            <w:kern w:val="2"/>
            <w:sz w:val="24"/>
            <w:szCs w:val="24"/>
            <w:lang w:eastAsia="en-GB"/>
            <w14:ligatures w14:val="standardContextual"/>
          </w:rPr>
          <w:tab/>
        </w:r>
        <w:r w:rsidRPr="00AB1982">
          <w:rPr>
            <w:rStyle w:val="Hyperlink"/>
          </w:rPr>
          <w:t>Review of Navigational Risk Assessment</w:t>
        </w:r>
        <w:r>
          <w:rPr>
            <w:webHidden/>
          </w:rPr>
          <w:tab/>
        </w:r>
        <w:r>
          <w:rPr>
            <w:webHidden/>
          </w:rPr>
          <w:fldChar w:fldCharType="begin"/>
        </w:r>
        <w:r>
          <w:rPr>
            <w:webHidden/>
          </w:rPr>
          <w:instrText xml:space="preserve"> PAGEREF _Toc230357497 \h </w:instrText>
        </w:r>
        <w:r>
          <w:rPr>
            <w:webHidden/>
          </w:rPr>
        </w:r>
        <w:r>
          <w:rPr>
            <w:webHidden/>
          </w:rPr>
          <w:fldChar w:fldCharType="separate"/>
        </w:r>
        <w:r>
          <w:rPr>
            <w:webHidden/>
          </w:rPr>
          <w:t>21</w:t>
        </w:r>
        <w:r>
          <w:rPr>
            <w:webHidden/>
          </w:rPr>
          <w:fldChar w:fldCharType="end"/>
        </w:r>
      </w:hyperlink>
    </w:p>
    <w:p w14:paraId="45BFA51D" w14:textId="1A795F51" w:rsidR="00AB4A42" w:rsidRDefault="00AB4A42">
      <w:pPr>
        <w:pStyle w:val="TOC2"/>
        <w:rPr>
          <w:rFonts w:eastAsiaTheme="minorEastAsia"/>
          <w:noProof/>
          <w:color w:val="auto"/>
          <w:kern w:val="2"/>
          <w:szCs w:val="24"/>
          <w:lang w:eastAsia="en-GB"/>
          <w14:ligatures w14:val="standardContextual"/>
        </w:rPr>
      </w:pPr>
      <w:hyperlink w:anchor="_Toc230357498" w:history="1">
        <w:r w:rsidRPr="00AB1982">
          <w:rPr>
            <w:rStyle w:val="Hyperlink"/>
            <w:noProof/>
          </w:rPr>
          <w:t>4.1</w:t>
        </w:r>
        <w:r>
          <w:rPr>
            <w:rFonts w:eastAsiaTheme="minorEastAsia"/>
            <w:noProof/>
            <w:color w:val="auto"/>
            <w:kern w:val="2"/>
            <w:szCs w:val="24"/>
            <w:lang w:eastAsia="en-GB"/>
            <w14:ligatures w14:val="standardContextual"/>
          </w:rPr>
          <w:tab/>
        </w:r>
        <w:r w:rsidRPr="00AB1982">
          <w:rPr>
            <w:rStyle w:val="Hyperlink"/>
            <w:noProof/>
          </w:rPr>
          <w:t>Welsh Channel</w:t>
        </w:r>
        <w:r>
          <w:rPr>
            <w:noProof/>
            <w:webHidden/>
          </w:rPr>
          <w:tab/>
        </w:r>
        <w:r>
          <w:rPr>
            <w:noProof/>
            <w:webHidden/>
          </w:rPr>
          <w:fldChar w:fldCharType="begin"/>
        </w:r>
        <w:r>
          <w:rPr>
            <w:noProof/>
            <w:webHidden/>
          </w:rPr>
          <w:instrText xml:space="preserve"> PAGEREF _Toc230357498 \h </w:instrText>
        </w:r>
        <w:r>
          <w:rPr>
            <w:noProof/>
            <w:webHidden/>
          </w:rPr>
        </w:r>
        <w:r>
          <w:rPr>
            <w:noProof/>
            <w:webHidden/>
          </w:rPr>
          <w:fldChar w:fldCharType="separate"/>
        </w:r>
        <w:r>
          <w:rPr>
            <w:noProof/>
            <w:webHidden/>
          </w:rPr>
          <w:t>21</w:t>
        </w:r>
        <w:r>
          <w:rPr>
            <w:noProof/>
            <w:webHidden/>
          </w:rPr>
          <w:fldChar w:fldCharType="end"/>
        </w:r>
      </w:hyperlink>
    </w:p>
    <w:p w14:paraId="642E2A7E" w14:textId="6B5322F6" w:rsidR="00AB4A42" w:rsidRDefault="00AB4A42">
      <w:pPr>
        <w:pStyle w:val="TOC3"/>
        <w:tabs>
          <w:tab w:val="left" w:pos="1939"/>
        </w:tabs>
        <w:rPr>
          <w:rFonts w:eastAsiaTheme="minorEastAsia"/>
          <w:noProof/>
          <w:kern w:val="2"/>
          <w:szCs w:val="24"/>
          <w:lang w:eastAsia="en-GB"/>
          <w14:ligatures w14:val="standardContextual"/>
        </w:rPr>
      </w:pPr>
      <w:hyperlink w:anchor="_Toc230357499" w:history="1">
        <w:r w:rsidRPr="00AB1982">
          <w:rPr>
            <w:rStyle w:val="Hyperlink"/>
            <w:noProof/>
          </w:rPr>
          <w:t>4.1.1</w:t>
        </w:r>
        <w:r>
          <w:rPr>
            <w:rFonts w:eastAsiaTheme="minorEastAsia"/>
            <w:noProof/>
            <w:kern w:val="2"/>
            <w:szCs w:val="24"/>
            <w:lang w:eastAsia="en-GB"/>
            <w14:ligatures w14:val="standardContextual"/>
          </w:rPr>
          <w:tab/>
        </w:r>
        <w:r w:rsidRPr="00AB1982">
          <w:rPr>
            <w:rStyle w:val="Hyperlink"/>
            <w:noProof/>
          </w:rPr>
          <w:t>Recommendations</w:t>
        </w:r>
        <w:r>
          <w:rPr>
            <w:noProof/>
            <w:webHidden/>
          </w:rPr>
          <w:tab/>
        </w:r>
        <w:r>
          <w:rPr>
            <w:noProof/>
            <w:webHidden/>
          </w:rPr>
          <w:fldChar w:fldCharType="begin"/>
        </w:r>
        <w:r>
          <w:rPr>
            <w:noProof/>
            <w:webHidden/>
          </w:rPr>
          <w:instrText xml:space="preserve"> PAGEREF _Toc230357499 \h </w:instrText>
        </w:r>
        <w:r>
          <w:rPr>
            <w:noProof/>
            <w:webHidden/>
          </w:rPr>
        </w:r>
        <w:r>
          <w:rPr>
            <w:noProof/>
            <w:webHidden/>
          </w:rPr>
          <w:fldChar w:fldCharType="separate"/>
        </w:r>
        <w:r>
          <w:rPr>
            <w:noProof/>
            <w:webHidden/>
          </w:rPr>
          <w:t>22</w:t>
        </w:r>
        <w:r>
          <w:rPr>
            <w:noProof/>
            <w:webHidden/>
          </w:rPr>
          <w:fldChar w:fldCharType="end"/>
        </w:r>
      </w:hyperlink>
    </w:p>
    <w:p w14:paraId="5A20FF42" w14:textId="65C3E9E7" w:rsidR="00AB4A42" w:rsidRDefault="00AB4A42">
      <w:pPr>
        <w:pStyle w:val="TOC2"/>
        <w:rPr>
          <w:rFonts w:eastAsiaTheme="minorEastAsia"/>
          <w:noProof/>
          <w:color w:val="auto"/>
          <w:kern w:val="2"/>
          <w:szCs w:val="24"/>
          <w:lang w:eastAsia="en-GB"/>
          <w14:ligatures w14:val="standardContextual"/>
        </w:rPr>
      </w:pPr>
      <w:hyperlink w:anchor="_Toc230357500" w:history="1">
        <w:r w:rsidRPr="00AB1982">
          <w:rPr>
            <w:rStyle w:val="Hyperlink"/>
            <w:noProof/>
          </w:rPr>
          <w:t>4.2</w:t>
        </w:r>
        <w:r>
          <w:rPr>
            <w:rFonts w:eastAsiaTheme="minorEastAsia"/>
            <w:noProof/>
            <w:color w:val="auto"/>
            <w:kern w:val="2"/>
            <w:szCs w:val="24"/>
            <w:lang w:eastAsia="en-GB"/>
            <w14:ligatures w14:val="standardContextual"/>
          </w:rPr>
          <w:tab/>
        </w:r>
        <w:r w:rsidRPr="00AB1982">
          <w:rPr>
            <w:rStyle w:val="Hyperlink"/>
            <w:noProof/>
          </w:rPr>
          <w:t>Liverpool Bay TSS</w:t>
        </w:r>
        <w:r>
          <w:rPr>
            <w:noProof/>
            <w:webHidden/>
          </w:rPr>
          <w:tab/>
        </w:r>
        <w:r>
          <w:rPr>
            <w:noProof/>
            <w:webHidden/>
          </w:rPr>
          <w:fldChar w:fldCharType="begin"/>
        </w:r>
        <w:r>
          <w:rPr>
            <w:noProof/>
            <w:webHidden/>
          </w:rPr>
          <w:instrText xml:space="preserve"> PAGEREF _Toc230357500 \h </w:instrText>
        </w:r>
        <w:r>
          <w:rPr>
            <w:noProof/>
            <w:webHidden/>
          </w:rPr>
        </w:r>
        <w:r>
          <w:rPr>
            <w:noProof/>
            <w:webHidden/>
          </w:rPr>
          <w:fldChar w:fldCharType="separate"/>
        </w:r>
        <w:r>
          <w:rPr>
            <w:noProof/>
            <w:webHidden/>
          </w:rPr>
          <w:t>22</w:t>
        </w:r>
        <w:r>
          <w:rPr>
            <w:noProof/>
            <w:webHidden/>
          </w:rPr>
          <w:fldChar w:fldCharType="end"/>
        </w:r>
      </w:hyperlink>
    </w:p>
    <w:p w14:paraId="3EED7EDD" w14:textId="6D5E114B" w:rsidR="00AB4A42" w:rsidRDefault="00AB4A42">
      <w:pPr>
        <w:pStyle w:val="TOC3"/>
        <w:tabs>
          <w:tab w:val="left" w:pos="1939"/>
        </w:tabs>
        <w:rPr>
          <w:rFonts w:eastAsiaTheme="minorEastAsia"/>
          <w:noProof/>
          <w:kern w:val="2"/>
          <w:szCs w:val="24"/>
          <w:lang w:eastAsia="en-GB"/>
          <w14:ligatures w14:val="standardContextual"/>
        </w:rPr>
      </w:pPr>
      <w:hyperlink w:anchor="_Toc230357501" w:history="1">
        <w:r w:rsidRPr="00AB1982">
          <w:rPr>
            <w:rStyle w:val="Hyperlink"/>
            <w:noProof/>
          </w:rPr>
          <w:t>4.2.1</w:t>
        </w:r>
        <w:r>
          <w:rPr>
            <w:rFonts w:eastAsiaTheme="minorEastAsia"/>
            <w:noProof/>
            <w:kern w:val="2"/>
            <w:szCs w:val="24"/>
            <w:lang w:eastAsia="en-GB"/>
            <w14:ligatures w14:val="standardContextual"/>
          </w:rPr>
          <w:tab/>
        </w:r>
        <w:r w:rsidRPr="00AB1982">
          <w:rPr>
            <w:rStyle w:val="Hyperlink"/>
            <w:noProof/>
          </w:rPr>
          <w:t>Recommendations</w:t>
        </w:r>
        <w:r>
          <w:rPr>
            <w:noProof/>
            <w:webHidden/>
          </w:rPr>
          <w:tab/>
        </w:r>
        <w:r>
          <w:rPr>
            <w:noProof/>
            <w:webHidden/>
          </w:rPr>
          <w:fldChar w:fldCharType="begin"/>
        </w:r>
        <w:r>
          <w:rPr>
            <w:noProof/>
            <w:webHidden/>
          </w:rPr>
          <w:instrText xml:space="preserve"> PAGEREF _Toc230357501 \h </w:instrText>
        </w:r>
        <w:r>
          <w:rPr>
            <w:noProof/>
            <w:webHidden/>
          </w:rPr>
        </w:r>
        <w:r>
          <w:rPr>
            <w:noProof/>
            <w:webHidden/>
          </w:rPr>
          <w:fldChar w:fldCharType="separate"/>
        </w:r>
        <w:r>
          <w:rPr>
            <w:noProof/>
            <w:webHidden/>
          </w:rPr>
          <w:t>23</w:t>
        </w:r>
        <w:r>
          <w:rPr>
            <w:noProof/>
            <w:webHidden/>
          </w:rPr>
          <w:fldChar w:fldCharType="end"/>
        </w:r>
      </w:hyperlink>
    </w:p>
    <w:p w14:paraId="3828AFBD" w14:textId="0B209E03" w:rsidR="00AB4A42" w:rsidRDefault="00AB4A42">
      <w:pPr>
        <w:pStyle w:val="TOC1"/>
        <w:rPr>
          <w:rFonts w:asciiTheme="minorHAnsi" w:eastAsiaTheme="minorEastAsia" w:hAnsiTheme="minorHAnsi"/>
          <w:b w:val="0"/>
          <w:color w:val="auto"/>
          <w:kern w:val="2"/>
          <w:sz w:val="24"/>
          <w:szCs w:val="24"/>
          <w:lang w:eastAsia="en-GB"/>
          <w14:ligatures w14:val="standardContextual"/>
        </w:rPr>
      </w:pPr>
      <w:hyperlink w:anchor="_Toc230357502" w:history="1">
        <w:r w:rsidRPr="00AB1982">
          <w:rPr>
            <w:rStyle w:val="Hyperlink"/>
          </w:rPr>
          <w:t>5</w:t>
        </w:r>
        <w:r>
          <w:rPr>
            <w:rFonts w:asciiTheme="minorHAnsi" w:eastAsiaTheme="minorEastAsia" w:hAnsiTheme="minorHAnsi"/>
            <w:b w:val="0"/>
            <w:color w:val="auto"/>
            <w:kern w:val="2"/>
            <w:sz w:val="24"/>
            <w:szCs w:val="24"/>
            <w:lang w:eastAsia="en-GB"/>
            <w14:ligatures w14:val="standardContextual"/>
          </w:rPr>
          <w:tab/>
        </w:r>
        <w:r w:rsidRPr="00AB1982">
          <w:rPr>
            <w:rStyle w:val="Hyperlink"/>
          </w:rPr>
          <w:t>References</w:t>
        </w:r>
        <w:r>
          <w:rPr>
            <w:webHidden/>
          </w:rPr>
          <w:tab/>
        </w:r>
        <w:r>
          <w:rPr>
            <w:webHidden/>
          </w:rPr>
          <w:fldChar w:fldCharType="begin"/>
        </w:r>
        <w:r>
          <w:rPr>
            <w:webHidden/>
          </w:rPr>
          <w:instrText xml:space="preserve"> PAGEREF _Toc230357502 \h </w:instrText>
        </w:r>
        <w:r>
          <w:rPr>
            <w:webHidden/>
          </w:rPr>
        </w:r>
        <w:r>
          <w:rPr>
            <w:webHidden/>
          </w:rPr>
          <w:fldChar w:fldCharType="separate"/>
        </w:r>
        <w:r>
          <w:rPr>
            <w:webHidden/>
          </w:rPr>
          <w:t>24</w:t>
        </w:r>
        <w:r>
          <w:rPr>
            <w:webHidden/>
          </w:rPr>
          <w:fldChar w:fldCharType="end"/>
        </w:r>
      </w:hyperlink>
    </w:p>
    <w:p w14:paraId="0EDEA489" w14:textId="0BEABC22" w:rsidR="005B2336" w:rsidRPr="00551058" w:rsidRDefault="00B52B57" w:rsidP="005B2336">
      <w:r w:rsidRPr="00551058">
        <w:rPr>
          <w:rFonts w:ascii="Calibri" w:hAnsi="Calibri"/>
          <w:b/>
          <w:noProof/>
          <w:color w:val="1F497D" w:themeColor="text2"/>
          <w:sz w:val="28"/>
        </w:rPr>
        <w:fldChar w:fldCharType="end"/>
      </w:r>
    </w:p>
    <w:p w14:paraId="0E5AC8A8" w14:textId="41C028D7" w:rsidR="005B2336" w:rsidRPr="00551058" w:rsidRDefault="005B2336" w:rsidP="00692A7F">
      <w:pPr>
        <w:pStyle w:val="AnatecNonContentsHeading"/>
      </w:pPr>
      <w:r w:rsidRPr="00551058">
        <w:t>Table of Figures</w:t>
      </w:r>
    </w:p>
    <w:p w14:paraId="60D4AFCA" w14:textId="74DAFFB7" w:rsidR="00AB4A42" w:rsidRDefault="00284070">
      <w:pPr>
        <w:pStyle w:val="TableofFigures"/>
        <w:tabs>
          <w:tab w:val="right" w:leader="dot" w:pos="9016"/>
        </w:tabs>
        <w:rPr>
          <w:rFonts w:eastAsiaTheme="minorEastAsia"/>
          <w:noProof/>
          <w:color w:val="auto"/>
          <w:kern w:val="2"/>
          <w:szCs w:val="24"/>
          <w:lang w:eastAsia="en-GB"/>
          <w14:ligatures w14:val="standardContextual"/>
        </w:rPr>
      </w:pPr>
      <w:r w:rsidRPr="00551058">
        <w:rPr>
          <w:b/>
          <w:color w:val="548DD4" w:themeColor="text2" w:themeTint="99"/>
          <w:sz w:val="28"/>
        </w:rPr>
        <w:fldChar w:fldCharType="begin"/>
      </w:r>
      <w:r w:rsidRPr="00551058">
        <w:rPr>
          <w:b/>
          <w:color w:val="548DD4" w:themeColor="text2" w:themeTint="99"/>
          <w:sz w:val="28"/>
        </w:rPr>
        <w:instrText xml:space="preserve"> TOC \h \z \c "Figure" </w:instrText>
      </w:r>
      <w:r w:rsidRPr="00551058">
        <w:rPr>
          <w:b/>
          <w:color w:val="548DD4" w:themeColor="text2" w:themeTint="99"/>
          <w:sz w:val="28"/>
        </w:rPr>
        <w:fldChar w:fldCharType="separate"/>
      </w:r>
      <w:hyperlink w:anchor="_Toc230357503" w:history="1">
        <w:r w:rsidR="00AB4A42" w:rsidRPr="002F1468">
          <w:rPr>
            <w:rStyle w:val="Hyperlink"/>
            <w:noProof/>
          </w:rPr>
          <w:t>Figure 2.1</w:t>
        </w:r>
        <w:r w:rsidR="00AB4A42">
          <w:rPr>
            <w:rFonts w:eastAsiaTheme="minorEastAsia"/>
            <w:noProof/>
            <w:color w:val="auto"/>
            <w:kern w:val="2"/>
            <w:szCs w:val="24"/>
            <w:lang w:eastAsia="en-GB"/>
            <w14:ligatures w14:val="standardContextual"/>
          </w:rPr>
          <w:tab/>
        </w:r>
        <w:r w:rsidR="00AB4A42" w:rsidRPr="002F1468">
          <w:rPr>
            <w:rStyle w:val="Hyperlink"/>
            <w:noProof/>
          </w:rPr>
          <w:t>Overview of the Welsh Channel Portion of the Proposed Development and Welsh Channel Study Area</w:t>
        </w:r>
        <w:r w:rsidR="00AB4A42">
          <w:rPr>
            <w:noProof/>
            <w:webHidden/>
          </w:rPr>
          <w:tab/>
        </w:r>
        <w:r w:rsidR="00AB4A42">
          <w:rPr>
            <w:noProof/>
            <w:webHidden/>
          </w:rPr>
          <w:fldChar w:fldCharType="begin"/>
        </w:r>
        <w:r w:rsidR="00AB4A42">
          <w:rPr>
            <w:noProof/>
            <w:webHidden/>
          </w:rPr>
          <w:instrText xml:space="preserve"> PAGEREF _Toc230357503 \h </w:instrText>
        </w:r>
        <w:r w:rsidR="00AB4A42">
          <w:rPr>
            <w:noProof/>
            <w:webHidden/>
          </w:rPr>
        </w:r>
        <w:r w:rsidR="00AB4A42">
          <w:rPr>
            <w:noProof/>
            <w:webHidden/>
          </w:rPr>
          <w:fldChar w:fldCharType="separate"/>
        </w:r>
        <w:r w:rsidR="00AB4A42">
          <w:rPr>
            <w:noProof/>
            <w:webHidden/>
          </w:rPr>
          <w:t>7</w:t>
        </w:r>
        <w:r w:rsidR="00AB4A42">
          <w:rPr>
            <w:noProof/>
            <w:webHidden/>
          </w:rPr>
          <w:fldChar w:fldCharType="end"/>
        </w:r>
      </w:hyperlink>
    </w:p>
    <w:p w14:paraId="5A68BF09" w14:textId="25CBF880"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04" w:history="1">
        <w:r w:rsidRPr="002F1468">
          <w:rPr>
            <w:rStyle w:val="Hyperlink"/>
            <w:noProof/>
          </w:rPr>
          <w:t>Figure 2.2</w:t>
        </w:r>
        <w:r>
          <w:rPr>
            <w:rFonts w:eastAsiaTheme="minorEastAsia"/>
            <w:noProof/>
            <w:color w:val="auto"/>
            <w:kern w:val="2"/>
            <w:szCs w:val="24"/>
            <w:lang w:eastAsia="en-GB"/>
            <w14:ligatures w14:val="standardContextual"/>
          </w:rPr>
          <w:tab/>
        </w:r>
        <w:r w:rsidRPr="002F1468">
          <w:rPr>
            <w:rStyle w:val="Hyperlink"/>
            <w:noProof/>
          </w:rPr>
          <w:t>Vessels by Type within Welsh Channel Study Area (12 months, 2025)</w:t>
        </w:r>
        <w:r>
          <w:rPr>
            <w:noProof/>
            <w:webHidden/>
          </w:rPr>
          <w:tab/>
        </w:r>
        <w:r>
          <w:rPr>
            <w:noProof/>
            <w:webHidden/>
          </w:rPr>
          <w:fldChar w:fldCharType="begin"/>
        </w:r>
        <w:r>
          <w:rPr>
            <w:noProof/>
            <w:webHidden/>
          </w:rPr>
          <w:instrText xml:space="preserve"> PAGEREF _Toc230357504 \h </w:instrText>
        </w:r>
        <w:r>
          <w:rPr>
            <w:noProof/>
            <w:webHidden/>
          </w:rPr>
        </w:r>
        <w:r>
          <w:rPr>
            <w:noProof/>
            <w:webHidden/>
          </w:rPr>
          <w:fldChar w:fldCharType="separate"/>
        </w:r>
        <w:r>
          <w:rPr>
            <w:noProof/>
            <w:webHidden/>
          </w:rPr>
          <w:t>8</w:t>
        </w:r>
        <w:r>
          <w:rPr>
            <w:noProof/>
            <w:webHidden/>
          </w:rPr>
          <w:fldChar w:fldCharType="end"/>
        </w:r>
      </w:hyperlink>
    </w:p>
    <w:p w14:paraId="7F759043" w14:textId="00FCA8DC"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05" w:history="1">
        <w:r w:rsidRPr="002F1468">
          <w:rPr>
            <w:rStyle w:val="Hyperlink"/>
            <w:noProof/>
          </w:rPr>
          <w:t>Figure 2.3</w:t>
        </w:r>
        <w:r>
          <w:rPr>
            <w:rFonts w:eastAsiaTheme="minorEastAsia"/>
            <w:noProof/>
            <w:color w:val="auto"/>
            <w:kern w:val="2"/>
            <w:szCs w:val="24"/>
            <w:lang w:eastAsia="en-GB"/>
            <w14:ligatures w14:val="standardContextual"/>
          </w:rPr>
          <w:tab/>
        </w:r>
        <w:r w:rsidRPr="002F1468">
          <w:rPr>
            <w:rStyle w:val="Hyperlink"/>
            <w:noProof/>
          </w:rPr>
          <w:t>Vessel Counts by Month and Type within Welsh Channel Study Area (12 months, 2025)</w:t>
        </w:r>
        <w:r>
          <w:rPr>
            <w:noProof/>
            <w:webHidden/>
          </w:rPr>
          <w:tab/>
        </w:r>
        <w:r>
          <w:rPr>
            <w:noProof/>
            <w:webHidden/>
          </w:rPr>
          <w:fldChar w:fldCharType="begin"/>
        </w:r>
        <w:r>
          <w:rPr>
            <w:noProof/>
            <w:webHidden/>
          </w:rPr>
          <w:instrText xml:space="preserve"> PAGEREF _Toc230357505 \h </w:instrText>
        </w:r>
        <w:r>
          <w:rPr>
            <w:noProof/>
            <w:webHidden/>
          </w:rPr>
        </w:r>
        <w:r>
          <w:rPr>
            <w:noProof/>
            <w:webHidden/>
          </w:rPr>
          <w:fldChar w:fldCharType="separate"/>
        </w:r>
        <w:r>
          <w:rPr>
            <w:noProof/>
            <w:webHidden/>
          </w:rPr>
          <w:t>9</w:t>
        </w:r>
        <w:r>
          <w:rPr>
            <w:noProof/>
            <w:webHidden/>
          </w:rPr>
          <w:fldChar w:fldCharType="end"/>
        </w:r>
      </w:hyperlink>
    </w:p>
    <w:p w14:paraId="5C2C4BEE" w14:textId="6A06F002"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06" w:history="1">
        <w:r w:rsidRPr="002F1468">
          <w:rPr>
            <w:rStyle w:val="Hyperlink"/>
            <w:noProof/>
          </w:rPr>
          <w:t>Figure 2.4</w:t>
        </w:r>
        <w:r>
          <w:rPr>
            <w:rFonts w:eastAsiaTheme="minorEastAsia"/>
            <w:noProof/>
            <w:color w:val="auto"/>
            <w:kern w:val="2"/>
            <w:szCs w:val="24"/>
            <w:lang w:eastAsia="en-GB"/>
            <w14:ligatures w14:val="standardContextual"/>
          </w:rPr>
          <w:tab/>
        </w:r>
        <w:r w:rsidRPr="002F1468">
          <w:rPr>
            <w:rStyle w:val="Hyperlink"/>
            <w:noProof/>
          </w:rPr>
          <w:t>Vessels by Draught within Welsh Channel Study Area (12 months, 2025)</w:t>
        </w:r>
        <w:r>
          <w:rPr>
            <w:noProof/>
            <w:webHidden/>
          </w:rPr>
          <w:tab/>
        </w:r>
        <w:r>
          <w:rPr>
            <w:noProof/>
            <w:webHidden/>
          </w:rPr>
          <w:fldChar w:fldCharType="begin"/>
        </w:r>
        <w:r>
          <w:rPr>
            <w:noProof/>
            <w:webHidden/>
          </w:rPr>
          <w:instrText xml:space="preserve"> PAGEREF _Toc230357506 \h </w:instrText>
        </w:r>
        <w:r>
          <w:rPr>
            <w:noProof/>
            <w:webHidden/>
          </w:rPr>
        </w:r>
        <w:r>
          <w:rPr>
            <w:noProof/>
            <w:webHidden/>
          </w:rPr>
          <w:fldChar w:fldCharType="separate"/>
        </w:r>
        <w:r>
          <w:rPr>
            <w:noProof/>
            <w:webHidden/>
          </w:rPr>
          <w:t>10</w:t>
        </w:r>
        <w:r>
          <w:rPr>
            <w:noProof/>
            <w:webHidden/>
          </w:rPr>
          <w:fldChar w:fldCharType="end"/>
        </w:r>
      </w:hyperlink>
    </w:p>
    <w:p w14:paraId="2A69D163" w14:textId="547CE453"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07" w:history="1">
        <w:r w:rsidRPr="002F1468">
          <w:rPr>
            <w:rStyle w:val="Hyperlink"/>
            <w:noProof/>
          </w:rPr>
          <w:t>Figure 2.5</w:t>
        </w:r>
        <w:r>
          <w:rPr>
            <w:rFonts w:eastAsiaTheme="minorEastAsia"/>
            <w:noProof/>
            <w:color w:val="auto"/>
            <w:kern w:val="2"/>
            <w:szCs w:val="24"/>
            <w:lang w:eastAsia="en-GB"/>
            <w14:ligatures w14:val="standardContextual"/>
          </w:rPr>
          <w:tab/>
        </w:r>
        <w:r w:rsidRPr="002F1468">
          <w:rPr>
            <w:rStyle w:val="Hyperlink"/>
            <w:noProof/>
          </w:rPr>
          <w:t>Distribution of Vessel Draughts within Welsh Channel Study Area (12 months, 2025)</w:t>
        </w:r>
        <w:r>
          <w:rPr>
            <w:noProof/>
            <w:webHidden/>
          </w:rPr>
          <w:tab/>
        </w:r>
        <w:r>
          <w:rPr>
            <w:noProof/>
            <w:webHidden/>
          </w:rPr>
          <w:fldChar w:fldCharType="begin"/>
        </w:r>
        <w:r>
          <w:rPr>
            <w:noProof/>
            <w:webHidden/>
          </w:rPr>
          <w:instrText xml:space="preserve"> PAGEREF _Toc230357507 \h </w:instrText>
        </w:r>
        <w:r>
          <w:rPr>
            <w:noProof/>
            <w:webHidden/>
          </w:rPr>
        </w:r>
        <w:r>
          <w:rPr>
            <w:noProof/>
            <w:webHidden/>
          </w:rPr>
          <w:fldChar w:fldCharType="separate"/>
        </w:r>
        <w:r>
          <w:rPr>
            <w:noProof/>
            <w:webHidden/>
          </w:rPr>
          <w:t>11</w:t>
        </w:r>
        <w:r>
          <w:rPr>
            <w:noProof/>
            <w:webHidden/>
          </w:rPr>
          <w:fldChar w:fldCharType="end"/>
        </w:r>
      </w:hyperlink>
    </w:p>
    <w:p w14:paraId="38929A55" w14:textId="5CF1500B"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08" w:history="1">
        <w:r w:rsidRPr="002F1468">
          <w:rPr>
            <w:rStyle w:val="Hyperlink"/>
            <w:noProof/>
          </w:rPr>
          <w:t>Figure 2.6</w:t>
        </w:r>
        <w:r>
          <w:rPr>
            <w:rFonts w:eastAsiaTheme="minorEastAsia"/>
            <w:noProof/>
            <w:color w:val="auto"/>
            <w:kern w:val="2"/>
            <w:szCs w:val="24"/>
            <w:lang w:eastAsia="en-GB"/>
            <w14:ligatures w14:val="standardContextual"/>
          </w:rPr>
          <w:tab/>
        </w:r>
        <w:r w:rsidRPr="002F1468">
          <w:rPr>
            <w:rStyle w:val="Hyperlink"/>
            <w:noProof/>
          </w:rPr>
          <w:t>Number of Crossings per Hour of Day within Welsh Channel Study Area (August 2025)</w:t>
        </w:r>
        <w:r>
          <w:rPr>
            <w:noProof/>
            <w:webHidden/>
          </w:rPr>
          <w:tab/>
        </w:r>
        <w:r>
          <w:rPr>
            <w:noProof/>
            <w:webHidden/>
          </w:rPr>
          <w:fldChar w:fldCharType="begin"/>
        </w:r>
        <w:r>
          <w:rPr>
            <w:noProof/>
            <w:webHidden/>
          </w:rPr>
          <w:instrText xml:space="preserve"> PAGEREF _Toc230357508 \h </w:instrText>
        </w:r>
        <w:r>
          <w:rPr>
            <w:noProof/>
            <w:webHidden/>
          </w:rPr>
        </w:r>
        <w:r>
          <w:rPr>
            <w:noProof/>
            <w:webHidden/>
          </w:rPr>
          <w:fldChar w:fldCharType="separate"/>
        </w:r>
        <w:r>
          <w:rPr>
            <w:noProof/>
            <w:webHidden/>
          </w:rPr>
          <w:t>12</w:t>
        </w:r>
        <w:r>
          <w:rPr>
            <w:noProof/>
            <w:webHidden/>
          </w:rPr>
          <w:fldChar w:fldCharType="end"/>
        </w:r>
      </w:hyperlink>
    </w:p>
    <w:p w14:paraId="6B3780C6" w14:textId="6B876BBC"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09" w:history="1">
        <w:r w:rsidRPr="002F1468">
          <w:rPr>
            <w:rStyle w:val="Hyperlink"/>
            <w:noProof/>
          </w:rPr>
          <w:t>Figure 2.7</w:t>
        </w:r>
        <w:r>
          <w:rPr>
            <w:rFonts w:eastAsiaTheme="minorEastAsia"/>
            <w:noProof/>
            <w:color w:val="auto"/>
            <w:kern w:val="2"/>
            <w:szCs w:val="24"/>
            <w:lang w:eastAsia="en-GB"/>
            <w14:ligatures w14:val="standardContextual"/>
          </w:rPr>
          <w:tab/>
        </w:r>
        <w:r w:rsidRPr="002F1468">
          <w:rPr>
            <w:rStyle w:val="Hyperlink"/>
            <w:noProof/>
          </w:rPr>
          <w:t>Number of Crossings per Hour Relative to High Tide within Welsh Channel Study Area (August 2025)</w:t>
        </w:r>
        <w:r>
          <w:rPr>
            <w:noProof/>
            <w:webHidden/>
          </w:rPr>
          <w:tab/>
        </w:r>
        <w:r>
          <w:rPr>
            <w:noProof/>
            <w:webHidden/>
          </w:rPr>
          <w:fldChar w:fldCharType="begin"/>
        </w:r>
        <w:r>
          <w:rPr>
            <w:noProof/>
            <w:webHidden/>
          </w:rPr>
          <w:instrText xml:space="preserve"> PAGEREF _Toc230357509 \h </w:instrText>
        </w:r>
        <w:r>
          <w:rPr>
            <w:noProof/>
            <w:webHidden/>
          </w:rPr>
        </w:r>
        <w:r>
          <w:rPr>
            <w:noProof/>
            <w:webHidden/>
          </w:rPr>
          <w:fldChar w:fldCharType="separate"/>
        </w:r>
        <w:r>
          <w:rPr>
            <w:noProof/>
            <w:webHidden/>
          </w:rPr>
          <w:t>13</w:t>
        </w:r>
        <w:r>
          <w:rPr>
            <w:noProof/>
            <w:webHidden/>
          </w:rPr>
          <w:fldChar w:fldCharType="end"/>
        </w:r>
      </w:hyperlink>
    </w:p>
    <w:p w14:paraId="4B541A39" w14:textId="4F489DC4"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10" w:history="1">
        <w:r w:rsidRPr="002F1468">
          <w:rPr>
            <w:rStyle w:val="Hyperlink"/>
            <w:noProof/>
          </w:rPr>
          <w:t>Figure 3.1</w:t>
        </w:r>
        <w:r>
          <w:rPr>
            <w:rFonts w:eastAsiaTheme="minorEastAsia"/>
            <w:noProof/>
            <w:color w:val="auto"/>
            <w:kern w:val="2"/>
            <w:szCs w:val="24"/>
            <w:lang w:eastAsia="en-GB"/>
            <w14:ligatures w14:val="standardContextual"/>
          </w:rPr>
          <w:tab/>
        </w:r>
        <w:r w:rsidRPr="002F1468">
          <w:rPr>
            <w:rStyle w:val="Hyperlink"/>
            <w:noProof/>
          </w:rPr>
          <w:t>Overview of TSS Portion of Proposed Development and TSS Study Area</w:t>
        </w:r>
        <w:r>
          <w:rPr>
            <w:noProof/>
            <w:webHidden/>
          </w:rPr>
          <w:tab/>
        </w:r>
        <w:r>
          <w:rPr>
            <w:noProof/>
            <w:webHidden/>
          </w:rPr>
          <w:fldChar w:fldCharType="begin"/>
        </w:r>
        <w:r>
          <w:rPr>
            <w:noProof/>
            <w:webHidden/>
          </w:rPr>
          <w:instrText xml:space="preserve"> PAGEREF _Toc230357510 \h </w:instrText>
        </w:r>
        <w:r>
          <w:rPr>
            <w:noProof/>
            <w:webHidden/>
          </w:rPr>
        </w:r>
        <w:r>
          <w:rPr>
            <w:noProof/>
            <w:webHidden/>
          </w:rPr>
          <w:fldChar w:fldCharType="separate"/>
        </w:r>
        <w:r>
          <w:rPr>
            <w:noProof/>
            <w:webHidden/>
          </w:rPr>
          <w:t>14</w:t>
        </w:r>
        <w:r>
          <w:rPr>
            <w:noProof/>
            <w:webHidden/>
          </w:rPr>
          <w:fldChar w:fldCharType="end"/>
        </w:r>
      </w:hyperlink>
    </w:p>
    <w:p w14:paraId="747EE4EE" w14:textId="3FC6EF23"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11" w:history="1">
        <w:r w:rsidRPr="002F1468">
          <w:rPr>
            <w:rStyle w:val="Hyperlink"/>
            <w:noProof/>
          </w:rPr>
          <w:t>Figure 3.2</w:t>
        </w:r>
        <w:r>
          <w:rPr>
            <w:rFonts w:eastAsiaTheme="minorEastAsia"/>
            <w:noProof/>
            <w:color w:val="auto"/>
            <w:kern w:val="2"/>
            <w:szCs w:val="24"/>
            <w:lang w:eastAsia="en-GB"/>
            <w14:ligatures w14:val="standardContextual"/>
          </w:rPr>
          <w:tab/>
        </w:r>
        <w:r w:rsidRPr="002F1468">
          <w:rPr>
            <w:rStyle w:val="Hyperlink"/>
            <w:noProof/>
          </w:rPr>
          <w:t>Vessels by Type within 1nm Buffer (12 months, 2025)</w:t>
        </w:r>
        <w:r>
          <w:rPr>
            <w:noProof/>
            <w:webHidden/>
          </w:rPr>
          <w:tab/>
        </w:r>
        <w:r>
          <w:rPr>
            <w:noProof/>
            <w:webHidden/>
          </w:rPr>
          <w:fldChar w:fldCharType="begin"/>
        </w:r>
        <w:r>
          <w:rPr>
            <w:noProof/>
            <w:webHidden/>
          </w:rPr>
          <w:instrText xml:space="preserve"> PAGEREF _Toc230357511 \h </w:instrText>
        </w:r>
        <w:r>
          <w:rPr>
            <w:noProof/>
            <w:webHidden/>
          </w:rPr>
        </w:r>
        <w:r>
          <w:rPr>
            <w:noProof/>
            <w:webHidden/>
          </w:rPr>
          <w:fldChar w:fldCharType="separate"/>
        </w:r>
        <w:r>
          <w:rPr>
            <w:noProof/>
            <w:webHidden/>
          </w:rPr>
          <w:t>15</w:t>
        </w:r>
        <w:r>
          <w:rPr>
            <w:noProof/>
            <w:webHidden/>
          </w:rPr>
          <w:fldChar w:fldCharType="end"/>
        </w:r>
      </w:hyperlink>
    </w:p>
    <w:p w14:paraId="432171B3" w14:textId="64ACC3F4"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12" w:history="1">
        <w:r w:rsidRPr="002F1468">
          <w:rPr>
            <w:rStyle w:val="Hyperlink"/>
            <w:noProof/>
          </w:rPr>
          <w:t>Figure 3.3</w:t>
        </w:r>
        <w:r>
          <w:rPr>
            <w:rFonts w:eastAsiaTheme="minorEastAsia"/>
            <w:noProof/>
            <w:color w:val="auto"/>
            <w:kern w:val="2"/>
            <w:szCs w:val="24"/>
            <w:lang w:eastAsia="en-GB"/>
            <w14:ligatures w14:val="standardContextual"/>
          </w:rPr>
          <w:tab/>
        </w:r>
        <w:r w:rsidRPr="002F1468">
          <w:rPr>
            <w:rStyle w:val="Hyperlink"/>
            <w:noProof/>
          </w:rPr>
          <w:t>Vessel Counts by Month and Type within TSS Study Area (12 months, 2025)</w:t>
        </w:r>
        <w:r>
          <w:rPr>
            <w:noProof/>
            <w:webHidden/>
          </w:rPr>
          <w:tab/>
        </w:r>
        <w:r>
          <w:rPr>
            <w:noProof/>
            <w:webHidden/>
          </w:rPr>
          <w:fldChar w:fldCharType="begin"/>
        </w:r>
        <w:r>
          <w:rPr>
            <w:noProof/>
            <w:webHidden/>
          </w:rPr>
          <w:instrText xml:space="preserve"> PAGEREF _Toc230357512 \h </w:instrText>
        </w:r>
        <w:r>
          <w:rPr>
            <w:noProof/>
            <w:webHidden/>
          </w:rPr>
        </w:r>
        <w:r>
          <w:rPr>
            <w:noProof/>
            <w:webHidden/>
          </w:rPr>
          <w:fldChar w:fldCharType="separate"/>
        </w:r>
        <w:r>
          <w:rPr>
            <w:noProof/>
            <w:webHidden/>
          </w:rPr>
          <w:t>15</w:t>
        </w:r>
        <w:r>
          <w:rPr>
            <w:noProof/>
            <w:webHidden/>
          </w:rPr>
          <w:fldChar w:fldCharType="end"/>
        </w:r>
      </w:hyperlink>
    </w:p>
    <w:p w14:paraId="7513C7F3" w14:textId="671FF535"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13" w:history="1">
        <w:r w:rsidRPr="002F1468">
          <w:rPr>
            <w:rStyle w:val="Hyperlink"/>
            <w:noProof/>
          </w:rPr>
          <w:t>Figure 3.4</w:t>
        </w:r>
        <w:r>
          <w:rPr>
            <w:rFonts w:eastAsiaTheme="minorEastAsia"/>
            <w:noProof/>
            <w:color w:val="auto"/>
            <w:kern w:val="2"/>
            <w:szCs w:val="24"/>
            <w:lang w:eastAsia="en-GB"/>
            <w14:ligatures w14:val="standardContextual"/>
          </w:rPr>
          <w:tab/>
        </w:r>
        <w:r w:rsidRPr="002F1468">
          <w:rPr>
            <w:rStyle w:val="Hyperlink"/>
            <w:noProof/>
          </w:rPr>
          <w:t>Vessels During RAM Activity (18</w:t>
        </w:r>
        <w:r w:rsidRPr="002F1468">
          <w:rPr>
            <w:rStyle w:val="Hyperlink"/>
            <w:noProof/>
            <w:vertAlign w:val="superscript"/>
          </w:rPr>
          <w:t>th</w:t>
        </w:r>
        <w:r w:rsidRPr="002F1468">
          <w:rPr>
            <w:rStyle w:val="Hyperlink"/>
            <w:noProof/>
          </w:rPr>
          <w:t xml:space="preserve"> February 2025)</w:t>
        </w:r>
        <w:r>
          <w:rPr>
            <w:noProof/>
            <w:webHidden/>
          </w:rPr>
          <w:tab/>
        </w:r>
        <w:r>
          <w:rPr>
            <w:noProof/>
            <w:webHidden/>
          </w:rPr>
          <w:fldChar w:fldCharType="begin"/>
        </w:r>
        <w:r>
          <w:rPr>
            <w:noProof/>
            <w:webHidden/>
          </w:rPr>
          <w:instrText xml:space="preserve"> PAGEREF _Toc230357513 \h </w:instrText>
        </w:r>
        <w:r>
          <w:rPr>
            <w:noProof/>
            <w:webHidden/>
          </w:rPr>
        </w:r>
        <w:r>
          <w:rPr>
            <w:noProof/>
            <w:webHidden/>
          </w:rPr>
          <w:fldChar w:fldCharType="separate"/>
        </w:r>
        <w:r>
          <w:rPr>
            <w:noProof/>
            <w:webHidden/>
          </w:rPr>
          <w:t>17</w:t>
        </w:r>
        <w:r>
          <w:rPr>
            <w:noProof/>
            <w:webHidden/>
          </w:rPr>
          <w:fldChar w:fldCharType="end"/>
        </w:r>
      </w:hyperlink>
    </w:p>
    <w:p w14:paraId="12EAB303" w14:textId="63FD57C6"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14" w:history="1">
        <w:r w:rsidRPr="002F1468">
          <w:rPr>
            <w:rStyle w:val="Hyperlink"/>
            <w:noProof/>
          </w:rPr>
          <w:t>Figure 3.5</w:t>
        </w:r>
        <w:r>
          <w:rPr>
            <w:rFonts w:eastAsiaTheme="minorEastAsia"/>
            <w:noProof/>
            <w:color w:val="auto"/>
            <w:kern w:val="2"/>
            <w:szCs w:val="24"/>
            <w:lang w:eastAsia="en-GB"/>
            <w14:ligatures w14:val="standardContextual"/>
          </w:rPr>
          <w:tab/>
        </w:r>
        <w:r w:rsidRPr="002F1468">
          <w:rPr>
            <w:rStyle w:val="Hyperlink"/>
            <w:noProof/>
          </w:rPr>
          <w:t>Vessels by Draught within TSS Study Area (12 months, 2025)</w:t>
        </w:r>
        <w:r>
          <w:rPr>
            <w:noProof/>
            <w:webHidden/>
          </w:rPr>
          <w:tab/>
        </w:r>
        <w:r>
          <w:rPr>
            <w:noProof/>
            <w:webHidden/>
          </w:rPr>
          <w:fldChar w:fldCharType="begin"/>
        </w:r>
        <w:r>
          <w:rPr>
            <w:noProof/>
            <w:webHidden/>
          </w:rPr>
          <w:instrText xml:space="preserve"> PAGEREF _Toc230357514 \h </w:instrText>
        </w:r>
        <w:r>
          <w:rPr>
            <w:noProof/>
            <w:webHidden/>
          </w:rPr>
        </w:r>
        <w:r>
          <w:rPr>
            <w:noProof/>
            <w:webHidden/>
          </w:rPr>
          <w:fldChar w:fldCharType="separate"/>
        </w:r>
        <w:r>
          <w:rPr>
            <w:noProof/>
            <w:webHidden/>
          </w:rPr>
          <w:t>18</w:t>
        </w:r>
        <w:r>
          <w:rPr>
            <w:noProof/>
            <w:webHidden/>
          </w:rPr>
          <w:fldChar w:fldCharType="end"/>
        </w:r>
      </w:hyperlink>
    </w:p>
    <w:p w14:paraId="50E225C6" w14:textId="42615EFB"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15" w:history="1">
        <w:r w:rsidRPr="002F1468">
          <w:rPr>
            <w:rStyle w:val="Hyperlink"/>
            <w:noProof/>
          </w:rPr>
          <w:t>Figure 3.6</w:t>
        </w:r>
        <w:r>
          <w:rPr>
            <w:rFonts w:eastAsiaTheme="minorEastAsia"/>
            <w:noProof/>
            <w:color w:val="auto"/>
            <w:kern w:val="2"/>
            <w:szCs w:val="24"/>
            <w:lang w:eastAsia="en-GB"/>
            <w14:ligatures w14:val="standardContextual"/>
          </w:rPr>
          <w:tab/>
        </w:r>
        <w:r w:rsidRPr="002F1468">
          <w:rPr>
            <w:rStyle w:val="Hyperlink"/>
            <w:noProof/>
          </w:rPr>
          <w:t>Distribution of Vessel Draughts within TSS Study Area (12 months, 2025)</w:t>
        </w:r>
        <w:r>
          <w:rPr>
            <w:noProof/>
            <w:webHidden/>
          </w:rPr>
          <w:tab/>
        </w:r>
        <w:r>
          <w:rPr>
            <w:noProof/>
            <w:webHidden/>
          </w:rPr>
          <w:fldChar w:fldCharType="begin"/>
        </w:r>
        <w:r>
          <w:rPr>
            <w:noProof/>
            <w:webHidden/>
          </w:rPr>
          <w:instrText xml:space="preserve"> PAGEREF _Toc230357515 \h </w:instrText>
        </w:r>
        <w:r>
          <w:rPr>
            <w:noProof/>
            <w:webHidden/>
          </w:rPr>
        </w:r>
        <w:r>
          <w:rPr>
            <w:noProof/>
            <w:webHidden/>
          </w:rPr>
          <w:fldChar w:fldCharType="separate"/>
        </w:r>
        <w:r>
          <w:rPr>
            <w:noProof/>
            <w:webHidden/>
          </w:rPr>
          <w:t>18</w:t>
        </w:r>
        <w:r>
          <w:rPr>
            <w:noProof/>
            <w:webHidden/>
          </w:rPr>
          <w:fldChar w:fldCharType="end"/>
        </w:r>
      </w:hyperlink>
    </w:p>
    <w:p w14:paraId="0ECFF2CD" w14:textId="1E640FA7" w:rsidR="00AB4A42" w:rsidRDefault="00AB4A42">
      <w:pPr>
        <w:pStyle w:val="TableofFigures"/>
        <w:tabs>
          <w:tab w:val="right" w:leader="dot" w:pos="9016"/>
        </w:tabs>
        <w:rPr>
          <w:rFonts w:eastAsiaTheme="minorEastAsia"/>
          <w:noProof/>
          <w:color w:val="auto"/>
          <w:kern w:val="2"/>
          <w:szCs w:val="24"/>
          <w:lang w:eastAsia="en-GB"/>
          <w14:ligatures w14:val="standardContextual"/>
        </w:rPr>
      </w:pPr>
      <w:hyperlink w:anchor="_Toc230357516" w:history="1">
        <w:r w:rsidRPr="002F1468">
          <w:rPr>
            <w:rStyle w:val="Hyperlink"/>
            <w:noProof/>
          </w:rPr>
          <w:t>Figure 3.7</w:t>
        </w:r>
        <w:r>
          <w:rPr>
            <w:rFonts w:eastAsiaTheme="minorEastAsia"/>
            <w:noProof/>
            <w:color w:val="auto"/>
            <w:kern w:val="2"/>
            <w:szCs w:val="24"/>
            <w:lang w:eastAsia="en-GB"/>
            <w14:ligatures w14:val="standardContextual"/>
          </w:rPr>
          <w:tab/>
        </w:r>
        <w:r w:rsidRPr="002F1468">
          <w:rPr>
            <w:rStyle w:val="Hyperlink"/>
            <w:noProof/>
          </w:rPr>
          <w:t>Number of Crossings per Hour of Day within TSS Study Area (12 months, 2025)</w:t>
        </w:r>
        <w:r>
          <w:rPr>
            <w:noProof/>
            <w:webHidden/>
          </w:rPr>
          <w:tab/>
        </w:r>
        <w:r>
          <w:rPr>
            <w:noProof/>
            <w:webHidden/>
          </w:rPr>
          <w:fldChar w:fldCharType="begin"/>
        </w:r>
        <w:r>
          <w:rPr>
            <w:noProof/>
            <w:webHidden/>
          </w:rPr>
          <w:instrText xml:space="preserve"> PAGEREF _Toc230357516 \h </w:instrText>
        </w:r>
        <w:r>
          <w:rPr>
            <w:noProof/>
            <w:webHidden/>
          </w:rPr>
        </w:r>
        <w:r>
          <w:rPr>
            <w:noProof/>
            <w:webHidden/>
          </w:rPr>
          <w:fldChar w:fldCharType="separate"/>
        </w:r>
        <w:r>
          <w:rPr>
            <w:noProof/>
            <w:webHidden/>
          </w:rPr>
          <w:t>19</w:t>
        </w:r>
        <w:r>
          <w:rPr>
            <w:noProof/>
            <w:webHidden/>
          </w:rPr>
          <w:fldChar w:fldCharType="end"/>
        </w:r>
      </w:hyperlink>
    </w:p>
    <w:p w14:paraId="18EF61F7" w14:textId="5AA25C17" w:rsidR="006F06E1" w:rsidRPr="00551058" w:rsidRDefault="00284070" w:rsidP="002A6935">
      <w:r w:rsidRPr="00551058">
        <w:rPr>
          <w:b/>
          <w:color w:val="548DD4" w:themeColor="text2" w:themeTint="99"/>
          <w:sz w:val="28"/>
        </w:rPr>
        <w:fldChar w:fldCharType="end"/>
      </w:r>
    </w:p>
    <w:p w14:paraId="328DEDFD" w14:textId="011BC37A" w:rsidR="006F06E1" w:rsidRPr="00551058" w:rsidRDefault="005B2336" w:rsidP="00692A7F">
      <w:pPr>
        <w:pStyle w:val="AnatecNonContentsHeading"/>
      </w:pPr>
      <w:r w:rsidRPr="00551058">
        <w:t>Table of Tables</w:t>
      </w:r>
    </w:p>
    <w:p w14:paraId="74D6B344" w14:textId="39410B9C" w:rsidR="00AB4A42" w:rsidRDefault="00881596">
      <w:pPr>
        <w:pStyle w:val="TableofFigures"/>
        <w:tabs>
          <w:tab w:val="right" w:leader="dot" w:pos="9016"/>
        </w:tabs>
        <w:rPr>
          <w:rFonts w:eastAsiaTheme="minorEastAsia"/>
          <w:noProof/>
          <w:color w:val="auto"/>
          <w:kern w:val="2"/>
          <w:szCs w:val="24"/>
          <w:lang w:eastAsia="en-GB"/>
          <w14:ligatures w14:val="standardContextual"/>
        </w:rPr>
      </w:pPr>
      <w:r>
        <w:fldChar w:fldCharType="begin"/>
      </w:r>
      <w:r>
        <w:instrText xml:space="preserve"> TOC \h \z \c "Table" </w:instrText>
      </w:r>
      <w:r>
        <w:fldChar w:fldCharType="separate"/>
      </w:r>
      <w:hyperlink w:anchor="_Toc230357517" w:history="1">
        <w:r w:rsidR="00AB4A42" w:rsidRPr="00F97874">
          <w:rPr>
            <w:rStyle w:val="Hyperlink"/>
            <w:noProof/>
          </w:rPr>
          <w:t>Table 1.1</w:t>
        </w:r>
        <w:r w:rsidR="00AB4A42">
          <w:rPr>
            <w:rFonts w:eastAsiaTheme="minorEastAsia"/>
            <w:noProof/>
            <w:color w:val="auto"/>
            <w:kern w:val="2"/>
            <w:szCs w:val="24"/>
            <w:lang w:eastAsia="en-GB"/>
            <w14:ligatures w14:val="standardContextual"/>
          </w:rPr>
          <w:tab/>
        </w:r>
        <w:r w:rsidR="00AB4A42" w:rsidRPr="00F97874">
          <w:rPr>
            <w:rStyle w:val="Hyperlink"/>
            <w:noProof/>
          </w:rPr>
          <w:t>Relevant Marine Licence Conditions</w:t>
        </w:r>
        <w:r w:rsidR="00AB4A42">
          <w:rPr>
            <w:noProof/>
            <w:webHidden/>
          </w:rPr>
          <w:tab/>
        </w:r>
        <w:r w:rsidR="00AB4A42">
          <w:rPr>
            <w:noProof/>
            <w:webHidden/>
          </w:rPr>
          <w:fldChar w:fldCharType="begin"/>
        </w:r>
        <w:r w:rsidR="00AB4A42">
          <w:rPr>
            <w:noProof/>
            <w:webHidden/>
          </w:rPr>
          <w:instrText xml:space="preserve"> PAGEREF _Toc230357517 \h </w:instrText>
        </w:r>
        <w:r w:rsidR="00AB4A42">
          <w:rPr>
            <w:noProof/>
            <w:webHidden/>
          </w:rPr>
        </w:r>
        <w:r w:rsidR="00AB4A42">
          <w:rPr>
            <w:noProof/>
            <w:webHidden/>
          </w:rPr>
          <w:fldChar w:fldCharType="separate"/>
        </w:r>
        <w:r w:rsidR="00AB4A42">
          <w:rPr>
            <w:noProof/>
            <w:webHidden/>
          </w:rPr>
          <w:t>5</w:t>
        </w:r>
        <w:r w:rsidR="00AB4A42">
          <w:rPr>
            <w:noProof/>
            <w:webHidden/>
          </w:rPr>
          <w:fldChar w:fldCharType="end"/>
        </w:r>
      </w:hyperlink>
    </w:p>
    <w:p w14:paraId="504B1690" w14:textId="6BA81CA1" w:rsidR="00903960" w:rsidRPr="00551058" w:rsidRDefault="00881596" w:rsidP="00903960">
      <w:r>
        <w:rPr>
          <w:b/>
          <w:bCs/>
          <w:noProof/>
          <w:lang w:val="en-US"/>
        </w:rPr>
        <w:fldChar w:fldCharType="end"/>
      </w:r>
      <w:r w:rsidR="00903960" w:rsidRPr="00551058">
        <w:br w:type="page"/>
      </w:r>
    </w:p>
    <w:p w14:paraId="6BAD67CE" w14:textId="77777777" w:rsidR="005B2336" w:rsidRPr="00551058" w:rsidRDefault="00903960" w:rsidP="006F3BF9">
      <w:pPr>
        <w:pStyle w:val="AnatecNonContentsHeading"/>
      </w:pPr>
      <w:r w:rsidRPr="00551058">
        <w:lastRenderedPageBreak/>
        <w:t>Abbreviations Table</w:t>
      </w:r>
    </w:p>
    <w:tbl>
      <w:tblPr>
        <w:tblStyle w:val="AnatecTable"/>
        <w:tblW w:w="0" w:type="auto"/>
        <w:tblLook w:val="04A0" w:firstRow="1" w:lastRow="0" w:firstColumn="1" w:lastColumn="0" w:noHBand="0" w:noVBand="1"/>
      </w:tblPr>
      <w:tblGrid>
        <w:gridCol w:w="1838"/>
        <w:gridCol w:w="7172"/>
      </w:tblGrid>
      <w:tr w:rsidR="00C438F2" w:rsidRPr="00551058" w14:paraId="637BFC14" w14:textId="77777777" w:rsidTr="009C4D97">
        <w:trPr>
          <w:cnfStyle w:val="100000000000" w:firstRow="1" w:lastRow="0" w:firstColumn="0" w:lastColumn="0" w:oddVBand="0" w:evenVBand="0" w:oddHBand="0" w:evenHBand="0" w:firstRowFirstColumn="0" w:firstRowLastColumn="0" w:lastRowFirstColumn="0" w:lastRowLastColumn="0"/>
        </w:trPr>
        <w:tc>
          <w:tcPr>
            <w:tcW w:w="1838" w:type="dxa"/>
          </w:tcPr>
          <w:p w14:paraId="536DDE23" w14:textId="77777777" w:rsidR="00C438F2" w:rsidRPr="00551058" w:rsidRDefault="00C438F2" w:rsidP="006F3BF9">
            <w:r w:rsidRPr="00551058">
              <w:t>Abbreviation</w:t>
            </w:r>
          </w:p>
        </w:tc>
        <w:tc>
          <w:tcPr>
            <w:tcW w:w="7172" w:type="dxa"/>
          </w:tcPr>
          <w:p w14:paraId="38EFD2EF" w14:textId="77777777" w:rsidR="00C438F2" w:rsidRPr="00551058" w:rsidRDefault="00C438F2" w:rsidP="006F3BF9">
            <w:r w:rsidRPr="00551058">
              <w:t>Definition</w:t>
            </w:r>
          </w:p>
        </w:tc>
      </w:tr>
      <w:tr w:rsidR="00C438F2" w:rsidRPr="00551058" w14:paraId="055ED700" w14:textId="77777777" w:rsidTr="009C4D97">
        <w:tc>
          <w:tcPr>
            <w:tcW w:w="1838" w:type="dxa"/>
          </w:tcPr>
          <w:p w14:paraId="268282A1" w14:textId="77777777" w:rsidR="00C438F2" w:rsidRPr="0042410E" w:rsidRDefault="00C438F2" w:rsidP="006F3BF9">
            <w:pPr>
              <w:rPr>
                <w:b/>
              </w:rPr>
            </w:pPr>
            <w:r w:rsidRPr="002F4032">
              <w:rPr>
                <w:b/>
              </w:rPr>
              <w:t>AIS</w:t>
            </w:r>
          </w:p>
        </w:tc>
        <w:tc>
          <w:tcPr>
            <w:tcW w:w="7172" w:type="dxa"/>
          </w:tcPr>
          <w:p w14:paraId="77DA1B86" w14:textId="77777777" w:rsidR="00C438F2" w:rsidRPr="00551058" w:rsidRDefault="00C438F2" w:rsidP="006F3BF9">
            <w:r w:rsidRPr="00551058">
              <w:t>Automatic Identification System</w:t>
            </w:r>
          </w:p>
        </w:tc>
      </w:tr>
      <w:tr w:rsidR="00C438F2" w:rsidRPr="00551058" w14:paraId="3556C608" w14:textId="77777777" w:rsidTr="009C4D97">
        <w:tc>
          <w:tcPr>
            <w:tcW w:w="1838" w:type="dxa"/>
          </w:tcPr>
          <w:p w14:paraId="226ABD18" w14:textId="77777777" w:rsidR="00C438F2" w:rsidRPr="0042410E" w:rsidRDefault="00C438F2" w:rsidP="006F3BF9">
            <w:pPr>
              <w:rPr>
                <w:b/>
              </w:rPr>
            </w:pPr>
            <w:r w:rsidRPr="0042410E">
              <w:rPr>
                <w:b/>
              </w:rPr>
              <w:t>BST</w:t>
            </w:r>
          </w:p>
        </w:tc>
        <w:tc>
          <w:tcPr>
            <w:tcW w:w="7172" w:type="dxa"/>
          </w:tcPr>
          <w:p w14:paraId="73E50DFE" w14:textId="77777777" w:rsidR="00C438F2" w:rsidRPr="00B96DF6" w:rsidRDefault="00C438F2" w:rsidP="006F3BF9">
            <w:r>
              <w:t>British Summer Time</w:t>
            </w:r>
          </w:p>
        </w:tc>
      </w:tr>
      <w:tr w:rsidR="000679C2" w:rsidRPr="00551058" w14:paraId="47A60878" w14:textId="77777777" w:rsidTr="00662272">
        <w:tc>
          <w:tcPr>
            <w:tcW w:w="1838" w:type="dxa"/>
          </w:tcPr>
          <w:p w14:paraId="2627DF8D" w14:textId="4668D137" w:rsidR="000679C2" w:rsidRPr="000679C2" w:rsidRDefault="000679C2" w:rsidP="006F3BF9">
            <w:pPr>
              <w:rPr>
                <w:b/>
              </w:rPr>
            </w:pPr>
            <w:r w:rsidRPr="002F4032">
              <w:rPr>
                <w:b/>
              </w:rPr>
              <w:t>CCS</w:t>
            </w:r>
          </w:p>
        </w:tc>
        <w:tc>
          <w:tcPr>
            <w:tcW w:w="7172" w:type="dxa"/>
          </w:tcPr>
          <w:p w14:paraId="62B7FE5C" w14:textId="73991EB0" w:rsidR="000679C2" w:rsidRDefault="000679C2" w:rsidP="006F3BF9">
            <w:r>
              <w:t>Carbon Capture and Storage</w:t>
            </w:r>
          </w:p>
        </w:tc>
      </w:tr>
      <w:tr w:rsidR="0030482E" w:rsidRPr="00551058" w14:paraId="161826D8" w14:textId="77777777" w:rsidTr="00662272">
        <w:tc>
          <w:tcPr>
            <w:tcW w:w="1838" w:type="dxa"/>
          </w:tcPr>
          <w:p w14:paraId="694E6AB5" w14:textId="5E54861C" w:rsidR="0030482E" w:rsidRPr="0042410E" w:rsidRDefault="0030482E" w:rsidP="006F3BF9">
            <w:pPr>
              <w:rPr>
                <w:b/>
              </w:rPr>
            </w:pPr>
            <w:r w:rsidRPr="0042410E">
              <w:rPr>
                <w:b/>
              </w:rPr>
              <w:t>CLV</w:t>
            </w:r>
          </w:p>
        </w:tc>
        <w:tc>
          <w:tcPr>
            <w:tcW w:w="7172" w:type="dxa"/>
          </w:tcPr>
          <w:p w14:paraId="0060A149" w14:textId="2235FD16" w:rsidR="0030482E" w:rsidRDefault="0030482E" w:rsidP="006F3BF9">
            <w:r>
              <w:t>Cable Lay Vessel</w:t>
            </w:r>
          </w:p>
        </w:tc>
      </w:tr>
      <w:tr w:rsidR="00C438F2" w:rsidRPr="00551058" w14:paraId="4C647B8C" w14:textId="77777777" w:rsidTr="009C4D97">
        <w:tc>
          <w:tcPr>
            <w:tcW w:w="1838" w:type="dxa"/>
          </w:tcPr>
          <w:p w14:paraId="5CF7E504" w14:textId="77777777" w:rsidR="00C438F2" w:rsidRPr="00B33DCE" w:rsidRDefault="00C438F2" w:rsidP="006F3BF9">
            <w:pPr>
              <w:rPr>
                <w:b/>
              </w:rPr>
            </w:pPr>
            <w:r w:rsidRPr="002F4032">
              <w:rPr>
                <w:b/>
              </w:rPr>
              <w:t>COLREGs</w:t>
            </w:r>
          </w:p>
        </w:tc>
        <w:tc>
          <w:tcPr>
            <w:tcW w:w="7172" w:type="dxa"/>
          </w:tcPr>
          <w:p w14:paraId="2D19A891" w14:textId="77777777" w:rsidR="00C438F2" w:rsidRDefault="00C438F2" w:rsidP="006F3BF9">
            <w:r w:rsidRPr="005E17DA">
              <w:t>Convention on International Regulations for Preventing Collisions at Sea</w:t>
            </w:r>
          </w:p>
        </w:tc>
      </w:tr>
      <w:tr w:rsidR="00C438F2" w:rsidRPr="00551058" w14:paraId="740D90F5" w14:textId="77777777" w:rsidTr="009C4D97">
        <w:tc>
          <w:tcPr>
            <w:tcW w:w="1838" w:type="dxa"/>
          </w:tcPr>
          <w:p w14:paraId="45E47E87" w14:textId="77777777" w:rsidR="00C438F2" w:rsidRPr="0042410E" w:rsidRDefault="00C438F2" w:rsidP="006F3BF9">
            <w:pPr>
              <w:rPr>
                <w:b/>
              </w:rPr>
            </w:pPr>
            <w:r w:rsidRPr="0042410E">
              <w:rPr>
                <w:b/>
              </w:rPr>
              <w:t>GT</w:t>
            </w:r>
          </w:p>
        </w:tc>
        <w:tc>
          <w:tcPr>
            <w:tcW w:w="7172" w:type="dxa"/>
          </w:tcPr>
          <w:p w14:paraId="69D6E49F" w14:textId="77777777" w:rsidR="00C438F2" w:rsidRDefault="00C438F2" w:rsidP="006F3BF9">
            <w:r>
              <w:t>Gross Tonnage</w:t>
            </w:r>
          </w:p>
        </w:tc>
      </w:tr>
      <w:tr w:rsidR="00C438F2" w:rsidRPr="00551058" w14:paraId="55BE2D0B" w14:textId="77777777" w:rsidTr="009C4D97">
        <w:tc>
          <w:tcPr>
            <w:tcW w:w="1838" w:type="dxa"/>
          </w:tcPr>
          <w:p w14:paraId="477F081B" w14:textId="77777777" w:rsidR="00C438F2" w:rsidRPr="0042410E" w:rsidRDefault="00C438F2" w:rsidP="006F3BF9">
            <w:pPr>
              <w:rPr>
                <w:b/>
              </w:rPr>
            </w:pPr>
            <w:r w:rsidRPr="0042410E">
              <w:rPr>
                <w:b/>
              </w:rPr>
              <w:t>m</w:t>
            </w:r>
          </w:p>
        </w:tc>
        <w:tc>
          <w:tcPr>
            <w:tcW w:w="7172" w:type="dxa"/>
          </w:tcPr>
          <w:p w14:paraId="6F66CC72" w14:textId="77777777" w:rsidR="00C438F2" w:rsidRDefault="00C438F2" w:rsidP="006F3BF9">
            <w:r>
              <w:t>Metre</w:t>
            </w:r>
          </w:p>
        </w:tc>
      </w:tr>
      <w:tr w:rsidR="00C438F2" w:rsidRPr="00551058" w14:paraId="7A3F5B3F" w14:textId="77777777" w:rsidTr="009C4D97">
        <w:tc>
          <w:tcPr>
            <w:tcW w:w="1838" w:type="dxa"/>
          </w:tcPr>
          <w:p w14:paraId="7BD2F41B" w14:textId="77777777" w:rsidR="00C438F2" w:rsidRPr="0042410E" w:rsidRDefault="00C438F2" w:rsidP="006F3BF9">
            <w:pPr>
              <w:rPr>
                <w:b/>
              </w:rPr>
            </w:pPr>
            <w:r w:rsidRPr="0042410E">
              <w:rPr>
                <w:b/>
              </w:rPr>
              <w:t>MCA</w:t>
            </w:r>
          </w:p>
        </w:tc>
        <w:tc>
          <w:tcPr>
            <w:tcW w:w="7172" w:type="dxa"/>
          </w:tcPr>
          <w:p w14:paraId="66EBAC56" w14:textId="77777777" w:rsidR="00C438F2" w:rsidRDefault="00C438F2" w:rsidP="006F3BF9">
            <w:r>
              <w:t>Maritime and Coastguard Agency</w:t>
            </w:r>
          </w:p>
        </w:tc>
      </w:tr>
      <w:tr w:rsidR="00186614" w:rsidRPr="00551058" w14:paraId="1596270D" w14:textId="77777777" w:rsidTr="00662272">
        <w:tc>
          <w:tcPr>
            <w:tcW w:w="1838" w:type="dxa"/>
          </w:tcPr>
          <w:p w14:paraId="75E077FD" w14:textId="6C4E4517" w:rsidR="00186614" w:rsidRPr="0042410E" w:rsidRDefault="00186614" w:rsidP="006F3BF9">
            <w:pPr>
              <w:rPr>
                <w:b/>
              </w:rPr>
            </w:pPr>
            <w:r w:rsidRPr="0042410E">
              <w:rPr>
                <w:b/>
              </w:rPr>
              <w:t>MoU</w:t>
            </w:r>
          </w:p>
        </w:tc>
        <w:tc>
          <w:tcPr>
            <w:tcW w:w="7172" w:type="dxa"/>
          </w:tcPr>
          <w:p w14:paraId="3F680BB6" w14:textId="7941B2C5" w:rsidR="00186614" w:rsidRDefault="00186614" w:rsidP="006F3BF9">
            <w:r>
              <w:t>Memorandum of Understanding</w:t>
            </w:r>
          </w:p>
        </w:tc>
      </w:tr>
      <w:tr w:rsidR="00C438F2" w:rsidRPr="00551058" w14:paraId="06455D4B" w14:textId="77777777" w:rsidTr="0042410E">
        <w:tc>
          <w:tcPr>
            <w:tcW w:w="1838" w:type="dxa"/>
          </w:tcPr>
          <w:p w14:paraId="6B9C7153" w14:textId="77777777" w:rsidR="00C438F2" w:rsidRPr="0042410E" w:rsidRDefault="00C438F2" w:rsidP="006F3BF9">
            <w:pPr>
              <w:rPr>
                <w:b/>
              </w:rPr>
            </w:pPr>
            <w:r w:rsidRPr="0042410E">
              <w:rPr>
                <w:b/>
              </w:rPr>
              <w:t>nm</w:t>
            </w:r>
          </w:p>
        </w:tc>
        <w:tc>
          <w:tcPr>
            <w:tcW w:w="7172" w:type="dxa"/>
          </w:tcPr>
          <w:p w14:paraId="6BB47DA7" w14:textId="6EFFD8C0" w:rsidR="00C438F2" w:rsidRDefault="00C438F2" w:rsidP="006F3BF9">
            <w:r>
              <w:t xml:space="preserve">Nautical </w:t>
            </w:r>
            <w:r w:rsidR="00B163CE">
              <w:t>M</w:t>
            </w:r>
            <w:r>
              <w:t>ile</w:t>
            </w:r>
          </w:p>
        </w:tc>
      </w:tr>
      <w:tr w:rsidR="00C438F2" w:rsidRPr="00551058" w14:paraId="1A145A90" w14:textId="77777777" w:rsidTr="0042410E">
        <w:tc>
          <w:tcPr>
            <w:tcW w:w="1838" w:type="dxa"/>
          </w:tcPr>
          <w:p w14:paraId="2E18AFD5" w14:textId="77777777" w:rsidR="00C438F2" w:rsidRPr="0042410E" w:rsidRDefault="00C438F2" w:rsidP="006F3BF9">
            <w:pPr>
              <w:rPr>
                <w:b/>
              </w:rPr>
            </w:pPr>
            <w:r w:rsidRPr="0042410E">
              <w:rPr>
                <w:b/>
              </w:rPr>
              <w:t>NRA</w:t>
            </w:r>
          </w:p>
        </w:tc>
        <w:tc>
          <w:tcPr>
            <w:tcW w:w="7172" w:type="dxa"/>
          </w:tcPr>
          <w:p w14:paraId="041E50F4" w14:textId="77777777" w:rsidR="00C438F2" w:rsidRDefault="00C438F2" w:rsidP="006F3BF9">
            <w:r>
              <w:t>Navigational Risk Assessment</w:t>
            </w:r>
          </w:p>
        </w:tc>
      </w:tr>
      <w:tr w:rsidR="00C438F2" w:rsidRPr="00551058" w14:paraId="12A741A1" w14:textId="77777777" w:rsidTr="0042410E">
        <w:tc>
          <w:tcPr>
            <w:tcW w:w="1838" w:type="dxa"/>
          </w:tcPr>
          <w:p w14:paraId="19E30973" w14:textId="77777777" w:rsidR="00C438F2" w:rsidRPr="0042410E" w:rsidRDefault="00C438F2" w:rsidP="006F3BF9">
            <w:pPr>
              <w:rPr>
                <w:b/>
              </w:rPr>
            </w:pPr>
            <w:r w:rsidRPr="0042410E">
              <w:rPr>
                <w:b/>
              </w:rPr>
              <w:t>NSP</w:t>
            </w:r>
          </w:p>
        </w:tc>
        <w:tc>
          <w:tcPr>
            <w:tcW w:w="7172" w:type="dxa"/>
          </w:tcPr>
          <w:p w14:paraId="35EE5107" w14:textId="77777777" w:rsidR="00C438F2" w:rsidRPr="00551058" w:rsidRDefault="00C438F2" w:rsidP="006F3BF9">
            <w:r>
              <w:t>Navigational Safety Plan</w:t>
            </w:r>
          </w:p>
        </w:tc>
      </w:tr>
      <w:tr w:rsidR="00C438F2" w:rsidRPr="00551058" w14:paraId="30B62C76" w14:textId="77777777" w:rsidTr="0042410E">
        <w:tc>
          <w:tcPr>
            <w:tcW w:w="1838" w:type="dxa"/>
          </w:tcPr>
          <w:p w14:paraId="358D66ED" w14:textId="77777777" w:rsidR="00C438F2" w:rsidRPr="0042410E" w:rsidRDefault="00C438F2" w:rsidP="006F3BF9">
            <w:pPr>
              <w:rPr>
                <w:b/>
              </w:rPr>
            </w:pPr>
            <w:r w:rsidRPr="0042410E">
              <w:rPr>
                <w:b/>
              </w:rPr>
              <w:t>RAM</w:t>
            </w:r>
          </w:p>
        </w:tc>
        <w:tc>
          <w:tcPr>
            <w:tcW w:w="7172" w:type="dxa"/>
          </w:tcPr>
          <w:p w14:paraId="0CB256BC" w14:textId="77777777" w:rsidR="00C438F2" w:rsidRDefault="00C438F2" w:rsidP="006F3BF9">
            <w:r>
              <w:t>Restricted in the Ability to Manoeuvre</w:t>
            </w:r>
          </w:p>
        </w:tc>
      </w:tr>
      <w:tr w:rsidR="002465F4" w:rsidRPr="00551058" w14:paraId="09EFAAF9" w14:textId="77777777" w:rsidTr="00662272">
        <w:tc>
          <w:tcPr>
            <w:tcW w:w="1838" w:type="dxa"/>
          </w:tcPr>
          <w:p w14:paraId="35D3687B" w14:textId="274297C8" w:rsidR="002465F4" w:rsidRPr="002465F4" w:rsidRDefault="002465F4" w:rsidP="006F3BF9">
            <w:pPr>
              <w:rPr>
                <w:b/>
              </w:rPr>
            </w:pPr>
            <w:r w:rsidRPr="002F4032">
              <w:rPr>
                <w:b/>
              </w:rPr>
              <w:t>RIB</w:t>
            </w:r>
          </w:p>
        </w:tc>
        <w:tc>
          <w:tcPr>
            <w:tcW w:w="7172" w:type="dxa"/>
          </w:tcPr>
          <w:p w14:paraId="0A5C171F" w14:textId="4CAB8962" w:rsidR="002465F4" w:rsidRDefault="002465F4" w:rsidP="006F3BF9">
            <w:r>
              <w:t>Rigid Inflatable Boat</w:t>
            </w:r>
          </w:p>
        </w:tc>
      </w:tr>
      <w:tr w:rsidR="002465F4" w:rsidRPr="00551058" w14:paraId="1B8F40DD" w14:textId="77777777" w:rsidTr="00662272">
        <w:tc>
          <w:tcPr>
            <w:tcW w:w="1838" w:type="dxa"/>
          </w:tcPr>
          <w:p w14:paraId="64430925" w14:textId="68E0CB4F" w:rsidR="002465F4" w:rsidRPr="002465F4" w:rsidRDefault="002465F4" w:rsidP="006F3BF9">
            <w:pPr>
              <w:rPr>
                <w:b/>
              </w:rPr>
            </w:pPr>
            <w:r w:rsidRPr="002F4032">
              <w:rPr>
                <w:b/>
              </w:rPr>
              <w:t>RNLI</w:t>
            </w:r>
          </w:p>
        </w:tc>
        <w:tc>
          <w:tcPr>
            <w:tcW w:w="7172" w:type="dxa"/>
          </w:tcPr>
          <w:p w14:paraId="7AC2BB10" w14:textId="0800AE1F" w:rsidR="002465F4" w:rsidRDefault="002465F4" w:rsidP="006F3BF9">
            <w:r>
              <w:t>Royal National Lifeboat Institution</w:t>
            </w:r>
          </w:p>
        </w:tc>
      </w:tr>
      <w:tr w:rsidR="00C438F2" w:rsidRPr="00551058" w14:paraId="699DE835" w14:textId="77777777" w:rsidTr="0042410E">
        <w:tc>
          <w:tcPr>
            <w:tcW w:w="1838" w:type="dxa"/>
          </w:tcPr>
          <w:p w14:paraId="57D46D41" w14:textId="77777777" w:rsidR="00C438F2" w:rsidRPr="0042410E" w:rsidRDefault="00C438F2" w:rsidP="006F3BF9">
            <w:pPr>
              <w:rPr>
                <w:b/>
              </w:rPr>
            </w:pPr>
            <w:r w:rsidRPr="0042410E">
              <w:rPr>
                <w:b/>
              </w:rPr>
              <w:t>RoPax</w:t>
            </w:r>
          </w:p>
        </w:tc>
        <w:tc>
          <w:tcPr>
            <w:tcW w:w="7172" w:type="dxa"/>
          </w:tcPr>
          <w:p w14:paraId="0B702DE9" w14:textId="77777777" w:rsidR="00C438F2" w:rsidRDefault="00C438F2" w:rsidP="006F3BF9">
            <w:r>
              <w:t>Roll-on/Roll-off Passenger</w:t>
            </w:r>
          </w:p>
        </w:tc>
      </w:tr>
      <w:tr w:rsidR="00C438F2" w:rsidRPr="00551058" w14:paraId="618DEEDA" w14:textId="77777777" w:rsidTr="0042410E">
        <w:tc>
          <w:tcPr>
            <w:tcW w:w="1838" w:type="dxa"/>
          </w:tcPr>
          <w:p w14:paraId="69E22BAB" w14:textId="77777777" w:rsidR="00C438F2" w:rsidRPr="0042410E" w:rsidRDefault="00C438F2" w:rsidP="006F3BF9">
            <w:pPr>
              <w:rPr>
                <w:b/>
              </w:rPr>
            </w:pPr>
            <w:r w:rsidRPr="0042410E">
              <w:rPr>
                <w:b/>
              </w:rPr>
              <w:t>RoRo</w:t>
            </w:r>
          </w:p>
        </w:tc>
        <w:tc>
          <w:tcPr>
            <w:tcW w:w="7172" w:type="dxa"/>
          </w:tcPr>
          <w:p w14:paraId="24B226F9" w14:textId="77777777" w:rsidR="00C438F2" w:rsidRDefault="00C438F2" w:rsidP="006F3BF9">
            <w:r>
              <w:t>Roll-on/Roll-off</w:t>
            </w:r>
          </w:p>
        </w:tc>
      </w:tr>
      <w:tr w:rsidR="00C438F2" w:rsidRPr="00551058" w14:paraId="3F02FB89" w14:textId="77777777" w:rsidTr="0042410E">
        <w:tc>
          <w:tcPr>
            <w:tcW w:w="1838" w:type="dxa"/>
          </w:tcPr>
          <w:p w14:paraId="1D111D94" w14:textId="77777777" w:rsidR="00C438F2" w:rsidRDefault="00C438F2" w:rsidP="006F3BF9">
            <w:pPr>
              <w:rPr>
                <w:b/>
              </w:rPr>
            </w:pPr>
            <w:r w:rsidRPr="002F4032">
              <w:rPr>
                <w:b/>
              </w:rPr>
              <w:t>SOLAS</w:t>
            </w:r>
          </w:p>
        </w:tc>
        <w:tc>
          <w:tcPr>
            <w:tcW w:w="7172" w:type="dxa"/>
          </w:tcPr>
          <w:p w14:paraId="34A87E53" w14:textId="77777777" w:rsidR="00C438F2" w:rsidRDefault="00C438F2" w:rsidP="006F3BF9">
            <w:r w:rsidRPr="00362E50">
              <w:t>International Convention for the Safety of Life at Sea</w:t>
            </w:r>
          </w:p>
        </w:tc>
      </w:tr>
      <w:tr w:rsidR="00C438F2" w:rsidRPr="00551058" w14:paraId="07B37436" w14:textId="77777777" w:rsidTr="0042410E">
        <w:tc>
          <w:tcPr>
            <w:tcW w:w="1838" w:type="dxa"/>
          </w:tcPr>
          <w:p w14:paraId="70789840" w14:textId="77777777" w:rsidR="00C438F2" w:rsidRPr="0042410E" w:rsidRDefault="00C438F2" w:rsidP="006F3BF9">
            <w:pPr>
              <w:rPr>
                <w:b/>
              </w:rPr>
            </w:pPr>
            <w:r w:rsidRPr="0042410E">
              <w:rPr>
                <w:b/>
              </w:rPr>
              <w:t>TSS</w:t>
            </w:r>
          </w:p>
        </w:tc>
        <w:tc>
          <w:tcPr>
            <w:tcW w:w="7172" w:type="dxa"/>
          </w:tcPr>
          <w:p w14:paraId="5D75B527" w14:textId="77777777" w:rsidR="00C438F2" w:rsidRPr="00551058" w:rsidRDefault="00C438F2" w:rsidP="006F3BF9">
            <w:r>
              <w:t>Traffic Separation Scheme</w:t>
            </w:r>
          </w:p>
        </w:tc>
      </w:tr>
      <w:tr w:rsidR="00C438F2" w:rsidRPr="00551058" w14:paraId="45F30DE2" w14:textId="77777777" w:rsidTr="0042410E">
        <w:tc>
          <w:tcPr>
            <w:tcW w:w="1838" w:type="dxa"/>
          </w:tcPr>
          <w:p w14:paraId="0A7DE355" w14:textId="77777777" w:rsidR="00C438F2" w:rsidRPr="0042410E" w:rsidRDefault="00C438F2" w:rsidP="006F3BF9">
            <w:pPr>
              <w:rPr>
                <w:b/>
              </w:rPr>
            </w:pPr>
            <w:r w:rsidRPr="0042410E">
              <w:rPr>
                <w:b/>
              </w:rPr>
              <w:t>UTC</w:t>
            </w:r>
          </w:p>
        </w:tc>
        <w:tc>
          <w:tcPr>
            <w:tcW w:w="7172" w:type="dxa"/>
          </w:tcPr>
          <w:p w14:paraId="1A86F1B3" w14:textId="77777777" w:rsidR="00C438F2" w:rsidRDefault="00C438F2" w:rsidP="006F3BF9">
            <w:r w:rsidRPr="00B96DF6">
              <w:t>Coordinated Universal Time</w:t>
            </w:r>
          </w:p>
        </w:tc>
      </w:tr>
      <w:tr w:rsidR="00C438F2" w:rsidRPr="00551058" w14:paraId="4320E5EA" w14:textId="77777777" w:rsidTr="0042410E">
        <w:tc>
          <w:tcPr>
            <w:tcW w:w="1838" w:type="dxa"/>
          </w:tcPr>
          <w:p w14:paraId="1868773D" w14:textId="77777777" w:rsidR="00C438F2" w:rsidRPr="0042410E" w:rsidRDefault="00C438F2" w:rsidP="006F3BF9">
            <w:pPr>
              <w:rPr>
                <w:b/>
              </w:rPr>
            </w:pPr>
            <w:r w:rsidRPr="0042410E">
              <w:rPr>
                <w:b/>
              </w:rPr>
              <w:t>VMP</w:t>
            </w:r>
          </w:p>
        </w:tc>
        <w:tc>
          <w:tcPr>
            <w:tcW w:w="7172" w:type="dxa"/>
          </w:tcPr>
          <w:p w14:paraId="7AB3145B" w14:textId="77777777" w:rsidR="00C438F2" w:rsidRPr="00551058" w:rsidRDefault="00C438F2" w:rsidP="006F3BF9">
            <w:r>
              <w:t>Vessel Management Plan</w:t>
            </w:r>
          </w:p>
        </w:tc>
      </w:tr>
    </w:tbl>
    <w:p w14:paraId="5EA769B5" w14:textId="77777777" w:rsidR="006F3BF9" w:rsidRPr="00551058" w:rsidRDefault="006F3BF9">
      <w:pPr>
        <w:sectPr w:rsidR="006F3BF9" w:rsidRPr="00551058" w:rsidSect="00A54EF9">
          <w:headerReference w:type="default" r:id="rId14"/>
          <w:footerReference w:type="default" r:id="rId15"/>
          <w:pgSz w:w="11906" w:h="16838"/>
          <w:pgMar w:top="720" w:right="1440" w:bottom="720" w:left="1440" w:header="709" w:footer="709" w:gutter="0"/>
          <w:pgNumType w:fmt="lowerRoman" w:start="1"/>
          <w:cols w:space="708"/>
          <w:docGrid w:linePitch="360"/>
        </w:sectPr>
      </w:pPr>
    </w:p>
    <w:p w14:paraId="578F28B5" w14:textId="3C6EBA4E" w:rsidR="00C55A8F" w:rsidRPr="00551058" w:rsidRDefault="00CC67CD" w:rsidP="00A5583E">
      <w:pPr>
        <w:pStyle w:val="Heading1"/>
      </w:pPr>
      <w:bookmarkStart w:id="0" w:name="_Toc230357481"/>
      <w:r w:rsidRPr="00551058">
        <w:lastRenderedPageBreak/>
        <w:t>Introduction</w:t>
      </w:r>
      <w:bookmarkEnd w:id="0"/>
    </w:p>
    <w:p w14:paraId="0F318C0D" w14:textId="741C970D" w:rsidR="00033CC6" w:rsidRPr="00551058" w:rsidRDefault="005B74AB" w:rsidP="00033CC6">
      <w:r w:rsidRPr="00551058">
        <w:t xml:space="preserve">Anatec Limited (‘Anatec’) has been commissioned by </w:t>
      </w:r>
      <w:r w:rsidR="00F4389A">
        <w:t>Tetra Tech</w:t>
      </w:r>
      <w:r w:rsidRPr="00551058">
        <w:t xml:space="preserve"> to undertake an analysis of vessel traffic movements within the Welsh Channel </w:t>
      </w:r>
      <w:r w:rsidR="00030AA3">
        <w:t xml:space="preserve">and the Liverpool Bay </w:t>
      </w:r>
      <w:r w:rsidR="0051457B">
        <w:t>Traffic Separation Scheme (</w:t>
      </w:r>
      <w:r w:rsidR="00030AA3">
        <w:t>TSS</w:t>
      </w:r>
      <w:r w:rsidR="0051457B">
        <w:t>)</w:t>
      </w:r>
      <w:r w:rsidR="00030AA3">
        <w:t xml:space="preserve"> </w:t>
      </w:r>
      <w:r w:rsidRPr="00551058">
        <w:t>relative to the proposed cable</w:t>
      </w:r>
      <w:r w:rsidR="0087625B">
        <w:t xml:space="preserve"> route for the </w:t>
      </w:r>
      <w:r w:rsidR="007B7974">
        <w:t xml:space="preserve">HyNet </w:t>
      </w:r>
      <w:r w:rsidR="005E2B85">
        <w:t>Liverpool Bay Carbon Capture</w:t>
      </w:r>
      <w:r w:rsidR="000679C2">
        <w:t xml:space="preserve"> and</w:t>
      </w:r>
      <w:r w:rsidR="005E2B85">
        <w:t xml:space="preserve"> Storage</w:t>
      </w:r>
      <w:r w:rsidR="000679C2">
        <w:t xml:space="preserve"> (CCS)</w:t>
      </w:r>
      <w:r w:rsidR="00174F10">
        <w:t xml:space="preserve"> Project</w:t>
      </w:r>
      <w:r w:rsidR="005E2B85">
        <w:t xml:space="preserve"> </w:t>
      </w:r>
      <w:r w:rsidR="009B181E">
        <w:t>(hereafter the ‘Proposed Development’)</w:t>
      </w:r>
      <w:r w:rsidR="00D22FDD">
        <w:t xml:space="preserve">. This follows </w:t>
      </w:r>
      <w:r w:rsidR="00131D44">
        <w:t xml:space="preserve">a request from the Maritime and Coastguard Agency (MCA) </w:t>
      </w:r>
      <w:r w:rsidR="00EA669B">
        <w:t xml:space="preserve">for additional assessment </w:t>
      </w:r>
      <w:r w:rsidR="0092432F">
        <w:t xml:space="preserve">of </w:t>
      </w:r>
      <w:r w:rsidR="00F32916">
        <w:t xml:space="preserve">vessel traffic </w:t>
      </w:r>
      <w:r w:rsidR="00F56B6C">
        <w:t>at the cable route cr</w:t>
      </w:r>
      <w:r w:rsidR="00810861">
        <w:t>o</w:t>
      </w:r>
      <w:r w:rsidR="00F56B6C">
        <w:t xml:space="preserve">ssings of the aforementioned </w:t>
      </w:r>
      <w:r w:rsidR="00487277">
        <w:t>shipping lanes</w:t>
      </w:r>
      <w:r w:rsidR="00810861">
        <w:t xml:space="preserve"> </w:t>
      </w:r>
      <w:r w:rsidR="00F266C0">
        <w:t xml:space="preserve">to </w:t>
      </w:r>
      <w:r w:rsidR="00810861">
        <w:t xml:space="preserve">support the </w:t>
      </w:r>
      <w:r w:rsidR="00FA2E91">
        <w:t xml:space="preserve">Vessel Management Plan (VMP) </w:t>
      </w:r>
      <w:r w:rsidR="00D227E4">
        <w:t>currently being finalised</w:t>
      </w:r>
      <w:r w:rsidR="00B225A9">
        <w:t xml:space="preserve"> to </w:t>
      </w:r>
      <w:r w:rsidR="00FC729D">
        <w:t>support the discharge of Marine Licence CML2365</w:t>
      </w:r>
      <w:r w:rsidR="004D230A">
        <w:t>.</w:t>
      </w:r>
    </w:p>
    <w:p w14:paraId="145520C7" w14:textId="0AADADD2" w:rsidR="00CC67CD" w:rsidRPr="00551058" w:rsidRDefault="00CC67CD" w:rsidP="00CC67CD">
      <w:pPr>
        <w:pStyle w:val="Heading2"/>
      </w:pPr>
      <w:bookmarkStart w:id="1" w:name="_Toc230357482"/>
      <w:r w:rsidRPr="00551058">
        <w:t>Objectives</w:t>
      </w:r>
      <w:bookmarkEnd w:id="1"/>
    </w:p>
    <w:p w14:paraId="7EF60B15" w14:textId="19CB89D3" w:rsidR="00F7737E" w:rsidRPr="00551058" w:rsidRDefault="00F7737E" w:rsidP="00F7737E">
      <w:r w:rsidRPr="00551058">
        <w:t>The objectives of this assessment are:</w:t>
      </w:r>
    </w:p>
    <w:p w14:paraId="4BACAEC1" w14:textId="451C01C7" w:rsidR="00F7737E" w:rsidRPr="00551058" w:rsidRDefault="00F7737E" w:rsidP="00F7737E">
      <w:pPr>
        <w:pStyle w:val="AnatecBullet"/>
      </w:pPr>
      <w:r w:rsidRPr="00551058">
        <w:t>Provide a location-based analysis of vessel traffic</w:t>
      </w:r>
      <w:r w:rsidR="00466BF5" w:rsidRPr="00551058">
        <w:t xml:space="preserve">, characterising vessels in terms of volumes, types and sizes </w:t>
      </w:r>
      <w:r w:rsidRPr="00551058">
        <w:t xml:space="preserve">(Section </w:t>
      </w:r>
      <w:r w:rsidR="0023618E">
        <w:fldChar w:fldCharType="begin"/>
      </w:r>
      <w:r w:rsidR="0023618E">
        <w:instrText xml:space="preserve"> REF _Ref229996147 \n \h </w:instrText>
      </w:r>
      <w:r w:rsidR="0023618E">
        <w:fldChar w:fldCharType="separate"/>
      </w:r>
      <w:r w:rsidR="00AB4A42">
        <w:t>2.1</w:t>
      </w:r>
      <w:r w:rsidR="0023618E">
        <w:fldChar w:fldCharType="end"/>
      </w:r>
      <w:r w:rsidR="0023618E">
        <w:t xml:space="preserve"> and Section </w:t>
      </w:r>
      <w:r w:rsidR="0023618E">
        <w:fldChar w:fldCharType="begin"/>
      </w:r>
      <w:r w:rsidR="0023618E">
        <w:instrText xml:space="preserve"> REF _Ref229996154 \n \h </w:instrText>
      </w:r>
      <w:r w:rsidR="0023618E">
        <w:fldChar w:fldCharType="separate"/>
      </w:r>
      <w:r w:rsidR="00AB4A42">
        <w:t>3.1</w:t>
      </w:r>
      <w:r w:rsidR="0023618E">
        <w:fldChar w:fldCharType="end"/>
      </w:r>
      <w:r w:rsidRPr="00551058">
        <w:t>)</w:t>
      </w:r>
      <w:r w:rsidR="00466BF5" w:rsidRPr="00551058">
        <w:t>.</w:t>
      </w:r>
    </w:p>
    <w:p w14:paraId="7071956B" w14:textId="7AE6518A" w:rsidR="00466BF5" w:rsidRPr="00551058" w:rsidRDefault="00466BF5" w:rsidP="00F7737E">
      <w:pPr>
        <w:pStyle w:val="AnatecBullet"/>
      </w:pPr>
      <w:r w:rsidRPr="00551058">
        <w:t xml:space="preserve">Provide a time-based analysis of vessel traffic, </w:t>
      </w:r>
      <w:r w:rsidR="00062160">
        <w:t xml:space="preserve">including </w:t>
      </w:r>
      <w:r w:rsidRPr="00551058">
        <w:t>characterising vessel movements in terms of tidal preferences</w:t>
      </w:r>
      <w:r w:rsidR="00D648D5">
        <w:t xml:space="preserve"> where appropriate</w:t>
      </w:r>
      <w:r w:rsidRPr="00551058">
        <w:t xml:space="preserve"> (Section </w:t>
      </w:r>
      <w:r w:rsidRPr="00551058">
        <w:fldChar w:fldCharType="begin"/>
      </w:r>
      <w:r w:rsidRPr="00551058">
        <w:instrText xml:space="preserve"> REF _Ref228361376 \n \h </w:instrText>
      </w:r>
      <w:r w:rsidR="00551058">
        <w:instrText xml:space="preserve"> \* MERGEFORMAT </w:instrText>
      </w:r>
      <w:r w:rsidRPr="00551058">
        <w:fldChar w:fldCharType="separate"/>
      </w:r>
      <w:r w:rsidR="00AB4A42">
        <w:t>2.2</w:t>
      </w:r>
      <w:r w:rsidRPr="00551058">
        <w:fldChar w:fldCharType="end"/>
      </w:r>
      <w:r w:rsidR="0023618E">
        <w:t xml:space="preserve"> and Section </w:t>
      </w:r>
      <w:r w:rsidR="0023618E">
        <w:fldChar w:fldCharType="begin"/>
      </w:r>
      <w:r w:rsidR="0023618E">
        <w:instrText xml:space="preserve"> REF _Ref229996185 \n \h </w:instrText>
      </w:r>
      <w:r w:rsidR="0023618E">
        <w:fldChar w:fldCharType="separate"/>
      </w:r>
      <w:r w:rsidR="00AB4A42">
        <w:t>3.2</w:t>
      </w:r>
      <w:r w:rsidR="0023618E">
        <w:fldChar w:fldCharType="end"/>
      </w:r>
      <w:r w:rsidRPr="00551058">
        <w:t>).</w:t>
      </w:r>
    </w:p>
    <w:p w14:paraId="323751E9" w14:textId="0BA78599" w:rsidR="00466BF5" w:rsidRPr="00551058" w:rsidRDefault="00466BF5" w:rsidP="0042410E">
      <w:pPr>
        <w:pStyle w:val="AnatecBullet"/>
        <w:ind w:left="714" w:hanging="357"/>
        <w:contextualSpacing w:val="0"/>
      </w:pPr>
      <w:r w:rsidRPr="00551058">
        <w:t xml:space="preserve">Review the </w:t>
      </w:r>
      <w:r w:rsidR="0051457B">
        <w:t>Navigational Risk Assessment (</w:t>
      </w:r>
      <w:r w:rsidRPr="00551058">
        <w:t>NRA</w:t>
      </w:r>
      <w:r w:rsidR="0051457B">
        <w:t>)</w:t>
      </w:r>
      <w:r w:rsidRPr="00551058">
        <w:t xml:space="preserve"> findings (Section </w:t>
      </w:r>
      <w:r w:rsidR="008B3F7F">
        <w:fldChar w:fldCharType="begin"/>
      </w:r>
      <w:r w:rsidR="008B3F7F">
        <w:instrText xml:space="preserve"> REF _Ref230341133 \n \h </w:instrText>
      </w:r>
      <w:r w:rsidR="008B3F7F">
        <w:fldChar w:fldCharType="separate"/>
      </w:r>
      <w:r w:rsidR="00AB4A42">
        <w:t>4</w:t>
      </w:r>
      <w:r w:rsidR="008B3F7F">
        <w:fldChar w:fldCharType="end"/>
      </w:r>
      <w:r w:rsidRPr="00551058">
        <w:t>)</w:t>
      </w:r>
      <w:r w:rsidR="00AD498E">
        <w:t xml:space="preserve"> and provide recommendations (Section </w:t>
      </w:r>
      <w:r w:rsidR="00AD498E">
        <w:fldChar w:fldCharType="begin"/>
      </w:r>
      <w:r w:rsidR="00AD498E">
        <w:instrText xml:space="preserve"> REF _Ref230341152 \n \h </w:instrText>
      </w:r>
      <w:r w:rsidR="00AD498E">
        <w:fldChar w:fldCharType="separate"/>
      </w:r>
      <w:r w:rsidR="00AB4A42">
        <w:t>4.1.1</w:t>
      </w:r>
      <w:r w:rsidR="00AD498E">
        <w:fldChar w:fldCharType="end"/>
      </w:r>
      <w:r w:rsidR="00AE1801">
        <w:t xml:space="preserve"> and Section </w:t>
      </w:r>
      <w:r w:rsidR="00AD498E">
        <w:fldChar w:fldCharType="begin"/>
      </w:r>
      <w:r w:rsidR="00AD498E">
        <w:instrText xml:space="preserve"> REF _Ref230341153 \n \h </w:instrText>
      </w:r>
      <w:r w:rsidR="00AD498E">
        <w:fldChar w:fldCharType="separate"/>
      </w:r>
      <w:r w:rsidR="00AB4A42">
        <w:t>4.2.1</w:t>
      </w:r>
      <w:r w:rsidR="00AD498E">
        <w:fldChar w:fldCharType="end"/>
      </w:r>
      <w:r w:rsidR="00AE1801">
        <w:t>).</w:t>
      </w:r>
    </w:p>
    <w:p w14:paraId="72EAB370" w14:textId="15F5FE9A" w:rsidR="00CC67CD" w:rsidRPr="00551058" w:rsidRDefault="00CC67CD" w:rsidP="0042410E">
      <w:pPr>
        <w:pStyle w:val="Heading2"/>
        <w:spacing w:before="240"/>
      </w:pPr>
      <w:bookmarkStart w:id="2" w:name="_Toc230357483"/>
      <w:r w:rsidRPr="00551058">
        <w:t>Relevant Marine Licence Conditions</w:t>
      </w:r>
      <w:bookmarkEnd w:id="2"/>
    </w:p>
    <w:p w14:paraId="0323DB6C" w14:textId="6DF325DA" w:rsidR="00EA4E74" w:rsidRPr="002434C9" w:rsidRDefault="00EA4E74" w:rsidP="0042410E">
      <w:r w:rsidRPr="002434C9">
        <w:t xml:space="preserve">The </w:t>
      </w:r>
      <w:r w:rsidR="004F2BFC" w:rsidRPr="002434C9">
        <w:t xml:space="preserve">VMP and </w:t>
      </w:r>
      <w:r w:rsidR="0051457B">
        <w:t>Navigational Safety Plan (</w:t>
      </w:r>
      <w:r w:rsidR="004F2BFC" w:rsidRPr="002434C9">
        <w:t>NSP</w:t>
      </w:r>
      <w:r w:rsidR="0051457B">
        <w:t>)</w:t>
      </w:r>
      <w:r w:rsidR="004F2BFC" w:rsidRPr="002434C9">
        <w:t xml:space="preserve"> </w:t>
      </w:r>
      <w:r w:rsidRPr="002434C9">
        <w:t>are currently being produced to discharge c</w:t>
      </w:r>
      <w:r w:rsidR="006F4E92" w:rsidRPr="002434C9">
        <w:t>onditions 3.27 and 3.29 of Marine Licence CML2365</w:t>
      </w:r>
      <w:r w:rsidR="002434C9" w:rsidRPr="002434C9">
        <w:t xml:space="preserve">, outlined in </w:t>
      </w:r>
      <w:r w:rsidR="002434C9" w:rsidRPr="002434C9">
        <w:fldChar w:fldCharType="begin"/>
      </w:r>
      <w:r w:rsidR="002434C9" w:rsidRPr="002434C9">
        <w:instrText xml:space="preserve"> REF _Ref230105528 \h  \* MERGEFORMAT </w:instrText>
      </w:r>
      <w:r w:rsidR="002434C9" w:rsidRPr="002434C9">
        <w:fldChar w:fldCharType="separate"/>
      </w:r>
      <w:r w:rsidR="00AB4A42">
        <w:t xml:space="preserve">Table </w:t>
      </w:r>
      <w:r w:rsidR="00AB4A42">
        <w:rPr>
          <w:noProof/>
        </w:rPr>
        <w:t>1.1</w:t>
      </w:r>
      <w:r w:rsidR="002434C9" w:rsidRPr="002434C9">
        <w:fldChar w:fldCharType="end"/>
      </w:r>
      <w:r w:rsidR="002434C9" w:rsidRPr="002434C9">
        <w:t>.</w:t>
      </w:r>
    </w:p>
    <w:p w14:paraId="369A772A" w14:textId="0D8B1081" w:rsidR="002434C9" w:rsidRDefault="002434C9" w:rsidP="0042410E">
      <w:pPr>
        <w:pStyle w:val="Caption"/>
        <w:keepNext/>
      </w:pPr>
      <w:bookmarkStart w:id="3" w:name="_Ref230105528"/>
      <w:bookmarkStart w:id="4" w:name="_Toc230357517"/>
      <w:r>
        <w:t xml:space="preserve">Table </w:t>
      </w:r>
      <w:fldSimple w:instr=" STYLEREF 1 \s ">
        <w:r w:rsidR="00AB4A42">
          <w:rPr>
            <w:noProof/>
          </w:rPr>
          <w:t>1</w:t>
        </w:r>
      </w:fldSimple>
      <w:r>
        <w:t>.</w:t>
      </w:r>
      <w:fldSimple w:instr=" SEQ Table \* ARABIC \s 1 ">
        <w:r w:rsidR="00AB4A42">
          <w:rPr>
            <w:noProof/>
          </w:rPr>
          <w:t>1</w:t>
        </w:r>
      </w:fldSimple>
      <w:bookmarkEnd w:id="3"/>
      <w:r>
        <w:tab/>
      </w:r>
      <w:r w:rsidR="00D77242">
        <w:t xml:space="preserve">Relevant </w:t>
      </w:r>
      <w:r>
        <w:t>Marine Licence Conditions</w:t>
      </w:r>
      <w:bookmarkEnd w:id="4"/>
    </w:p>
    <w:tbl>
      <w:tblPr>
        <w:tblStyle w:val="AnatecTable"/>
        <w:tblW w:w="0" w:type="auto"/>
        <w:tblLook w:val="04A0" w:firstRow="1" w:lastRow="0" w:firstColumn="1" w:lastColumn="0" w:noHBand="0" w:noVBand="1"/>
      </w:tblPr>
      <w:tblGrid>
        <w:gridCol w:w="2096"/>
        <w:gridCol w:w="6920"/>
      </w:tblGrid>
      <w:tr w:rsidR="00EA312A" w14:paraId="4653784B" w14:textId="77777777" w:rsidTr="0042410E">
        <w:trPr>
          <w:cnfStyle w:val="100000000000" w:firstRow="1" w:lastRow="0" w:firstColumn="0" w:lastColumn="0" w:oddVBand="0" w:evenVBand="0" w:oddHBand="0" w:evenHBand="0" w:firstRowFirstColumn="0" w:firstRowLastColumn="0" w:lastRowFirstColumn="0" w:lastRowLastColumn="0"/>
        </w:trPr>
        <w:tc>
          <w:tcPr>
            <w:tcW w:w="2096" w:type="dxa"/>
          </w:tcPr>
          <w:p w14:paraId="06FDF577" w14:textId="45C2A505" w:rsidR="00EA312A" w:rsidRDefault="00D77242" w:rsidP="00EA312A">
            <w:r>
              <w:t>Reference</w:t>
            </w:r>
          </w:p>
        </w:tc>
        <w:tc>
          <w:tcPr>
            <w:tcW w:w="6920" w:type="dxa"/>
          </w:tcPr>
          <w:p w14:paraId="57BE9B2A" w14:textId="7860A6CF" w:rsidR="00EA312A" w:rsidRDefault="00D77242" w:rsidP="00EA312A">
            <w:r>
              <w:t>Condition</w:t>
            </w:r>
          </w:p>
        </w:tc>
      </w:tr>
      <w:tr w:rsidR="00EA312A" w14:paraId="7DCE9371" w14:textId="77777777" w:rsidTr="0042410E">
        <w:tc>
          <w:tcPr>
            <w:tcW w:w="2096" w:type="dxa"/>
          </w:tcPr>
          <w:p w14:paraId="0B3AAD84" w14:textId="34CA72CA" w:rsidR="00EA312A" w:rsidRDefault="00EA312A" w:rsidP="00EA312A">
            <w:r w:rsidRPr="006F4E92">
              <w:rPr>
                <w:color w:val="auto"/>
              </w:rPr>
              <w:t>3.2</w:t>
            </w:r>
            <w:r>
              <w:rPr>
                <w:color w:val="auto"/>
              </w:rPr>
              <w:t>7</w:t>
            </w:r>
            <w:r w:rsidR="00B179B5">
              <w:rPr>
                <w:color w:val="auto"/>
              </w:rPr>
              <w:t>.1</w:t>
            </w:r>
          </w:p>
        </w:tc>
        <w:tc>
          <w:tcPr>
            <w:tcW w:w="6920" w:type="dxa"/>
          </w:tcPr>
          <w:p w14:paraId="651F5361" w14:textId="5EB03C72" w:rsidR="00EA312A" w:rsidRPr="0042410E" w:rsidRDefault="00EA312A" w:rsidP="00EA312A">
            <w:pPr>
              <w:rPr>
                <w:i/>
                <w:iCs/>
              </w:rPr>
            </w:pPr>
            <w:r w:rsidRPr="0042410E">
              <w:rPr>
                <w:i/>
                <w:iCs/>
              </w:rPr>
              <w:t>The Licence Holder must submit a VMP to the Licensing Authority for written approval at least 4 months prior to commencement of the Licensed Activities. No Licensed Activities may be undertaken prior to written approval from the Licensing Authority.</w:t>
            </w:r>
          </w:p>
        </w:tc>
      </w:tr>
      <w:tr w:rsidR="00B179B5" w14:paraId="424C5C78" w14:textId="77777777" w:rsidTr="0042410E">
        <w:tc>
          <w:tcPr>
            <w:tcW w:w="2096" w:type="dxa"/>
          </w:tcPr>
          <w:p w14:paraId="2D4636A7" w14:textId="5C4E10A2" w:rsidR="00B179B5" w:rsidRPr="00B179B5" w:rsidRDefault="00B179B5" w:rsidP="00EA312A">
            <w:r>
              <w:t>3.27.2</w:t>
            </w:r>
          </w:p>
        </w:tc>
        <w:tc>
          <w:tcPr>
            <w:tcW w:w="6920" w:type="dxa"/>
          </w:tcPr>
          <w:p w14:paraId="79AB78F6" w14:textId="1C1CA1BB" w:rsidR="00B179B5" w:rsidRPr="0042410E" w:rsidRDefault="00B179B5" w:rsidP="00EA312A">
            <w:pPr>
              <w:rPr>
                <w:i/>
                <w:iCs/>
              </w:rPr>
            </w:pPr>
            <w:r w:rsidRPr="0042410E">
              <w:rPr>
                <w:i/>
                <w:iCs/>
              </w:rPr>
              <w:t>The Licence Holder must ensure that any actions outlined in the documents detailed in condition 3.27.1 are implemented as approved in writing by the Licensing Authority. Any proposed changes to the actions outlined in the documents must be submitted to, and approved in writing by the Licensing Authority prior to any changes being enacted.</w:t>
            </w:r>
          </w:p>
        </w:tc>
      </w:tr>
      <w:tr w:rsidR="00EA312A" w14:paraId="5C1AE92D" w14:textId="77777777" w:rsidTr="0042410E">
        <w:tc>
          <w:tcPr>
            <w:tcW w:w="2096" w:type="dxa"/>
          </w:tcPr>
          <w:p w14:paraId="7538636E" w14:textId="773D53AA" w:rsidR="00EA312A" w:rsidRDefault="00EA312A" w:rsidP="00EA312A">
            <w:r>
              <w:t>3.29</w:t>
            </w:r>
            <w:r w:rsidR="007C3B46">
              <w:t>.1</w:t>
            </w:r>
          </w:p>
        </w:tc>
        <w:tc>
          <w:tcPr>
            <w:tcW w:w="6920" w:type="dxa"/>
          </w:tcPr>
          <w:p w14:paraId="0F4B702B" w14:textId="06A2DFF8" w:rsidR="00EA312A" w:rsidRPr="0042410E" w:rsidRDefault="00536EE0" w:rsidP="00536EE0">
            <w:pPr>
              <w:rPr>
                <w:i/>
                <w:iCs/>
              </w:rPr>
            </w:pPr>
            <w:r w:rsidRPr="0042410E">
              <w:rPr>
                <w:i/>
                <w:iCs/>
              </w:rPr>
              <w:t xml:space="preserve">The Licence Holder must submit a NSP to the Licensing Authority for written approval at least 4 months prior to commencement of the </w:t>
            </w:r>
            <w:r w:rsidRPr="0042410E">
              <w:rPr>
                <w:i/>
                <w:iCs/>
              </w:rPr>
              <w:lastRenderedPageBreak/>
              <w:t>Licensed Activities. No Licensed Activities may be undertaken prior to written approval from the Licensing Authority.</w:t>
            </w:r>
          </w:p>
        </w:tc>
      </w:tr>
      <w:tr w:rsidR="007C3B46" w14:paraId="5E87D95E" w14:textId="77777777" w:rsidTr="0042410E">
        <w:tc>
          <w:tcPr>
            <w:tcW w:w="2096" w:type="dxa"/>
          </w:tcPr>
          <w:p w14:paraId="2CD5741F" w14:textId="30661C01" w:rsidR="007C3B46" w:rsidRDefault="007C3B46" w:rsidP="00EA312A">
            <w:r>
              <w:lastRenderedPageBreak/>
              <w:t>3.29.2</w:t>
            </w:r>
          </w:p>
        </w:tc>
        <w:tc>
          <w:tcPr>
            <w:tcW w:w="6920" w:type="dxa"/>
          </w:tcPr>
          <w:p w14:paraId="13D49C96" w14:textId="1A72C4EB" w:rsidR="007C3B46" w:rsidRPr="0042410E" w:rsidRDefault="007C3B46" w:rsidP="00536EE0">
            <w:pPr>
              <w:rPr>
                <w:i/>
                <w:iCs/>
              </w:rPr>
            </w:pPr>
            <w:r w:rsidRPr="0042410E">
              <w:rPr>
                <w:i/>
                <w:iCs/>
              </w:rPr>
              <w:t>The Licence Holder must ensure that any actions outlined in the documents detailed in condition 3.29.1 are implemented as approved in writing by the Licensing Authority. Any proposed changes to the actions outlined in the documents must be submitted to, and approved in writing by the Licensing Authority prior to any changes being enacted.</w:t>
            </w:r>
          </w:p>
        </w:tc>
      </w:tr>
    </w:tbl>
    <w:p w14:paraId="782CBEAF" w14:textId="555C4733" w:rsidR="00C33EEF" w:rsidRPr="00551058" w:rsidRDefault="004708E5" w:rsidP="0042410E">
      <w:pPr>
        <w:spacing w:before="240"/>
      </w:pPr>
      <w:r>
        <w:t xml:space="preserve">As part of discharging these conditions, </w:t>
      </w:r>
      <w:r w:rsidR="00C33EEF">
        <w:t>the MCA have requested</w:t>
      </w:r>
      <w:r w:rsidR="00D82AD5">
        <w:t xml:space="preserve"> that the VMP </w:t>
      </w:r>
      <w:r w:rsidR="0066603A">
        <w:t>is supported by</w:t>
      </w:r>
      <w:r w:rsidR="00C33EEF">
        <w:t xml:space="preserve"> </w:t>
      </w:r>
      <w:r w:rsidR="00DB5629">
        <w:t>“</w:t>
      </w:r>
      <w:r w:rsidR="00DB5629" w:rsidRPr="0042410E">
        <w:rPr>
          <w:i/>
        </w:rPr>
        <w:t>site and time specific analysis of vessel traffic volumes at the point of cable lay crossing the shipping lane</w:t>
      </w:r>
      <w:r w:rsidR="00DB5629">
        <w:t>”</w:t>
      </w:r>
      <w:r w:rsidR="003741ED">
        <w:t xml:space="preserve"> with “</w:t>
      </w:r>
      <w:r w:rsidR="003741ED" w:rsidRPr="0042410E">
        <w:rPr>
          <w:i/>
        </w:rPr>
        <w:t>detail on how interactions will be minimised</w:t>
      </w:r>
      <w:r w:rsidR="00842D5C">
        <w:t>”.</w:t>
      </w:r>
    </w:p>
    <w:p w14:paraId="797AE98A" w14:textId="5AEB81E4" w:rsidR="00770E6C" w:rsidRPr="00551058" w:rsidRDefault="004E3F73" w:rsidP="00770E6C">
      <w:pPr>
        <w:pStyle w:val="Heading2"/>
      </w:pPr>
      <w:bookmarkStart w:id="5" w:name="_Toc230357484"/>
      <w:r w:rsidRPr="00551058">
        <w:t>Automatic Identification System</w:t>
      </w:r>
      <w:r w:rsidR="002B2559" w:rsidRPr="00551058">
        <w:t xml:space="preserve"> Data</w:t>
      </w:r>
      <w:bookmarkEnd w:id="5"/>
    </w:p>
    <w:p w14:paraId="50148E49" w14:textId="244C3C02" w:rsidR="00770E6C" w:rsidRPr="00551058" w:rsidRDefault="001E1F1A" w:rsidP="00770E6C">
      <w:r w:rsidRPr="00551058">
        <w:t xml:space="preserve">Vessel traffic movements have been characterised in this report using </w:t>
      </w:r>
      <w:r w:rsidR="00E462BC">
        <w:t>12</w:t>
      </w:r>
      <w:r w:rsidR="00E462BC" w:rsidRPr="00551058">
        <w:t xml:space="preserve"> </w:t>
      </w:r>
      <w:r w:rsidR="00770E6C" w:rsidRPr="00551058">
        <w:t xml:space="preserve">months of </w:t>
      </w:r>
      <w:r w:rsidR="00B163CE">
        <w:t>Automatic Identification System (</w:t>
      </w:r>
      <w:r w:rsidR="00770E6C" w:rsidRPr="00551058">
        <w:t>AIS</w:t>
      </w:r>
      <w:r w:rsidR="00B163CE">
        <w:t>)</w:t>
      </w:r>
      <w:r w:rsidR="00770E6C" w:rsidRPr="00551058">
        <w:t xml:space="preserve"> data spanning the entirety of 2025 (1</w:t>
      </w:r>
      <w:r w:rsidR="00770E6C" w:rsidRPr="00551058">
        <w:rPr>
          <w:vertAlign w:val="superscript"/>
        </w:rPr>
        <w:t>st</w:t>
      </w:r>
      <w:r w:rsidR="00770E6C" w:rsidRPr="00551058">
        <w:t xml:space="preserve"> January – 31</w:t>
      </w:r>
      <w:r w:rsidR="00770E6C" w:rsidRPr="00551058">
        <w:rPr>
          <w:vertAlign w:val="superscript"/>
        </w:rPr>
        <w:t>st</w:t>
      </w:r>
      <w:r w:rsidR="00770E6C" w:rsidRPr="00551058">
        <w:t xml:space="preserve"> December) </w:t>
      </w:r>
      <w:r w:rsidRPr="00551058">
        <w:t xml:space="preserve">to ensure full seasonality is captured. </w:t>
      </w:r>
      <w:r w:rsidR="00770E6C" w:rsidRPr="00551058">
        <w:t xml:space="preserve">The data was collected via a combination of terrestrial and satellite receivers, which achieved </w:t>
      </w:r>
      <w:r w:rsidR="00DD4A24">
        <w:t>excellent</w:t>
      </w:r>
      <w:r w:rsidR="00770E6C" w:rsidRPr="00551058">
        <w:t xml:space="preserve"> coverage</w:t>
      </w:r>
      <w:r w:rsidR="00AA1532" w:rsidRPr="00551058">
        <w:t xml:space="preserve"> of the area with no significant periods of downtime. </w:t>
      </w:r>
      <w:r w:rsidR="003E39FC" w:rsidRPr="00551058">
        <w:t xml:space="preserve">The data was also screened for any traffic of a temporary nature (e.g., </w:t>
      </w:r>
      <w:r w:rsidR="00946489">
        <w:t xml:space="preserve">active </w:t>
      </w:r>
      <w:r w:rsidR="003E39FC" w:rsidRPr="00551058">
        <w:t>surveys) and removed to ensure a representative dataset.</w:t>
      </w:r>
    </w:p>
    <w:p w14:paraId="15AFC1A8" w14:textId="0839333B" w:rsidR="006B51CD" w:rsidRPr="00551058" w:rsidRDefault="006B51CD" w:rsidP="00770E6C">
      <w:r w:rsidRPr="00551058">
        <w:t>The carriage of AIS is required on board all vessels of greater than 300 Gross Tonnage (GT) engaged on international voyages, cargo vessels of more than 500GT not engaged on international voyages, passenger vessels irrespective of size built on or after 1</w:t>
      </w:r>
      <w:r w:rsidRPr="00551058">
        <w:rPr>
          <w:vertAlign w:val="superscript"/>
        </w:rPr>
        <w:t>st</w:t>
      </w:r>
      <w:r w:rsidRPr="00551058">
        <w:t xml:space="preserve"> July 2002, and </w:t>
      </w:r>
      <w:r w:rsidR="009853A1">
        <w:t xml:space="preserve">UK/EU </w:t>
      </w:r>
      <w:r w:rsidRPr="00551058">
        <w:t xml:space="preserve">fishing vessels over 15 metres (m) length overall. </w:t>
      </w:r>
      <w:r w:rsidR="0078587E" w:rsidRPr="00551058">
        <w:t>Smaller vessel types such as</w:t>
      </w:r>
      <w:r w:rsidR="00643E47">
        <w:t xml:space="preserve"> small</w:t>
      </w:r>
      <w:r w:rsidR="0078587E" w:rsidRPr="00551058">
        <w:t xml:space="preserve"> fishing vessels and recreational vessels </w:t>
      </w:r>
      <w:r w:rsidR="00183EFD" w:rsidRPr="00551058">
        <w:t>have the potential to</w:t>
      </w:r>
      <w:r w:rsidRPr="00551058">
        <w:t xml:space="preserve"> be under-</w:t>
      </w:r>
      <w:r w:rsidR="002B2559" w:rsidRPr="00551058">
        <w:t>represented;</w:t>
      </w:r>
      <w:r w:rsidR="0078587E" w:rsidRPr="00551058">
        <w:t xml:space="preserve"> </w:t>
      </w:r>
      <w:r w:rsidR="00246DF0">
        <w:t xml:space="preserve">this may be </w:t>
      </w:r>
      <w:r w:rsidR="005668BF">
        <w:t xml:space="preserve">most </w:t>
      </w:r>
      <w:r w:rsidR="00246DF0">
        <w:t>relevant to analysis of the Welsh Channel</w:t>
      </w:r>
      <w:r w:rsidR="005668BF">
        <w:t xml:space="preserve"> for </w:t>
      </w:r>
      <w:r w:rsidR="00246DF0">
        <w:t>which the Port</w:t>
      </w:r>
      <w:r w:rsidR="005668BF">
        <w:t xml:space="preserve"> of </w:t>
      </w:r>
      <w:r w:rsidR="00246DF0">
        <w:t xml:space="preserve">Mostyn have previously indicated </w:t>
      </w:r>
      <w:r w:rsidR="00394089">
        <w:t>vessel transits may be underestimated on AIS.</w:t>
      </w:r>
    </w:p>
    <w:p w14:paraId="09F08147" w14:textId="0468D755" w:rsidR="00592E97" w:rsidRDefault="00592E97" w:rsidP="00592E97">
      <w:pPr>
        <w:pStyle w:val="Heading1"/>
      </w:pPr>
      <w:bookmarkStart w:id="6" w:name="_Toc230357485"/>
      <w:bookmarkStart w:id="7" w:name="_Ref228361273"/>
      <w:r>
        <w:lastRenderedPageBreak/>
        <w:t>Welsh Channel</w:t>
      </w:r>
      <w:bookmarkEnd w:id="6"/>
    </w:p>
    <w:p w14:paraId="2151C6D1" w14:textId="18F5143C" w:rsidR="007B3DC7" w:rsidRDefault="007B3DC7" w:rsidP="007B3DC7">
      <w:r>
        <w:t xml:space="preserve">This section </w:t>
      </w:r>
      <w:r w:rsidRPr="00551058">
        <w:t xml:space="preserve">considers the portion of the </w:t>
      </w:r>
      <w:r>
        <w:t xml:space="preserve">Proposed Development </w:t>
      </w:r>
      <w:r w:rsidRPr="00551058">
        <w:t xml:space="preserve">that lies </w:t>
      </w:r>
      <w:r w:rsidR="00D33A17">
        <w:t xml:space="preserve">within the Welsh Channel (which </w:t>
      </w:r>
      <w:r w:rsidR="005500CE">
        <w:t>the Port of Mostyn limits</w:t>
      </w:r>
      <w:r w:rsidR="00CA13DC">
        <w:t xml:space="preserve"> extend through)</w:t>
      </w:r>
      <w:r w:rsidR="00CE00EB">
        <w:t>,</w:t>
      </w:r>
      <w:r w:rsidR="00CA13DC">
        <w:t xml:space="preserve"> defined as </w:t>
      </w:r>
      <w:r w:rsidR="00FA6D8E">
        <w:t xml:space="preserve">being </w:t>
      </w:r>
      <w:r w:rsidRPr="00551058">
        <w:t xml:space="preserve">between the charted intertidal zone south of the Welsh Channel and the northern boundary of the charted Port of Mostyn limits; this portion of the </w:t>
      </w:r>
      <w:r>
        <w:t xml:space="preserve">Proposed Development </w:t>
      </w:r>
      <w:r w:rsidRPr="00551058">
        <w:t>is hereafter referred to as the ‘</w:t>
      </w:r>
      <w:r>
        <w:t>Welsh Channel Portion of the Proposed Development’</w:t>
      </w:r>
      <w:r w:rsidRPr="00551058">
        <w:t xml:space="preserve">. A </w:t>
      </w:r>
      <w:r w:rsidR="006240F1">
        <w:t>one nautical mile (</w:t>
      </w:r>
      <w:r w:rsidRPr="00551058">
        <w:t>nm</w:t>
      </w:r>
      <w:r w:rsidR="006240F1">
        <w:t>)</w:t>
      </w:r>
      <w:r w:rsidRPr="00551058">
        <w:t xml:space="preserve"> buffer of the </w:t>
      </w:r>
      <w:r>
        <w:t xml:space="preserve">Welsh Channel Portion of the Proposed Development </w:t>
      </w:r>
      <w:r w:rsidRPr="00551058">
        <w:t>has also been defined as the area of analysis and is hereafter referred to as the ‘</w:t>
      </w:r>
      <w:r>
        <w:t xml:space="preserve">Welsh Channel </w:t>
      </w:r>
      <w:r w:rsidRPr="00551058">
        <w:t xml:space="preserve">Study Area’. The </w:t>
      </w:r>
      <w:r>
        <w:t>Welsh Channel Portion of the Proposed Development</w:t>
      </w:r>
      <w:r w:rsidRPr="00551058">
        <w:t xml:space="preserve"> and </w:t>
      </w:r>
      <w:r>
        <w:t xml:space="preserve">Welsh Channel </w:t>
      </w:r>
      <w:r w:rsidRPr="00551058">
        <w:t xml:space="preserve">Study Area are presented in </w:t>
      </w:r>
      <w:r w:rsidRPr="00551058">
        <w:fldChar w:fldCharType="begin"/>
      </w:r>
      <w:r w:rsidRPr="00551058">
        <w:instrText xml:space="preserve"> REF _Ref228441442 \h  \* MERGEFORMAT </w:instrText>
      </w:r>
      <w:r w:rsidRPr="00551058">
        <w:fldChar w:fldCharType="separate"/>
      </w:r>
      <w:r w:rsidR="00AB4A42" w:rsidRPr="00551058">
        <w:t xml:space="preserve">Figure </w:t>
      </w:r>
      <w:r w:rsidR="00AB4A42">
        <w:rPr>
          <w:noProof/>
        </w:rPr>
        <w:t>2.1</w:t>
      </w:r>
      <w:r w:rsidRPr="00551058">
        <w:fldChar w:fldCharType="end"/>
      </w:r>
      <w:r w:rsidRPr="00551058">
        <w:t>.</w:t>
      </w:r>
    </w:p>
    <w:p w14:paraId="594508D4" w14:textId="72987BA0" w:rsidR="007B3DC7" w:rsidRPr="00551058" w:rsidRDefault="007B3DC7" w:rsidP="007B3DC7">
      <w:r w:rsidRPr="00551058">
        <w:t xml:space="preserve">Note that, in addition to the Welsh Channel, there are two northwest/southeast channels within the northern half of the </w:t>
      </w:r>
      <w:r>
        <w:t xml:space="preserve">Welsh Channel </w:t>
      </w:r>
      <w:r w:rsidRPr="00551058">
        <w:t>Study Area</w:t>
      </w:r>
      <w:r w:rsidR="002752ED">
        <w:t xml:space="preserve"> </w:t>
      </w:r>
      <w:r w:rsidR="00675311">
        <w:t xml:space="preserve">leading </w:t>
      </w:r>
      <w:r w:rsidR="00880AD8">
        <w:t xml:space="preserve">inshore </w:t>
      </w:r>
      <w:r w:rsidR="00675311">
        <w:t xml:space="preserve">from the Outer Passage </w:t>
      </w:r>
      <w:r w:rsidR="002752ED">
        <w:t>(including the Mid Hoyle Channel)</w:t>
      </w:r>
      <w:r w:rsidRPr="00551058">
        <w:t>; the remainder of the Proposed Development</w:t>
      </w:r>
      <w:r w:rsidR="00EE6268">
        <w:t xml:space="preserve"> </w:t>
      </w:r>
      <w:r w:rsidRPr="00551058">
        <w:t>passes through the western of these.</w:t>
      </w:r>
    </w:p>
    <w:p w14:paraId="4870A31A" w14:textId="364B70AD" w:rsidR="007B3DC7" w:rsidRPr="00551058" w:rsidRDefault="00260067" w:rsidP="007B3DC7">
      <w:pPr>
        <w:keepNext/>
      </w:pPr>
      <w:r>
        <w:rPr>
          <w:noProof/>
        </w:rPr>
        <w:drawing>
          <wp:inline distT="0" distB="0" distL="0" distR="0" wp14:anchorId="58810BAE" wp14:editId="432E4F3A">
            <wp:extent cx="5731510" cy="3472815"/>
            <wp:effectExtent l="0" t="0" r="2540" b="0"/>
            <wp:docPr id="28969380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693807" name="Picture 289693807"/>
                    <pic:cNvPicPr/>
                  </pic:nvPicPr>
                  <pic:blipFill>
                    <a:blip r:embed="rId16"/>
                    <a:stretch>
                      <a:fillRect/>
                    </a:stretch>
                  </pic:blipFill>
                  <pic:spPr>
                    <a:xfrm>
                      <a:off x="0" y="0"/>
                      <a:ext cx="5731510" cy="3472815"/>
                    </a:xfrm>
                    <a:prstGeom prst="rect">
                      <a:avLst/>
                    </a:prstGeom>
                  </pic:spPr>
                </pic:pic>
              </a:graphicData>
            </a:graphic>
          </wp:inline>
        </w:drawing>
      </w:r>
    </w:p>
    <w:p w14:paraId="4419800A" w14:textId="25E3333D" w:rsidR="007B3DC7" w:rsidRPr="007B3DC7" w:rsidRDefault="007B3DC7" w:rsidP="007B3DC7">
      <w:pPr>
        <w:pStyle w:val="Caption"/>
      </w:pPr>
      <w:bookmarkStart w:id="8" w:name="_Ref228441442"/>
      <w:bookmarkStart w:id="9" w:name="_Toc230357503"/>
      <w:r w:rsidRPr="00551058">
        <w:t xml:space="preserve">Figure </w:t>
      </w:r>
      <w:fldSimple w:instr=" STYLEREF 1 \s ">
        <w:r w:rsidR="00AB4A42">
          <w:rPr>
            <w:noProof/>
          </w:rPr>
          <w:t>2</w:t>
        </w:r>
      </w:fldSimple>
      <w:r w:rsidR="00FB2C8D">
        <w:t>.</w:t>
      </w:r>
      <w:fldSimple w:instr=" SEQ Figure \* ARABIC \s 1 ">
        <w:r w:rsidR="00AB4A42">
          <w:rPr>
            <w:noProof/>
          </w:rPr>
          <w:t>1</w:t>
        </w:r>
      </w:fldSimple>
      <w:bookmarkEnd w:id="8"/>
      <w:r w:rsidRPr="00551058">
        <w:tab/>
        <w:t xml:space="preserve">Overview of </w:t>
      </w:r>
      <w:r>
        <w:t>the Welsh Channel Portion of the Proposed Development</w:t>
      </w:r>
      <w:r w:rsidRPr="00551058">
        <w:t xml:space="preserve"> and </w:t>
      </w:r>
      <w:r>
        <w:t xml:space="preserve">Welsh Channel </w:t>
      </w:r>
      <w:r w:rsidRPr="00551058">
        <w:t>Study Area</w:t>
      </w:r>
      <w:bookmarkEnd w:id="9"/>
    </w:p>
    <w:p w14:paraId="71BBAA6B" w14:textId="45EC0109" w:rsidR="00CC67CD" w:rsidRPr="00551058" w:rsidRDefault="00627700" w:rsidP="007B3DC7">
      <w:pPr>
        <w:pStyle w:val="Heading2"/>
      </w:pPr>
      <w:bookmarkStart w:id="10" w:name="_Ref229996147"/>
      <w:bookmarkStart w:id="11" w:name="_Toc230357486"/>
      <w:r w:rsidRPr="00551058">
        <w:t>Location</w:t>
      </w:r>
      <w:r w:rsidR="00041BB8" w:rsidRPr="00551058">
        <w:t>-</w:t>
      </w:r>
      <w:r w:rsidRPr="00551058">
        <w:t xml:space="preserve">Based </w:t>
      </w:r>
      <w:r w:rsidR="00CC67CD" w:rsidRPr="00551058">
        <w:t>Vessel Traffic Analysis</w:t>
      </w:r>
      <w:bookmarkEnd w:id="7"/>
      <w:bookmarkEnd w:id="10"/>
      <w:bookmarkEnd w:id="11"/>
    </w:p>
    <w:p w14:paraId="477CCCE7" w14:textId="2B6CF03F" w:rsidR="00295E5F" w:rsidRPr="00551058" w:rsidRDefault="00BD2F5A" w:rsidP="007B3DC7">
      <w:r w:rsidRPr="00551058">
        <w:t xml:space="preserve">This section undertakes an analysis of the 12-month AIS dataset </w:t>
      </w:r>
      <w:r w:rsidR="00511AA8" w:rsidRPr="00551058">
        <w:t xml:space="preserve">within the </w:t>
      </w:r>
      <w:r w:rsidR="000E6925">
        <w:t xml:space="preserve">Welsh Channel </w:t>
      </w:r>
      <w:r w:rsidR="000E6925" w:rsidRPr="00551058">
        <w:t>Study Area</w:t>
      </w:r>
      <w:r w:rsidRPr="00551058">
        <w:t xml:space="preserve"> in terms of vessel counts, types and sizes.</w:t>
      </w:r>
    </w:p>
    <w:p w14:paraId="0EBDC944" w14:textId="073AB583" w:rsidR="00F744D7" w:rsidRPr="00551058" w:rsidRDefault="00F744D7" w:rsidP="007B3DC7">
      <w:pPr>
        <w:pStyle w:val="Heading3"/>
      </w:pPr>
      <w:bookmarkStart w:id="12" w:name="_Toc230357487"/>
      <w:r w:rsidRPr="00551058">
        <w:lastRenderedPageBreak/>
        <w:t xml:space="preserve">Vessel </w:t>
      </w:r>
      <w:r w:rsidR="0002738C" w:rsidRPr="00551058">
        <w:t>Count and Type</w:t>
      </w:r>
      <w:bookmarkEnd w:id="12"/>
    </w:p>
    <w:p w14:paraId="024D5120" w14:textId="749408A6" w:rsidR="00F42372" w:rsidRPr="00551058" w:rsidRDefault="00F42372" w:rsidP="00F42372">
      <w:r w:rsidRPr="00551058">
        <w:fldChar w:fldCharType="begin"/>
      </w:r>
      <w:r w:rsidRPr="00551058">
        <w:instrText xml:space="preserve"> REF _Ref228353401 \h </w:instrText>
      </w:r>
      <w:r w:rsidR="00551058">
        <w:instrText xml:space="preserve"> \* MERGEFORMAT </w:instrText>
      </w:r>
      <w:r w:rsidRPr="00551058">
        <w:fldChar w:fldCharType="separate"/>
      </w:r>
      <w:r w:rsidR="00AB4A42" w:rsidRPr="00551058">
        <w:t xml:space="preserve">Figure </w:t>
      </w:r>
      <w:r w:rsidR="00AB4A42">
        <w:rPr>
          <w:noProof/>
        </w:rPr>
        <w:t>2.2</w:t>
      </w:r>
      <w:r w:rsidRPr="00551058">
        <w:fldChar w:fldCharType="end"/>
      </w:r>
      <w:r w:rsidRPr="00551058">
        <w:t xml:space="preserve"> presents the vessels recorded on AIS within the </w:t>
      </w:r>
      <w:r w:rsidR="000E6925">
        <w:t xml:space="preserve">Welsh Channel </w:t>
      </w:r>
      <w:r w:rsidR="000E6925" w:rsidRPr="00551058">
        <w:t>Study Area</w:t>
      </w:r>
      <w:r w:rsidRPr="00551058">
        <w:t xml:space="preserve"> during the 12-month period, colour-coded by </w:t>
      </w:r>
      <w:r w:rsidR="006E332D">
        <w:t xml:space="preserve">vessel </w:t>
      </w:r>
      <w:r w:rsidRPr="00551058">
        <w:t>type.</w:t>
      </w:r>
      <w:r w:rsidR="004F4B3A" w:rsidRPr="00551058">
        <w:t xml:space="preserve"> Following this, </w:t>
      </w:r>
      <w:r w:rsidR="004F4B3A" w:rsidRPr="00551058">
        <w:fldChar w:fldCharType="begin"/>
      </w:r>
      <w:r w:rsidR="004F4B3A" w:rsidRPr="00551058">
        <w:instrText xml:space="preserve"> REF _Ref228356395 \h </w:instrText>
      </w:r>
      <w:r w:rsidR="00551058">
        <w:instrText xml:space="preserve"> \* MERGEFORMAT </w:instrText>
      </w:r>
      <w:r w:rsidR="004F4B3A" w:rsidRPr="00551058">
        <w:fldChar w:fldCharType="separate"/>
      </w:r>
      <w:r w:rsidR="00AB4A42" w:rsidRPr="00551058">
        <w:t xml:space="preserve">Figure </w:t>
      </w:r>
      <w:r w:rsidR="00AB4A42">
        <w:rPr>
          <w:noProof/>
        </w:rPr>
        <w:t>2.3</w:t>
      </w:r>
      <w:r w:rsidR="004F4B3A" w:rsidRPr="00551058">
        <w:fldChar w:fldCharType="end"/>
      </w:r>
      <w:r w:rsidR="004F4B3A" w:rsidRPr="00551058">
        <w:t xml:space="preserve"> presents the number of vessels recorded during each month of the 12-month period, broken down by vessel type.</w:t>
      </w:r>
    </w:p>
    <w:p w14:paraId="2B10C138" w14:textId="66614D9F" w:rsidR="00C26B91" w:rsidRPr="00551058" w:rsidRDefault="00260067" w:rsidP="00C26B91">
      <w:pPr>
        <w:keepNext/>
      </w:pPr>
      <w:r>
        <w:rPr>
          <w:noProof/>
        </w:rPr>
        <w:drawing>
          <wp:inline distT="0" distB="0" distL="0" distR="0" wp14:anchorId="6997C5F7" wp14:editId="3DDCB3C1">
            <wp:extent cx="5731510" cy="3472815"/>
            <wp:effectExtent l="0" t="0" r="2540" b="0"/>
            <wp:docPr id="43451106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511068" name="Picture 434511068"/>
                    <pic:cNvPicPr/>
                  </pic:nvPicPr>
                  <pic:blipFill>
                    <a:blip r:embed="rId17"/>
                    <a:stretch>
                      <a:fillRect/>
                    </a:stretch>
                  </pic:blipFill>
                  <pic:spPr>
                    <a:xfrm>
                      <a:off x="0" y="0"/>
                      <a:ext cx="5731510" cy="3472815"/>
                    </a:xfrm>
                    <a:prstGeom prst="rect">
                      <a:avLst/>
                    </a:prstGeom>
                  </pic:spPr>
                </pic:pic>
              </a:graphicData>
            </a:graphic>
          </wp:inline>
        </w:drawing>
      </w:r>
    </w:p>
    <w:p w14:paraId="02C4870E" w14:textId="316BEDFF" w:rsidR="00C26B91" w:rsidRPr="00551058" w:rsidRDefault="00C26B91" w:rsidP="00C26B91">
      <w:pPr>
        <w:pStyle w:val="Caption"/>
        <w:jc w:val="both"/>
      </w:pPr>
      <w:bookmarkStart w:id="13" w:name="_Ref228353401"/>
      <w:bookmarkStart w:id="14" w:name="_Toc230357504"/>
      <w:r w:rsidRPr="00551058">
        <w:t xml:space="preserve">Figure </w:t>
      </w:r>
      <w:fldSimple w:instr=" STYLEREF 1 \s ">
        <w:r w:rsidR="00AB4A42">
          <w:rPr>
            <w:noProof/>
          </w:rPr>
          <w:t>2</w:t>
        </w:r>
      </w:fldSimple>
      <w:r w:rsidR="00FB2C8D">
        <w:t>.</w:t>
      </w:r>
      <w:fldSimple w:instr=" SEQ Figure \* ARABIC \s 1 ">
        <w:r w:rsidR="00AB4A42">
          <w:rPr>
            <w:noProof/>
          </w:rPr>
          <w:t>2</w:t>
        </w:r>
      </w:fldSimple>
      <w:bookmarkEnd w:id="13"/>
      <w:r w:rsidRPr="00551058">
        <w:tab/>
        <w:t xml:space="preserve">Vessels by Type </w:t>
      </w:r>
      <w:r w:rsidR="00052046">
        <w:t xml:space="preserve">within </w:t>
      </w:r>
      <w:r w:rsidR="00052046" w:rsidRPr="00052046">
        <w:t xml:space="preserve">Welsh Channel Study Area </w:t>
      </w:r>
      <w:r w:rsidRPr="00551058">
        <w:t>(12 months, 2025)</w:t>
      </w:r>
      <w:bookmarkEnd w:id="14"/>
    </w:p>
    <w:p w14:paraId="45FFA2C0" w14:textId="296508B6" w:rsidR="00AD39AA" w:rsidRPr="00551058" w:rsidRDefault="00BE6ABE" w:rsidP="00AD39AA">
      <w:pPr>
        <w:keepNext/>
      </w:pPr>
      <w:r w:rsidRPr="00551058">
        <w:rPr>
          <w:noProof/>
        </w:rPr>
        <w:lastRenderedPageBreak/>
        <w:drawing>
          <wp:inline distT="0" distB="0" distL="0" distR="0" wp14:anchorId="45A9F6B8" wp14:editId="4C6400DC">
            <wp:extent cx="5762625" cy="3591945"/>
            <wp:effectExtent l="0" t="0" r="0" b="8890"/>
            <wp:docPr id="671165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7171" cy="3594778"/>
                    </a:xfrm>
                    <a:prstGeom prst="rect">
                      <a:avLst/>
                    </a:prstGeom>
                    <a:noFill/>
                  </pic:spPr>
                </pic:pic>
              </a:graphicData>
            </a:graphic>
          </wp:inline>
        </w:drawing>
      </w:r>
    </w:p>
    <w:p w14:paraId="665C5C6B" w14:textId="1E323217" w:rsidR="00EB196E" w:rsidRPr="00551058" w:rsidRDefault="00AD39AA" w:rsidP="00AD39AA">
      <w:pPr>
        <w:pStyle w:val="Caption"/>
        <w:jc w:val="both"/>
      </w:pPr>
      <w:bookmarkStart w:id="15" w:name="_Ref228356395"/>
      <w:bookmarkStart w:id="16" w:name="_Toc230357505"/>
      <w:r w:rsidRPr="00551058">
        <w:t xml:space="preserve">Figure </w:t>
      </w:r>
      <w:fldSimple w:instr=" STYLEREF 1 \s ">
        <w:r w:rsidR="00AB4A42">
          <w:rPr>
            <w:noProof/>
          </w:rPr>
          <w:t>2</w:t>
        </w:r>
      </w:fldSimple>
      <w:r w:rsidR="00FB2C8D">
        <w:t>.</w:t>
      </w:r>
      <w:fldSimple w:instr=" SEQ Figure \* ARABIC \s 1 ">
        <w:r w:rsidR="00AB4A42">
          <w:rPr>
            <w:noProof/>
          </w:rPr>
          <w:t>3</w:t>
        </w:r>
      </w:fldSimple>
      <w:bookmarkEnd w:id="15"/>
      <w:r w:rsidRPr="00551058">
        <w:tab/>
        <w:t xml:space="preserve">Vessel Counts by Month and Type </w:t>
      </w:r>
      <w:r w:rsidR="00052046">
        <w:t xml:space="preserve">within </w:t>
      </w:r>
      <w:r w:rsidR="00052046" w:rsidRPr="00052046">
        <w:t xml:space="preserve">Welsh Channel Study Area </w:t>
      </w:r>
      <w:r w:rsidRPr="00551058">
        <w:t>(12 months, 2025)</w:t>
      </w:r>
      <w:bookmarkEnd w:id="16"/>
      <w:r w:rsidRPr="00551058">
        <w:t xml:space="preserve"> </w:t>
      </w:r>
    </w:p>
    <w:p w14:paraId="7B0143E8" w14:textId="2FAE2CF9" w:rsidR="004271E9" w:rsidRPr="00551058" w:rsidRDefault="00AB31B5" w:rsidP="00F744D7">
      <w:r w:rsidRPr="00551058">
        <w:t xml:space="preserve">Wind farm vessels </w:t>
      </w:r>
      <w:r w:rsidR="00E66187" w:rsidRPr="00551058">
        <w:t>were</w:t>
      </w:r>
      <w:r w:rsidRPr="00551058">
        <w:t xml:space="preserve"> the predominant vessel type within the </w:t>
      </w:r>
      <w:r w:rsidR="000E6925">
        <w:t xml:space="preserve">Welsh Channel </w:t>
      </w:r>
      <w:r w:rsidR="000E6925" w:rsidRPr="00551058">
        <w:t>Study Area</w:t>
      </w:r>
      <w:r w:rsidR="004271E9" w:rsidRPr="00551058">
        <w:t>;</w:t>
      </w:r>
      <w:r w:rsidRPr="00551058">
        <w:t xml:space="preserve"> </w:t>
      </w:r>
      <w:r w:rsidR="004271E9" w:rsidRPr="00551058">
        <w:t xml:space="preserve">over the 12-month period as a whole, these vessels accounted </w:t>
      </w:r>
      <w:r w:rsidRPr="00551058">
        <w:t>for approximately 9</w:t>
      </w:r>
      <w:r w:rsidR="00FF7991" w:rsidRPr="00551058">
        <w:t>7</w:t>
      </w:r>
      <w:r w:rsidRPr="00551058">
        <w:t>% of the traffic</w:t>
      </w:r>
      <w:r w:rsidR="004271E9" w:rsidRPr="00551058">
        <w:t xml:space="preserve"> and at an average frequency of </w:t>
      </w:r>
      <w:r w:rsidR="00451923" w:rsidRPr="00551058">
        <w:t>14</w:t>
      </w:r>
      <w:r w:rsidR="004271E9" w:rsidRPr="00551058">
        <w:t xml:space="preserve"> per day</w:t>
      </w:r>
      <w:r w:rsidR="007C2C8E" w:rsidRPr="00551058">
        <w:t>.</w:t>
      </w:r>
      <w:r w:rsidR="00E66187" w:rsidRPr="00551058">
        <w:t xml:space="preserve"> </w:t>
      </w:r>
      <w:r w:rsidR="007C2C8E" w:rsidRPr="00551058">
        <w:t>T</w:t>
      </w:r>
      <w:r w:rsidR="00E66187" w:rsidRPr="00551058">
        <w:t>h</w:t>
      </w:r>
      <w:r w:rsidR="007C2C8E" w:rsidRPr="00551058">
        <w:t xml:space="preserve">ese vessels </w:t>
      </w:r>
      <w:r w:rsidR="004271E9" w:rsidRPr="00551058">
        <w:t xml:space="preserve">also </w:t>
      </w:r>
      <w:r w:rsidR="00E66187" w:rsidRPr="00551058">
        <w:t xml:space="preserve">maintained </w:t>
      </w:r>
      <w:r w:rsidR="007C2C8E" w:rsidRPr="00551058">
        <w:t xml:space="preserve">their predominance </w:t>
      </w:r>
      <w:r w:rsidR="004271E9" w:rsidRPr="00551058">
        <w:t xml:space="preserve">over other vessel types </w:t>
      </w:r>
      <w:r w:rsidR="007C2C8E" w:rsidRPr="00551058">
        <w:t xml:space="preserve">in the </w:t>
      </w:r>
      <w:r w:rsidR="000E6925">
        <w:t xml:space="preserve">Welsh Channel </w:t>
      </w:r>
      <w:r w:rsidR="000E6925" w:rsidRPr="00551058">
        <w:t>Study Area</w:t>
      </w:r>
      <w:r w:rsidR="007C2C8E" w:rsidRPr="00551058">
        <w:t xml:space="preserve"> </w:t>
      </w:r>
      <w:r w:rsidR="00E66187" w:rsidRPr="00551058">
        <w:t>for each individual month of the 12-month period.</w:t>
      </w:r>
      <w:r w:rsidR="008813DE" w:rsidRPr="00551058">
        <w:t xml:space="preserve"> The remaining vessel types were recorded in small numbers. Tugs accounted for 1% of the data, while ‘other’ vessels (which included </w:t>
      </w:r>
      <w:r w:rsidR="00F846D3">
        <w:t>Royal National Lifeboat Institution (</w:t>
      </w:r>
      <w:r w:rsidR="007F2931">
        <w:t>RNLI</w:t>
      </w:r>
      <w:r w:rsidR="00F846D3">
        <w:t>)</w:t>
      </w:r>
      <w:r w:rsidR="007F2931">
        <w:t xml:space="preserve"> </w:t>
      </w:r>
      <w:r w:rsidR="008813DE" w:rsidRPr="00551058">
        <w:t xml:space="preserve">lifeboats and </w:t>
      </w:r>
      <w:r w:rsidR="002465F4">
        <w:t>Rigid Inflatable Boats (</w:t>
      </w:r>
      <w:r w:rsidR="008813DE" w:rsidRPr="00551058">
        <w:t>RIB</w:t>
      </w:r>
      <w:r w:rsidR="002465F4">
        <w:t>)</w:t>
      </w:r>
      <w:r w:rsidR="008813DE" w:rsidRPr="00551058">
        <w:t>), dredgers, pilot vessels, recreational vessels and cargo vessels each accounted for less than 1%.</w:t>
      </w:r>
    </w:p>
    <w:p w14:paraId="0392268B" w14:textId="4D357D2E" w:rsidR="007578C2" w:rsidRPr="00551058" w:rsidRDefault="004271E9" w:rsidP="00F744D7">
      <w:r w:rsidRPr="00551058">
        <w:t xml:space="preserve">Wind farm vessels </w:t>
      </w:r>
      <w:r w:rsidR="00E66187" w:rsidRPr="00551058">
        <w:t xml:space="preserve">were generally transiting to/from </w:t>
      </w:r>
      <w:r w:rsidR="00016C8A" w:rsidRPr="00551058">
        <w:t xml:space="preserve">the </w:t>
      </w:r>
      <w:r w:rsidR="00E66187" w:rsidRPr="00551058">
        <w:t xml:space="preserve">operational </w:t>
      </w:r>
      <w:r w:rsidR="00C14D96">
        <w:t xml:space="preserve">offshore </w:t>
      </w:r>
      <w:r w:rsidR="00E66187" w:rsidRPr="00551058">
        <w:t xml:space="preserve">wind farms that are </w:t>
      </w:r>
      <w:r w:rsidR="006E3C3B" w:rsidRPr="00551058">
        <w:t>located</w:t>
      </w:r>
      <w:r w:rsidR="00E66187" w:rsidRPr="00551058">
        <w:t xml:space="preserve"> in </w:t>
      </w:r>
      <w:r w:rsidR="00C14D96">
        <w:t xml:space="preserve">the </w:t>
      </w:r>
      <w:r w:rsidR="00E66187" w:rsidRPr="00551058">
        <w:t xml:space="preserve">vicinity; namely, Gwynt y Môr, North Hoyle and Rhyl Flats. As shown in </w:t>
      </w:r>
      <w:r w:rsidR="00E66187" w:rsidRPr="00551058">
        <w:fldChar w:fldCharType="begin"/>
      </w:r>
      <w:r w:rsidR="00E66187" w:rsidRPr="00551058">
        <w:instrText xml:space="preserve"> REF _Ref228353401 \h </w:instrText>
      </w:r>
      <w:r w:rsidR="00551058">
        <w:instrText xml:space="preserve"> \* MERGEFORMAT </w:instrText>
      </w:r>
      <w:r w:rsidR="00E66187" w:rsidRPr="00551058">
        <w:fldChar w:fldCharType="separate"/>
      </w:r>
      <w:r w:rsidR="00AB4A42" w:rsidRPr="00551058">
        <w:t xml:space="preserve">Figure </w:t>
      </w:r>
      <w:r w:rsidR="00AB4A42">
        <w:rPr>
          <w:noProof/>
        </w:rPr>
        <w:t>2.2</w:t>
      </w:r>
      <w:r w:rsidR="00E66187" w:rsidRPr="00551058">
        <w:fldChar w:fldCharType="end"/>
      </w:r>
      <w:r w:rsidR="00E66187" w:rsidRPr="00551058">
        <w:t xml:space="preserve">, these vessels were </w:t>
      </w:r>
      <w:r w:rsidR="0015002A" w:rsidRPr="00551058">
        <w:t xml:space="preserve">generally </w:t>
      </w:r>
      <w:r w:rsidR="00E66187" w:rsidRPr="00551058">
        <w:t>either following the Welsh Channel (</w:t>
      </w:r>
      <w:r w:rsidR="00AA755E">
        <w:t>crossing</w:t>
      </w:r>
      <w:r w:rsidR="00AA755E" w:rsidRPr="00551058">
        <w:t xml:space="preserve"> </w:t>
      </w:r>
      <w:r w:rsidR="00E66187" w:rsidRPr="00551058">
        <w:t xml:space="preserve">through the </w:t>
      </w:r>
      <w:r w:rsidR="00320AC0">
        <w:t>Welsh Channel Portion of the Proposed Development</w:t>
      </w:r>
      <w:r w:rsidR="00E66187" w:rsidRPr="00551058">
        <w:t xml:space="preserve">) </w:t>
      </w:r>
      <w:r w:rsidR="0015002A" w:rsidRPr="00551058">
        <w:t xml:space="preserve">or </w:t>
      </w:r>
      <w:r w:rsidR="00451923" w:rsidRPr="00551058">
        <w:t xml:space="preserve">routeing </w:t>
      </w:r>
      <w:r w:rsidR="0015002A" w:rsidRPr="00551058">
        <w:t xml:space="preserve">northwest/southeast </w:t>
      </w:r>
      <w:r w:rsidR="00E32A26" w:rsidRPr="00551058">
        <w:t xml:space="preserve">through the two </w:t>
      </w:r>
      <w:r w:rsidR="00604FC1">
        <w:t xml:space="preserve">alternative </w:t>
      </w:r>
      <w:r w:rsidR="00E32A26" w:rsidRPr="00551058">
        <w:t xml:space="preserve">channels within the northern portion of the </w:t>
      </w:r>
      <w:r w:rsidR="000E6925">
        <w:t xml:space="preserve">Welsh Channel </w:t>
      </w:r>
      <w:r w:rsidR="000E6925" w:rsidRPr="00551058">
        <w:t>Study Area</w:t>
      </w:r>
      <w:r w:rsidR="00E32A26" w:rsidRPr="00551058">
        <w:t>.</w:t>
      </w:r>
    </w:p>
    <w:p w14:paraId="18E88563" w14:textId="32F43077" w:rsidR="001D2A73" w:rsidRPr="00551058" w:rsidRDefault="000A760F" w:rsidP="00F744D7">
      <w:r w:rsidRPr="00551058">
        <w:t xml:space="preserve">August </w:t>
      </w:r>
      <w:r w:rsidR="00672788" w:rsidRPr="00551058">
        <w:t xml:space="preserve">was </w:t>
      </w:r>
      <w:r w:rsidRPr="00551058">
        <w:t>the busiest month</w:t>
      </w:r>
      <w:r w:rsidR="00672788" w:rsidRPr="00551058">
        <w:t xml:space="preserve">, with </w:t>
      </w:r>
      <w:r w:rsidRPr="00551058">
        <w:t xml:space="preserve">an average of </w:t>
      </w:r>
      <w:r w:rsidR="00672788" w:rsidRPr="00551058">
        <w:t>22</w:t>
      </w:r>
      <w:r w:rsidRPr="00551058">
        <w:t xml:space="preserve"> vessels per day recorded (with </w:t>
      </w:r>
      <w:r w:rsidR="00672788" w:rsidRPr="00551058">
        <w:t>20</w:t>
      </w:r>
      <w:r w:rsidRPr="00551058">
        <w:t xml:space="preserve"> per day being wind farm vessels).</w:t>
      </w:r>
      <w:r w:rsidR="002F75BB" w:rsidRPr="00551058">
        <w:t xml:space="preserve"> The quietest month was </w:t>
      </w:r>
      <w:r w:rsidR="00D02938" w:rsidRPr="00551058">
        <w:t>December</w:t>
      </w:r>
      <w:r w:rsidR="002F75BB" w:rsidRPr="00551058">
        <w:t xml:space="preserve">, during which an average of </w:t>
      </w:r>
      <w:r w:rsidR="00D02938" w:rsidRPr="00551058">
        <w:t xml:space="preserve">nine </w:t>
      </w:r>
      <w:r w:rsidR="002F75BB" w:rsidRPr="00551058">
        <w:t xml:space="preserve">vessels per day was recorded (with </w:t>
      </w:r>
      <w:r w:rsidR="00F04C33">
        <w:t xml:space="preserve">only a single vessel throughout the month </w:t>
      </w:r>
      <w:r w:rsidR="00903D45">
        <w:t>not</w:t>
      </w:r>
      <w:r w:rsidR="00FB7BBF">
        <w:t xml:space="preserve"> </w:t>
      </w:r>
      <w:r w:rsidR="00F04C33">
        <w:t xml:space="preserve">being </w:t>
      </w:r>
      <w:r w:rsidR="00303B58">
        <w:t>a wind farm vessel</w:t>
      </w:r>
      <w:r w:rsidR="002F75BB" w:rsidRPr="00551058">
        <w:t xml:space="preserve">). </w:t>
      </w:r>
      <w:r w:rsidR="00DE6B3C" w:rsidRPr="00551058">
        <w:t>Variance in the frequency of wind farm traffic can depend on the maintenance requirements of the nearby projects and the nature/extent of these requirements.</w:t>
      </w:r>
    </w:p>
    <w:p w14:paraId="6F72CDB6" w14:textId="7D3715A0" w:rsidR="00627700" w:rsidRPr="00551058" w:rsidRDefault="00F744D7" w:rsidP="007B3DC7">
      <w:pPr>
        <w:pStyle w:val="Heading3"/>
      </w:pPr>
      <w:bookmarkStart w:id="17" w:name="_Toc230357488"/>
      <w:r w:rsidRPr="00551058">
        <w:lastRenderedPageBreak/>
        <w:t xml:space="preserve">Vessel </w:t>
      </w:r>
      <w:r w:rsidR="00041BB8" w:rsidRPr="00551058">
        <w:t>Draught</w:t>
      </w:r>
      <w:bookmarkEnd w:id="17"/>
    </w:p>
    <w:p w14:paraId="630DC49C" w14:textId="41E37A33" w:rsidR="00767D93" w:rsidRPr="00551058" w:rsidRDefault="00767D93" w:rsidP="00767D93">
      <w:r w:rsidRPr="00551058">
        <w:t>This section presents analysis of vessel draught. It should be noted that</w:t>
      </w:r>
      <w:r w:rsidR="00ED6BC1" w:rsidRPr="00551058">
        <w:t xml:space="preserve"> the values considered in this section are static and therefore do not account for </w:t>
      </w:r>
      <w:r w:rsidR="00513CCD">
        <w:t xml:space="preserve">hydrodynamic forces or </w:t>
      </w:r>
      <w:r w:rsidR="007B4E49" w:rsidRPr="00551058">
        <w:t xml:space="preserve">tidal variation which is significant in the Welsh Channel. For more information on tidal patterns, see Section </w:t>
      </w:r>
      <w:r w:rsidR="007B4E49" w:rsidRPr="00551058">
        <w:fldChar w:fldCharType="begin"/>
      </w:r>
      <w:r w:rsidR="007B4E49" w:rsidRPr="00551058">
        <w:instrText xml:space="preserve"> REF _Ref228436257 \n \h </w:instrText>
      </w:r>
      <w:r w:rsidR="00CE28A3" w:rsidRPr="00551058">
        <w:instrText xml:space="preserve"> \* MERGEFORMAT </w:instrText>
      </w:r>
      <w:r w:rsidR="007B4E49" w:rsidRPr="00551058">
        <w:fldChar w:fldCharType="separate"/>
      </w:r>
      <w:r w:rsidR="00AB4A42">
        <w:t>2.2</w:t>
      </w:r>
      <w:r w:rsidR="007B4E49" w:rsidRPr="00551058">
        <w:fldChar w:fldCharType="end"/>
      </w:r>
      <w:r w:rsidR="007B4E49" w:rsidRPr="00551058">
        <w:t>.</w:t>
      </w:r>
    </w:p>
    <w:p w14:paraId="3D4779E8" w14:textId="4E006AC6" w:rsidR="00074141" w:rsidRPr="00551058" w:rsidRDefault="00074141" w:rsidP="00074141">
      <w:r w:rsidRPr="00551058">
        <w:fldChar w:fldCharType="begin"/>
      </w:r>
      <w:r w:rsidRPr="00551058">
        <w:instrText xml:space="preserve"> REF _Ref228366069 \h </w:instrText>
      </w:r>
      <w:r w:rsidR="00CE28A3" w:rsidRPr="00551058">
        <w:instrText xml:space="preserve"> \* MERGEFORMAT </w:instrText>
      </w:r>
      <w:r w:rsidRPr="00551058">
        <w:fldChar w:fldCharType="separate"/>
      </w:r>
      <w:r w:rsidR="00AB4A42" w:rsidRPr="00551058">
        <w:t xml:space="preserve">Figure </w:t>
      </w:r>
      <w:r w:rsidR="00AB4A42">
        <w:rPr>
          <w:noProof/>
        </w:rPr>
        <w:t>2.4</w:t>
      </w:r>
      <w:r w:rsidRPr="00551058">
        <w:fldChar w:fldCharType="end"/>
      </w:r>
      <w:r w:rsidR="0025552D" w:rsidRPr="00551058">
        <w:t xml:space="preserve"> presents the vessels recorded on AIS within the </w:t>
      </w:r>
      <w:r w:rsidR="000E6925">
        <w:t xml:space="preserve">Welsh Channel </w:t>
      </w:r>
      <w:r w:rsidR="000E6925" w:rsidRPr="00551058">
        <w:t>Study Area</w:t>
      </w:r>
      <w:r w:rsidR="0025552D" w:rsidRPr="00551058">
        <w:t xml:space="preserve"> during the 12-month period, colour-coded by draught. Following this, Figure 2.2 presents the distribution of vessel draughts</w:t>
      </w:r>
      <w:r w:rsidR="009F7229" w:rsidRPr="00551058">
        <w:t xml:space="preserve">, within the </w:t>
      </w:r>
      <w:r w:rsidR="000E6925">
        <w:t xml:space="preserve">Welsh Channel </w:t>
      </w:r>
      <w:r w:rsidR="000E6925" w:rsidRPr="00551058">
        <w:t>Study Area</w:t>
      </w:r>
      <w:r w:rsidR="009F7229" w:rsidRPr="00551058">
        <w:t xml:space="preserve"> and crossing the </w:t>
      </w:r>
      <w:r w:rsidR="00320AC0">
        <w:t>Welsh Channel Portion of the Proposed Development</w:t>
      </w:r>
      <w:r w:rsidR="009F7229" w:rsidRPr="00551058">
        <w:t>.</w:t>
      </w:r>
      <w:r w:rsidR="0004600B">
        <w:t xml:space="preserve"> Over 99% of vessel tracks </w:t>
      </w:r>
      <w:r w:rsidR="002D6CCE">
        <w:t>were associated with a draught value</w:t>
      </w:r>
      <w:r w:rsidR="006679D3">
        <w:t xml:space="preserve"> (those that </w:t>
      </w:r>
      <w:r w:rsidR="00307E44">
        <w:t>were not associated with a valid draught are excluded from the analysis).</w:t>
      </w:r>
    </w:p>
    <w:p w14:paraId="664FF6F1" w14:textId="02FC2843" w:rsidR="00B476FD" w:rsidRPr="00551058" w:rsidRDefault="00260067" w:rsidP="00B476FD">
      <w:pPr>
        <w:keepNext/>
      </w:pPr>
      <w:r>
        <w:rPr>
          <w:noProof/>
        </w:rPr>
        <w:drawing>
          <wp:inline distT="0" distB="0" distL="0" distR="0" wp14:anchorId="47E1089D" wp14:editId="167F4BA1">
            <wp:extent cx="5731510" cy="3472815"/>
            <wp:effectExtent l="0" t="0" r="2540" b="0"/>
            <wp:docPr id="487522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5220" name="Picture 4875220"/>
                    <pic:cNvPicPr/>
                  </pic:nvPicPr>
                  <pic:blipFill>
                    <a:blip r:embed="rId19"/>
                    <a:stretch>
                      <a:fillRect/>
                    </a:stretch>
                  </pic:blipFill>
                  <pic:spPr>
                    <a:xfrm>
                      <a:off x="0" y="0"/>
                      <a:ext cx="5731510" cy="3472815"/>
                    </a:xfrm>
                    <a:prstGeom prst="rect">
                      <a:avLst/>
                    </a:prstGeom>
                  </pic:spPr>
                </pic:pic>
              </a:graphicData>
            </a:graphic>
          </wp:inline>
        </w:drawing>
      </w:r>
    </w:p>
    <w:p w14:paraId="1638FF5E" w14:textId="17DE5DC0" w:rsidR="00B476FD" w:rsidRPr="00551058" w:rsidRDefault="00B476FD" w:rsidP="00B476FD">
      <w:pPr>
        <w:pStyle w:val="Caption"/>
        <w:jc w:val="both"/>
      </w:pPr>
      <w:bookmarkStart w:id="18" w:name="_Ref228366069"/>
      <w:bookmarkStart w:id="19" w:name="_Toc230357506"/>
      <w:r w:rsidRPr="00551058">
        <w:t xml:space="preserve">Figure </w:t>
      </w:r>
      <w:fldSimple w:instr=" STYLEREF 1 \s ">
        <w:r w:rsidR="00AB4A42">
          <w:rPr>
            <w:noProof/>
          </w:rPr>
          <w:t>2</w:t>
        </w:r>
      </w:fldSimple>
      <w:r w:rsidR="00FB2C8D">
        <w:t>.</w:t>
      </w:r>
      <w:fldSimple w:instr=" SEQ Figure \* ARABIC \s 1 ">
        <w:r w:rsidR="00AB4A42">
          <w:rPr>
            <w:noProof/>
          </w:rPr>
          <w:t>4</w:t>
        </w:r>
      </w:fldSimple>
      <w:bookmarkEnd w:id="18"/>
      <w:r w:rsidRPr="00551058">
        <w:tab/>
        <w:t xml:space="preserve">Vessels by Draught </w:t>
      </w:r>
      <w:r w:rsidR="00445025">
        <w:t xml:space="preserve">within </w:t>
      </w:r>
      <w:r w:rsidR="00445025" w:rsidRPr="00445025">
        <w:t xml:space="preserve">Welsh Channel Study Area </w:t>
      </w:r>
      <w:r w:rsidRPr="00551058">
        <w:t>(12 months, 2025)</w:t>
      </w:r>
      <w:bookmarkEnd w:id="19"/>
    </w:p>
    <w:p w14:paraId="6B98D369" w14:textId="7FF38CD9" w:rsidR="009F7229" w:rsidRPr="00551058" w:rsidRDefault="00926568" w:rsidP="009F7229">
      <w:pPr>
        <w:keepNext/>
        <w:jc w:val="center"/>
      </w:pPr>
      <w:r>
        <w:rPr>
          <w:noProof/>
        </w:rPr>
        <w:lastRenderedPageBreak/>
        <w:drawing>
          <wp:inline distT="0" distB="0" distL="0" distR="0" wp14:anchorId="7C2975E2" wp14:editId="318AF97D">
            <wp:extent cx="5644067" cy="3196424"/>
            <wp:effectExtent l="0" t="0" r="0" b="4445"/>
            <wp:docPr id="5244950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52650" cy="3201285"/>
                    </a:xfrm>
                    <a:prstGeom prst="rect">
                      <a:avLst/>
                    </a:prstGeom>
                    <a:noFill/>
                  </pic:spPr>
                </pic:pic>
              </a:graphicData>
            </a:graphic>
          </wp:inline>
        </w:drawing>
      </w:r>
    </w:p>
    <w:p w14:paraId="46726E44" w14:textId="38C5190A" w:rsidR="00BA0C0F" w:rsidRPr="00551058" w:rsidRDefault="009F7229" w:rsidP="009F7229">
      <w:pPr>
        <w:pStyle w:val="Caption"/>
      </w:pPr>
      <w:bookmarkStart w:id="20" w:name="_Toc230357507"/>
      <w:r w:rsidRPr="00551058">
        <w:t xml:space="preserve">Figure </w:t>
      </w:r>
      <w:fldSimple w:instr=" STYLEREF 1 \s ">
        <w:r w:rsidR="00AB4A42">
          <w:rPr>
            <w:noProof/>
          </w:rPr>
          <w:t>2</w:t>
        </w:r>
      </w:fldSimple>
      <w:r w:rsidR="00FB2C8D">
        <w:t>.</w:t>
      </w:r>
      <w:fldSimple w:instr=" SEQ Figure \* ARABIC \s 1 ">
        <w:r w:rsidR="00AB4A42">
          <w:rPr>
            <w:noProof/>
          </w:rPr>
          <w:t>5</w:t>
        </w:r>
      </w:fldSimple>
      <w:r w:rsidRPr="00551058">
        <w:tab/>
        <w:t xml:space="preserve">Distribution of Vessel Draughts </w:t>
      </w:r>
      <w:r w:rsidR="00445025">
        <w:t xml:space="preserve">within </w:t>
      </w:r>
      <w:r w:rsidR="00445025" w:rsidRPr="00445025">
        <w:t xml:space="preserve">Welsh Channel Study Area </w:t>
      </w:r>
      <w:r w:rsidRPr="00551058">
        <w:t>(12 months, 2025)</w:t>
      </w:r>
      <w:bookmarkEnd w:id="20"/>
    </w:p>
    <w:p w14:paraId="06494632" w14:textId="68A73DB0" w:rsidR="000E153B" w:rsidRPr="00551058" w:rsidRDefault="00DB75E9" w:rsidP="00F744D7">
      <w:r w:rsidRPr="00551058">
        <w:t xml:space="preserve">The majority of vessels </w:t>
      </w:r>
      <w:r w:rsidR="00092BEF" w:rsidRPr="00551058">
        <w:t>had a draught of between 1m and 1.5m (</w:t>
      </w:r>
      <w:r w:rsidRPr="00551058">
        <w:t>80</w:t>
      </w:r>
      <w:r w:rsidR="00092BEF" w:rsidRPr="00551058">
        <w:t xml:space="preserve">% within the </w:t>
      </w:r>
      <w:r w:rsidR="000E6925">
        <w:t xml:space="preserve">Welsh Channel </w:t>
      </w:r>
      <w:r w:rsidR="000E6925" w:rsidRPr="00551058">
        <w:t>Study Area</w:t>
      </w:r>
      <w:r w:rsidR="00092BEF" w:rsidRPr="00551058">
        <w:t xml:space="preserve"> and 58% crossing the </w:t>
      </w:r>
      <w:r w:rsidR="00320AC0">
        <w:t>Welsh Channel Portion of the Proposed Development</w:t>
      </w:r>
      <w:r w:rsidR="00092BEF" w:rsidRPr="00551058">
        <w:t>)</w:t>
      </w:r>
      <w:r w:rsidR="002B68DC" w:rsidRPr="00551058">
        <w:t xml:space="preserve">. </w:t>
      </w:r>
      <w:r w:rsidR="00650DBF" w:rsidRPr="00551058">
        <w:t>V</w:t>
      </w:r>
      <w:r w:rsidR="002B68DC" w:rsidRPr="00551058">
        <w:t xml:space="preserve">essels </w:t>
      </w:r>
      <w:r w:rsidR="00650DBF" w:rsidRPr="00551058">
        <w:t xml:space="preserve">within this range were seen </w:t>
      </w:r>
      <w:r w:rsidR="002B68DC" w:rsidRPr="00551058">
        <w:t xml:space="preserve">utilising </w:t>
      </w:r>
      <w:r w:rsidR="00650DBF" w:rsidRPr="00551058">
        <w:t xml:space="preserve">all three channels </w:t>
      </w:r>
      <w:r w:rsidR="002B68DC" w:rsidRPr="00551058">
        <w:t xml:space="preserve">within the </w:t>
      </w:r>
      <w:r w:rsidR="000E6925">
        <w:t xml:space="preserve">Welsh Channel </w:t>
      </w:r>
      <w:r w:rsidR="000E6925" w:rsidRPr="00551058">
        <w:t>Study Area</w:t>
      </w:r>
      <w:r w:rsidR="002B68DC" w:rsidRPr="00551058">
        <w:t>, while smaller vessels (shallower than 1m) and larger vessels (deeper than 1.5m) were</w:t>
      </w:r>
      <w:r w:rsidR="00650DBF" w:rsidRPr="00551058">
        <w:t xml:space="preserve"> </w:t>
      </w:r>
      <w:r w:rsidR="00CC1606">
        <w:t>also seen</w:t>
      </w:r>
      <w:r w:rsidR="00856E27">
        <w:t xml:space="preserve"> within the Welsh Channel</w:t>
      </w:r>
      <w:r w:rsidR="00544CB6">
        <w:t>.</w:t>
      </w:r>
      <w:r w:rsidR="005E4D91">
        <w:t xml:space="preserve"> The deepest draughts (at least 2m) were mainly seen utilising the </w:t>
      </w:r>
      <w:r w:rsidR="00582982">
        <w:t>centre of the Welsh Channel.</w:t>
      </w:r>
    </w:p>
    <w:p w14:paraId="09827487" w14:textId="272606CD" w:rsidR="00295E5F" w:rsidRPr="00295E5F" w:rsidRDefault="00621782" w:rsidP="00592E97">
      <w:r w:rsidRPr="00551058">
        <w:t xml:space="preserve">The average draught was 1.4m. The deepest draught recorded was 4.0m, from an 84m buoy-laying vessel recorded </w:t>
      </w:r>
      <w:r w:rsidR="00AD1336" w:rsidRPr="00551058">
        <w:t xml:space="preserve">routeing through the </w:t>
      </w:r>
      <w:r w:rsidR="00157E06">
        <w:t>Mid Hoyle Channel</w:t>
      </w:r>
      <w:r w:rsidR="00AD1336" w:rsidRPr="00551058">
        <w:t>.</w:t>
      </w:r>
      <w:r w:rsidR="00F90089">
        <w:t xml:space="preserve"> The deepest draught recorded in the Welsh Channel was </w:t>
      </w:r>
      <w:r w:rsidR="007C1F79">
        <w:t xml:space="preserve">3.9m, from </w:t>
      </w:r>
      <w:r w:rsidR="008E7B2D">
        <w:t xml:space="preserve">a </w:t>
      </w:r>
      <w:r w:rsidR="003115AC">
        <w:t xml:space="preserve">90m </w:t>
      </w:r>
      <w:r w:rsidR="008E7B2D">
        <w:t>cargo vessel</w:t>
      </w:r>
      <w:r w:rsidR="00F90089">
        <w:t>.</w:t>
      </w:r>
    </w:p>
    <w:p w14:paraId="5AFA45DD" w14:textId="31EE2A72" w:rsidR="00627700" w:rsidRPr="00551058" w:rsidRDefault="00627700" w:rsidP="007B3DC7">
      <w:pPr>
        <w:pStyle w:val="Heading2"/>
      </w:pPr>
      <w:bookmarkStart w:id="21" w:name="_Ref228361376"/>
      <w:bookmarkStart w:id="22" w:name="_Ref228436257"/>
      <w:bookmarkStart w:id="23" w:name="_Toc230357489"/>
      <w:r w:rsidRPr="00551058">
        <w:t>Time</w:t>
      </w:r>
      <w:r w:rsidR="00041BB8" w:rsidRPr="00551058">
        <w:t>-</w:t>
      </w:r>
      <w:r w:rsidRPr="00551058">
        <w:t>Based Vessel Traffic Analysis</w:t>
      </w:r>
      <w:bookmarkEnd w:id="21"/>
      <w:bookmarkEnd w:id="22"/>
      <w:bookmarkEnd w:id="23"/>
    </w:p>
    <w:p w14:paraId="0C44AB3C" w14:textId="77777777" w:rsidR="00080E84" w:rsidRDefault="00D10028" w:rsidP="00D10028">
      <w:r w:rsidRPr="00551058">
        <w:t xml:space="preserve">This section </w:t>
      </w:r>
      <w:r w:rsidR="00CB4B4C" w:rsidRPr="00551058">
        <w:t xml:space="preserve">presents a </w:t>
      </w:r>
      <w:r w:rsidR="00D21A6A" w:rsidRPr="00551058">
        <w:t xml:space="preserve">time-based </w:t>
      </w:r>
      <w:r w:rsidR="00CB4B4C" w:rsidRPr="00551058">
        <w:t xml:space="preserve">analysis </w:t>
      </w:r>
      <w:r w:rsidR="007E2EEB" w:rsidRPr="00551058">
        <w:t xml:space="preserve">of vessels within the 12-month AIS dataset </w:t>
      </w:r>
      <w:r w:rsidR="00A54B66" w:rsidRPr="00551058">
        <w:t xml:space="preserve">crossing the </w:t>
      </w:r>
      <w:r w:rsidR="00320AC0">
        <w:t>Welsh Channel Portion of the Proposed Development</w:t>
      </w:r>
      <w:r w:rsidR="00D21A6A" w:rsidRPr="00551058">
        <w:t xml:space="preserve"> in terms of time of day and time relative to high tide. The busiest month within the </w:t>
      </w:r>
      <w:r w:rsidR="00141810" w:rsidRPr="00551058">
        <w:t xml:space="preserve">12-month </w:t>
      </w:r>
      <w:r w:rsidR="00D21A6A" w:rsidRPr="00551058">
        <w:t>data</w:t>
      </w:r>
      <w:r w:rsidR="00141810" w:rsidRPr="00551058">
        <w:t>set</w:t>
      </w:r>
      <w:r w:rsidR="00D21A6A" w:rsidRPr="00551058">
        <w:t xml:space="preserve"> (both within the </w:t>
      </w:r>
      <w:r w:rsidR="000E6925">
        <w:t xml:space="preserve">Welsh Channel </w:t>
      </w:r>
      <w:r w:rsidR="000E6925" w:rsidRPr="00551058">
        <w:t>Study Area</w:t>
      </w:r>
      <w:r w:rsidR="00D21A6A" w:rsidRPr="00551058">
        <w:t xml:space="preserve"> and crossing the </w:t>
      </w:r>
      <w:r w:rsidR="00320AC0">
        <w:t>Welsh Channel Portion of the Proposed Development</w:t>
      </w:r>
      <w:r w:rsidR="00D21A6A" w:rsidRPr="00551058">
        <w:t>)</w:t>
      </w:r>
      <w:r w:rsidR="00BC7466" w:rsidRPr="00551058">
        <w:t xml:space="preserve">, which was </w:t>
      </w:r>
      <w:r w:rsidR="00141810" w:rsidRPr="00551058">
        <w:t>August</w:t>
      </w:r>
      <w:r w:rsidR="00BC7466" w:rsidRPr="00551058">
        <w:t>, was selected for detailed analysis</w:t>
      </w:r>
      <w:r w:rsidR="00D21A6A" w:rsidRPr="00551058">
        <w:t>.</w:t>
      </w:r>
    </w:p>
    <w:p w14:paraId="23F6F75A" w14:textId="4F3C588F" w:rsidR="00D10028" w:rsidRPr="00551058" w:rsidRDefault="00D21A6A" w:rsidP="00D10028">
      <w:r w:rsidRPr="00551058">
        <w:t xml:space="preserve">Vessels recorded during </w:t>
      </w:r>
      <w:r w:rsidR="00BC7466" w:rsidRPr="00551058">
        <w:t xml:space="preserve">this month </w:t>
      </w:r>
      <w:r w:rsidRPr="00551058">
        <w:t xml:space="preserve">were used as input to Anatec’s </w:t>
      </w:r>
      <w:r w:rsidRPr="00551058">
        <w:rPr>
          <w:i/>
          <w:iCs/>
        </w:rPr>
        <w:t>Time Analyser</w:t>
      </w:r>
      <w:r w:rsidRPr="00551058">
        <w:t xml:space="preserve"> program</w:t>
      </w:r>
      <w:r w:rsidR="00BC7466" w:rsidRPr="00551058">
        <w:t>; this program</w:t>
      </w:r>
      <w:r w:rsidRPr="00551058">
        <w:t xml:space="preserve"> </w:t>
      </w:r>
      <w:r w:rsidR="00BC7466" w:rsidRPr="00551058">
        <w:t xml:space="preserve">identified </w:t>
      </w:r>
      <w:r w:rsidRPr="00551058">
        <w:t xml:space="preserve">each vessel </w:t>
      </w:r>
      <w:r w:rsidR="00BC7466" w:rsidRPr="00551058">
        <w:t xml:space="preserve">crossing the </w:t>
      </w:r>
      <w:r w:rsidR="00320AC0">
        <w:t>Welsh Channel Portion of the Proposed Development</w:t>
      </w:r>
      <w:r w:rsidR="00BC7466" w:rsidRPr="00551058">
        <w:t xml:space="preserve"> and interpolated a timestamp at the point of crossing. Analysis of these results by hour of day is presented in Section </w:t>
      </w:r>
      <w:r w:rsidR="00BC7466" w:rsidRPr="00551058">
        <w:fldChar w:fldCharType="begin"/>
      </w:r>
      <w:r w:rsidR="00BC7466" w:rsidRPr="00551058">
        <w:instrText xml:space="preserve"> REF _Ref228443895 \n \h </w:instrText>
      </w:r>
      <w:r w:rsidR="00CE28A3" w:rsidRPr="00551058">
        <w:instrText xml:space="preserve"> \* MERGEFORMAT </w:instrText>
      </w:r>
      <w:r w:rsidR="00BC7466" w:rsidRPr="00551058">
        <w:fldChar w:fldCharType="separate"/>
      </w:r>
      <w:r w:rsidR="00AB4A42">
        <w:t>2.2.1</w:t>
      </w:r>
      <w:r w:rsidR="00BC7466" w:rsidRPr="00551058">
        <w:fldChar w:fldCharType="end"/>
      </w:r>
      <w:r w:rsidR="00BC7466" w:rsidRPr="00551058">
        <w:t>.</w:t>
      </w:r>
    </w:p>
    <w:p w14:paraId="7444BAF8" w14:textId="776E0678" w:rsidR="00AF63DF" w:rsidRPr="00551058" w:rsidRDefault="00BC7466" w:rsidP="00AF63DF">
      <w:r w:rsidRPr="00551058">
        <w:lastRenderedPageBreak/>
        <w:t xml:space="preserve">These results were </w:t>
      </w:r>
      <w:r w:rsidR="00E56099" w:rsidRPr="00551058">
        <w:t xml:space="preserve">then </w:t>
      </w:r>
      <w:r w:rsidRPr="00551058">
        <w:t>used in combination with tide tables for the Port of Mostyn</w:t>
      </w:r>
      <w:r w:rsidR="008445F8" w:rsidRPr="00551058">
        <w:t xml:space="preserve"> in an analysis of crossings relative to tide times</w:t>
      </w:r>
      <w:r w:rsidRPr="00551058">
        <w:t>.</w:t>
      </w:r>
      <w:r w:rsidR="007460AC" w:rsidRPr="00551058">
        <w:t xml:space="preserve"> These tide values correspond to the location of </w:t>
      </w:r>
      <w:r w:rsidR="0017617D">
        <w:t>Mostyn Docks</w:t>
      </w:r>
      <w:r w:rsidR="007460AC" w:rsidRPr="00551058">
        <w:t xml:space="preserve"> but serve as a reasonable indicator of the tidal states at the </w:t>
      </w:r>
      <w:r w:rsidR="00320AC0">
        <w:t>Welsh Channel Portion of the Proposed Development</w:t>
      </w:r>
      <w:r w:rsidR="00341022">
        <w:t xml:space="preserve"> given its proximity</w:t>
      </w:r>
      <w:r w:rsidR="007460AC" w:rsidRPr="00551058">
        <w:t xml:space="preserve">. </w:t>
      </w:r>
      <w:r w:rsidR="00DF394D" w:rsidRPr="00551058">
        <w:t>The results of this a</w:t>
      </w:r>
      <w:r w:rsidR="00D42263" w:rsidRPr="00551058">
        <w:t xml:space="preserve">nalysis </w:t>
      </w:r>
      <w:r w:rsidR="00B8406F">
        <w:t>are</w:t>
      </w:r>
      <w:r w:rsidR="00B8406F" w:rsidRPr="00551058">
        <w:t xml:space="preserve"> </w:t>
      </w:r>
      <w:r w:rsidR="00D42263" w:rsidRPr="00551058">
        <w:t xml:space="preserve">presented in </w:t>
      </w:r>
      <w:r w:rsidR="008445F8" w:rsidRPr="00551058">
        <w:t xml:space="preserve">Section </w:t>
      </w:r>
      <w:r w:rsidR="008445F8" w:rsidRPr="00551058">
        <w:fldChar w:fldCharType="begin"/>
      </w:r>
      <w:r w:rsidR="008445F8" w:rsidRPr="00551058">
        <w:instrText xml:space="preserve"> REF _Ref228444802 \n \h </w:instrText>
      </w:r>
      <w:r w:rsidR="00CE28A3" w:rsidRPr="00551058">
        <w:instrText xml:space="preserve"> \* MERGEFORMAT </w:instrText>
      </w:r>
      <w:r w:rsidR="008445F8" w:rsidRPr="00551058">
        <w:fldChar w:fldCharType="separate"/>
      </w:r>
      <w:r w:rsidR="00AB4A42">
        <w:t>2.2.2</w:t>
      </w:r>
      <w:r w:rsidR="008445F8" w:rsidRPr="00551058">
        <w:fldChar w:fldCharType="end"/>
      </w:r>
      <w:r w:rsidR="00D42263" w:rsidRPr="00551058">
        <w:t>.</w:t>
      </w:r>
    </w:p>
    <w:p w14:paraId="48E1013C" w14:textId="466AE13E" w:rsidR="00886FCD" w:rsidRPr="00551058" w:rsidRDefault="008C1412" w:rsidP="00AF63DF">
      <w:r w:rsidRPr="00551058">
        <w:t>All t</w:t>
      </w:r>
      <w:r w:rsidR="00886FCD" w:rsidRPr="00551058">
        <w:t xml:space="preserve">imes in this section are presented in </w:t>
      </w:r>
      <w:r w:rsidR="00F31A5B">
        <w:t>Coordinated Universal Time (</w:t>
      </w:r>
      <w:r w:rsidR="00886FCD" w:rsidRPr="00551058">
        <w:t>UTC</w:t>
      </w:r>
      <w:r w:rsidR="00F31A5B">
        <w:t>)</w:t>
      </w:r>
      <w:r w:rsidR="00886FCD" w:rsidRPr="00551058">
        <w:t>.</w:t>
      </w:r>
      <w:r w:rsidRPr="00551058">
        <w:t xml:space="preserve"> The tide table for the Port of Mostyn uses local time (</w:t>
      </w:r>
      <w:r w:rsidR="00271134">
        <w:t>British Summer Time (</w:t>
      </w:r>
      <w:r w:rsidRPr="00551058">
        <w:t>BST</w:t>
      </w:r>
      <w:r w:rsidR="00271134">
        <w:t>)</w:t>
      </w:r>
      <w:r w:rsidRPr="00551058">
        <w:t xml:space="preserve"> for </w:t>
      </w:r>
      <w:r w:rsidR="0061556B" w:rsidRPr="00551058">
        <w:t>August</w:t>
      </w:r>
      <w:r w:rsidRPr="00551058">
        <w:t>) – however, this has been accounted for and adjusted</w:t>
      </w:r>
      <w:r w:rsidR="0098179D" w:rsidRPr="00551058">
        <w:t xml:space="preserve"> to UTC</w:t>
      </w:r>
      <w:r w:rsidRPr="00551058">
        <w:t>.</w:t>
      </w:r>
    </w:p>
    <w:p w14:paraId="0496A37D" w14:textId="62239425" w:rsidR="00F405BF" w:rsidRPr="00551058" w:rsidRDefault="00F405BF" w:rsidP="007B3DC7">
      <w:pPr>
        <w:pStyle w:val="Heading3"/>
      </w:pPr>
      <w:bookmarkStart w:id="24" w:name="_Ref228443895"/>
      <w:bookmarkStart w:id="25" w:name="_Ref229055296"/>
      <w:bookmarkStart w:id="26" w:name="_Toc230357490"/>
      <w:r w:rsidRPr="00551058">
        <w:t>Hourly Breakdown</w:t>
      </w:r>
      <w:bookmarkEnd w:id="24"/>
      <w:bookmarkEnd w:id="25"/>
      <w:bookmarkEnd w:id="26"/>
    </w:p>
    <w:p w14:paraId="36C265EE" w14:textId="470870E0" w:rsidR="00E80D37" w:rsidRPr="00551058" w:rsidRDefault="00170667" w:rsidP="009C4D97">
      <w:r w:rsidRPr="00551058">
        <w:fldChar w:fldCharType="begin"/>
      </w:r>
      <w:r w:rsidRPr="00551058">
        <w:instrText xml:space="preserve"> REF _Ref228458761 \h </w:instrText>
      </w:r>
      <w:r w:rsidR="00CE28A3" w:rsidRPr="00551058">
        <w:instrText xml:space="preserve"> \* MERGEFORMAT </w:instrText>
      </w:r>
      <w:r w:rsidRPr="00551058">
        <w:fldChar w:fldCharType="separate"/>
      </w:r>
      <w:r w:rsidR="00AB4A42" w:rsidRPr="00551058">
        <w:t xml:space="preserve">Figure </w:t>
      </w:r>
      <w:r w:rsidR="00AB4A42">
        <w:rPr>
          <w:noProof/>
        </w:rPr>
        <w:t>2.6</w:t>
      </w:r>
      <w:r w:rsidRPr="00551058">
        <w:fldChar w:fldCharType="end"/>
      </w:r>
      <w:r w:rsidRPr="00551058">
        <w:t xml:space="preserve"> </w:t>
      </w:r>
      <w:r w:rsidR="00506CFF" w:rsidRPr="00551058">
        <w:t xml:space="preserve">presents the </w:t>
      </w:r>
      <w:r w:rsidR="00A15D32">
        <w:t xml:space="preserve">number of vessels recorded crossing </w:t>
      </w:r>
      <w:r w:rsidR="00A15D32" w:rsidRPr="00551058">
        <w:t xml:space="preserve">the </w:t>
      </w:r>
      <w:r w:rsidR="00A15D32">
        <w:t>Welsh Channel Portion of the Proposed Development</w:t>
      </w:r>
      <w:r w:rsidR="00A15D32" w:rsidRPr="00551058">
        <w:t xml:space="preserve"> in August</w:t>
      </w:r>
      <w:r w:rsidR="00A15D32">
        <w:t>,</w:t>
      </w:r>
      <w:r w:rsidR="00A15D32" w:rsidRPr="00551058">
        <w:t xml:space="preserve"> </w:t>
      </w:r>
      <w:r w:rsidR="00D3311F" w:rsidRPr="00551058">
        <w:t xml:space="preserve">per </w:t>
      </w:r>
      <w:r w:rsidR="00506CFF" w:rsidRPr="00551058">
        <w:t>hour</w:t>
      </w:r>
      <w:r w:rsidR="00A15D32">
        <w:t xml:space="preserve">, </w:t>
      </w:r>
      <w:r w:rsidR="00326FCE" w:rsidRPr="00551058">
        <w:t>throughout the month</w:t>
      </w:r>
      <w:r w:rsidR="00506CFF" w:rsidRPr="00551058">
        <w:t>.</w:t>
      </w:r>
    </w:p>
    <w:p w14:paraId="5D09CDF6" w14:textId="3AEA9984" w:rsidR="00D60E11" w:rsidRPr="00551058" w:rsidRDefault="00CF4523" w:rsidP="00D60E11">
      <w:pPr>
        <w:keepNext/>
        <w:jc w:val="center"/>
      </w:pPr>
      <w:r w:rsidRPr="00551058" w:rsidDel="00B606DD">
        <w:rPr>
          <w:noProof/>
        </w:rPr>
        <w:t xml:space="preserve"> </w:t>
      </w:r>
      <w:r>
        <w:rPr>
          <w:noProof/>
        </w:rPr>
        <w:drawing>
          <wp:inline distT="0" distB="0" distL="0" distR="0" wp14:anchorId="17CCDD6B" wp14:editId="0AF9F118">
            <wp:extent cx="5666896" cy="3404392"/>
            <wp:effectExtent l="0" t="0" r="0" b="5715"/>
            <wp:docPr id="11416971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80794" cy="3412741"/>
                    </a:xfrm>
                    <a:prstGeom prst="rect">
                      <a:avLst/>
                    </a:prstGeom>
                    <a:noFill/>
                  </pic:spPr>
                </pic:pic>
              </a:graphicData>
            </a:graphic>
          </wp:inline>
        </w:drawing>
      </w:r>
    </w:p>
    <w:p w14:paraId="6FEA515B" w14:textId="1EDABDBB" w:rsidR="00D60E11" w:rsidRPr="00551058" w:rsidRDefault="00D60E11" w:rsidP="00D60E11">
      <w:pPr>
        <w:pStyle w:val="Caption"/>
      </w:pPr>
      <w:bookmarkStart w:id="27" w:name="_Ref228458761"/>
      <w:bookmarkStart w:id="28" w:name="_Toc230357508"/>
      <w:r w:rsidRPr="00551058">
        <w:t xml:space="preserve">Figure </w:t>
      </w:r>
      <w:fldSimple w:instr=" STYLEREF 1 \s ">
        <w:r w:rsidR="00AB4A42">
          <w:rPr>
            <w:noProof/>
          </w:rPr>
          <w:t>2</w:t>
        </w:r>
      </w:fldSimple>
      <w:r w:rsidR="00FB2C8D">
        <w:t>.</w:t>
      </w:r>
      <w:fldSimple w:instr=" SEQ Figure \* ARABIC \s 1 ">
        <w:r w:rsidR="00AB4A42">
          <w:rPr>
            <w:noProof/>
          </w:rPr>
          <w:t>6</w:t>
        </w:r>
      </w:fldSimple>
      <w:bookmarkEnd w:id="27"/>
      <w:r w:rsidRPr="00551058">
        <w:tab/>
      </w:r>
      <w:r w:rsidR="0029426E" w:rsidRPr="00551058">
        <w:t xml:space="preserve">Number of Crossings per Hour of Day </w:t>
      </w:r>
      <w:r w:rsidR="00445025">
        <w:t xml:space="preserve">within </w:t>
      </w:r>
      <w:r w:rsidR="00445025" w:rsidRPr="00445025">
        <w:t xml:space="preserve">Welsh Channel Study Area </w:t>
      </w:r>
      <w:r w:rsidR="0029426E" w:rsidRPr="00551058">
        <w:t>(</w:t>
      </w:r>
      <w:r w:rsidR="008449EA" w:rsidRPr="00551058">
        <w:t>August</w:t>
      </w:r>
      <w:r w:rsidR="0029426E" w:rsidRPr="00551058">
        <w:t xml:space="preserve"> 2025)</w:t>
      </w:r>
      <w:bookmarkEnd w:id="28"/>
    </w:p>
    <w:p w14:paraId="5DD5B706" w14:textId="4B7D4BFC" w:rsidR="00F405BF" w:rsidRDefault="00E376E5" w:rsidP="00F405BF">
      <w:r>
        <w:t>V</w:t>
      </w:r>
      <w:r w:rsidR="00D40D10" w:rsidRPr="00551058">
        <w:t xml:space="preserve">essel numbers indicated a general preference for transits during </w:t>
      </w:r>
      <w:r w:rsidR="003E06DC">
        <w:t>daylight hours</w:t>
      </w:r>
      <w:r w:rsidR="00E5116F">
        <w:rPr>
          <w:rStyle w:val="FootnoteReference"/>
        </w:rPr>
        <w:footnoteReference w:id="1"/>
      </w:r>
      <w:r w:rsidR="00D40D10" w:rsidRPr="00551058">
        <w:t xml:space="preserve"> </w:t>
      </w:r>
      <w:r w:rsidR="005F03CE" w:rsidRPr="00551058">
        <w:t>(</w:t>
      </w:r>
      <w:r w:rsidR="00D923C2">
        <w:t>84</w:t>
      </w:r>
      <w:r w:rsidR="003E06DC">
        <w:t xml:space="preserve">% between </w:t>
      </w:r>
      <w:r w:rsidR="00D40D10" w:rsidRPr="00551058">
        <w:t xml:space="preserve">6am </w:t>
      </w:r>
      <w:r w:rsidR="003E06DC">
        <w:t>and</w:t>
      </w:r>
      <w:r w:rsidR="003E06DC" w:rsidRPr="00551058">
        <w:t xml:space="preserve"> </w:t>
      </w:r>
      <w:r w:rsidR="00614C9A">
        <w:t>9</w:t>
      </w:r>
      <w:r w:rsidR="00D40D10" w:rsidRPr="00551058">
        <w:t>pm</w:t>
      </w:r>
      <w:r w:rsidR="005F03CE" w:rsidRPr="00551058">
        <w:t>). T</w:t>
      </w:r>
      <w:r w:rsidR="00D40D10" w:rsidRPr="00551058">
        <w:t xml:space="preserve">he </w:t>
      </w:r>
      <w:r w:rsidR="00CA6358" w:rsidRPr="00551058">
        <w:t>highest</w:t>
      </w:r>
      <w:r w:rsidR="00D40D10" w:rsidRPr="00551058">
        <w:t xml:space="preserve"> number of transits (2</w:t>
      </w:r>
      <w:r w:rsidR="005325E0" w:rsidRPr="00551058">
        <w:t>5</w:t>
      </w:r>
      <w:r w:rsidR="00D40D10" w:rsidRPr="00551058">
        <w:t xml:space="preserve"> in total) </w:t>
      </w:r>
      <w:r w:rsidR="005325E0" w:rsidRPr="00551058">
        <w:t>were</w:t>
      </w:r>
      <w:r w:rsidR="00D40D10" w:rsidRPr="00551058">
        <w:t xml:space="preserve"> recorded during </w:t>
      </w:r>
      <w:r w:rsidR="005325E0" w:rsidRPr="00551058">
        <w:t>11am to 12pm</w:t>
      </w:r>
      <w:r w:rsidR="00EE6268">
        <w:t xml:space="preserve"> (i.e., over the course of the month, there was an average of less than one crossing per day between 11am and 12pm)</w:t>
      </w:r>
      <w:r w:rsidR="00D40D10" w:rsidRPr="00551058">
        <w:t>.</w:t>
      </w:r>
      <w:r w:rsidR="00A54DB9" w:rsidRPr="00551058">
        <w:t xml:space="preserve"> The quietest hour </w:t>
      </w:r>
      <w:r w:rsidR="008E20F4" w:rsidRPr="00551058">
        <w:t>was 1am to 2am</w:t>
      </w:r>
      <w:r w:rsidR="00D61E50" w:rsidRPr="00551058">
        <w:t xml:space="preserve">, with </w:t>
      </w:r>
      <w:r w:rsidR="008E20F4" w:rsidRPr="00551058">
        <w:t>a single</w:t>
      </w:r>
      <w:r w:rsidR="00D61E50" w:rsidRPr="00551058">
        <w:t xml:space="preserve"> crossing recorded </w:t>
      </w:r>
      <w:r w:rsidR="008E20F4" w:rsidRPr="00551058">
        <w:t>during this hour</w:t>
      </w:r>
      <w:r w:rsidR="00B8603E">
        <w:t xml:space="preserve"> throughout the entirety of August</w:t>
      </w:r>
      <w:r w:rsidR="00D61E50" w:rsidRPr="00551058">
        <w:t>.</w:t>
      </w:r>
    </w:p>
    <w:p w14:paraId="792574FF" w14:textId="1E2974A6" w:rsidR="00AC67AF" w:rsidRPr="00551058" w:rsidRDefault="00AC67AF" w:rsidP="00F405BF">
      <w:r>
        <w:lastRenderedPageBreak/>
        <w:t xml:space="preserve">The preference for </w:t>
      </w:r>
      <w:r w:rsidR="00061242">
        <w:t>daytime transits</w:t>
      </w:r>
      <w:r>
        <w:t xml:space="preserve"> may reflect the </w:t>
      </w:r>
      <w:r w:rsidR="00061242">
        <w:t xml:space="preserve">nature of navigation in the Welsh Channel but also the profile of vessel types, i.e., </w:t>
      </w:r>
      <w:r w:rsidR="004E38FD">
        <w:t xml:space="preserve">the pattern of wind farm vessels </w:t>
      </w:r>
      <w:r w:rsidR="00EE6268">
        <w:t xml:space="preserve">navigating </w:t>
      </w:r>
      <w:r w:rsidR="006A061C">
        <w:t>to and from site on the same day.</w:t>
      </w:r>
    </w:p>
    <w:p w14:paraId="6A873A5C" w14:textId="6518EBC4" w:rsidR="00F405BF" w:rsidRPr="00551058" w:rsidRDefault="00F405BF" w:rsidP="007B3DC7">
      <w:pPr>
        <w:pStyle w:val="Heading3"/>
      </w:pPr>
      <w:bookmarkStart w:id="29" w:name="_Ref228444802"/>
      <w:bookmarkStart w:id="30" w:name="_Ref229055297"/>
      <w:bookmarkStart w:id="31" w:name="_Toc230357491"/>
      <w:r w:rsidRPr="00551058">
        <w:t>Tidal Breakdown</w:t>
      </w:r>
      <w:bookmarkEnd w:id="29"/>
      <w:bookmarkEnd w:id="30"/>
      <w:bookmarkEnd w:id="31"/>
    </w:p>
    <w:p w14:paraId="1106AB87" w14:textId="244C170F" w:rsidR="00E31FCC" w:rsidRPr="00551058" w:rsidRDefault="006F2ADD" w:rsidP="009C4D97">
      <w:r w:rsidRPr="00551058">
        <w:fldChar w:fldCharType="begin"/>
      </w:r>
      <w:r w:rsidRPr="00551058">
        <w:instrText xml:space="preserve"> REF _Ref228529047 \h </w:instrText>
      </w:r>
      <w:r w:rsidR="00CE28A3" w:rsidRPr="00551058">
        <w:instrText xml:space="preserve"> \* MERGEFORMAT </w:instrText>
      </w:r>
      <w:r w:rsidRPr="00551058">
        <w:fldChar w:fldCharType="separate"/>
      </w:r>
      <w:r w:rsidR="00AB4A42" w:rsidRPr="00551058">
        <w:t xml:space="preserve">Figure </w:t>
      </w:r>
      <w:r w:rsidR="00AB4A42">
        <w:rPr>
          <w:noProof/>
        </w:rPr>
        <w:t>2.7</w:t>
      </w:r>
      <w:r w:rsidRPr="00551058">
        <w:fldChar w:fldCharType="end"/>
      </w:r>
      <w:r w:rsidRPr="00551058">
        <w:t xml:space="preserve"> </w:t>
      </w:r>
      <w:r w:rsidR="00805ADB" w:rsidRPr="00551058">
        <w:t xml:space="preserve">presents the </w:t>
      </w:r>
      <w:r w:rsidR="00DB1DC8">
        <w:t xml:space="preserve">number of vessels </w:t>
      </w:r>
      <w:r w:rsidR="00DB1DC8" w:rsidRPr="00551058">
        <w:t xml:space="preserve">recorded crossing the </w:t>
      </w:r>
      <w:r w:rsidR="00DB1DC8">
        <w:t>Welsh Channel Portion of the Proposed Development</w:t>
      </w:r>
      <w:r w:rsidR="00DB1DC8" w:rsidRPr="00551058">
        <w:t xml:space="preserve"> in August</w:t>
      </w:r>
      <w:r w:rsidR="00AB692A" w:rsidRPr="00551058">
        <w:t>, per hour relative to high tide, throughout the month</w:t>
      </w:r>
      <w:r w:rsidR="00805ADB" w:rsidRPr="00551058">
        <w:t>.</w:t>
      </w:r>
      <w:r w:rsidR="00285054" w:rsidRPr="00551058" w:rsidDel="00285054">
        <w:t xml:space="preserve"> </w:t>
      </w:r>
    </w:p>
    <w:p w14:paraId="2C56DAC1" w14:textId="26FA52AA" w:rsidR="00994E53" w:rsidRPr="00551058" w:rsidRDefault="00DA207C" w:rsidP="00994E53">
      <w:pPr>
        <w:keepNext/>
        <w:jc w:val="center"/>
      </w:pPr>
      <w:r>
        <w:rPr>
          <w:noProof/>
        </w:rPr>
        <w:drawing>
          <wp:inline distT="0" distB="0" distL="0" distR="0" wp14:anchorId="2E1FD576" wp14:editId="2CDD5078">
            <wp:extent cx="5699917" cy="3419475"/>
            <wp:effectExtent l="0" t="0" r="0" b="0"/>
            <wp:docPr id="20116886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01300" cy="3420305"/>
                    </a:xfrm>
                    <a:prstGeom prst="rect">
                      <a:avLst/>
                    </a:prstGeom>
                    <a:noFill/>
                  </pic:spPr>
                </pic:pic>
              </a:graphicData>
            </a:graphic>
          </wp:inline>
        </w:drawing>
      </w:r>
    </w:p>
    <w:p w14:paraId="6F77DAA4" w14:textId="7D81DD53" w:rsidR="00994E53" w:rsidRPr="00551058" w:rsidRDefault="00994E53" w:rsidP="00994E53">
      <w:pPr>
        <w:pStyle w:val="Caption"/>
      </w:pPr>
      <w:bookmarkStart w:id="32" w:name="_Ref228529047"/>
      <w:bookmarkStart w:id="33" w:name="_Toc230357509"/>
      <w:r w:rsidRPr="00551058">
        <w:t xml:space="preserve">Figure </w:t>
      </w:r>
      <w:fldSimple w:instr=" STYLEREF 1 \s ">
        <w:r w:rsidR="00AB4A42">
          <w:rPr>
            <w:noProof/>
          </w:rPr>
          <w:t>2</w:t>
        </w:r>
      </w:fldSimple>
      <w:r w:rsidR="00FB2C8D">
        <w:t>.</w:t>
      </w:r>
      <w:fldSimple w:instr=" SEQ Figure \* ARABIC \s 1 ">
        <w:r w:rsidR="00AB4A42">
          <w:rPr>
            <w:noProof/>
          </w:rPr>
          <w:t>7</w:t>
        </w:r>
      </w:fldSimple>
      <w:bookmarkEnd w:id="32"/>
      <w:r w:rsidRPr="00551058">
        <w:tab/>
        <w:t xml:space="preserve">Number of Crossings per Hour Relative to High Tide </w:t>
      </w:r>
      <w:r w:rsidR="009E3086">
        <w:t xml:space="preserve">within </w:t>
      </w:r>
      <w:r w:rsidR="009E3086" w:rsidRPr="009E3086">
        <w:t xml:space="preserve">Welsh Channel Study Area </w:t>
      </w:r>
      <w:r w:rsidRPr="00551058">
        <w:t>(</w:t>
      </w:r>
      <w:r w:rsidR="00EC143A" w:rsidRPr="00551058">
        <w:t>August</w:t>
      </w:r>
      <w:r w:rsidRPr="00551058">
        <w:t xml:space="preserve"> 2025)</w:t>
      </w:r>
      <w:bookmarkEnd w:id="33"/>
    </w:p>
    <w:p w14:paraId="1075CABC" w14:textId="3D31FD51" w:rsidR="002C4B1D" w:rsidRDefault="00C07627" w:rsidP="0045547E">
      <w:r w:rsidRPr="00551058">
        <w:t xml:space="preserve">Vessel counts suggested a preference for </w:t>
      </w:r>
      <w:r w:rsidR="00491534">
        <w:t xml:space="preserve">navigating the Welsh Channel at </w:t>
      </w:r>
      <w:r w:rsidR="00F41774">
        <w:t xml:space="preserve">or shortly after </w:t>
      </w:r>
      <w:r w:rsidRPr="00551058">
        <w:t xml:space="preserve">high tide, with </w:t>
      </w:r>
      <w:r w:rsidR="00EE6268">
        <w:t>62</w:t>
      </w:r>
      <w:r w:rsidR="00F05EA5">
        <w:t xml:space="preserve">% of crossings occurring </w:t>
      </w:r>
      <w:r w:rsidR="00EE6268">
        <w:t>within 3 hours of</w:t>
      </w:r>
      <w:r w:rsidR="005641C8">
        <w:t xml:space="preserve"> </w:t>
      </w:r>
      <w:r w:rsidR="0045547E">
        <w:t>high tide.</w:t>
      </w:r>
      <w:r w:rsidRPr="00551058">
        <w:t xml:space="preserve"> </w:t>
      </w:r>
      <w:r w:rsidR="0045547E">
        <w:t>T</w:t>
      </w:r>
      <w:r w:rsidRPr="00551058">
        <w:t xml:space="preserve">he most common hour of crossing </w:t>
      </w:r>
      <w:r w:rsidR="0045547E">
        <w:t xml:space="preserve">was at high tide </w:t>
      </w:r>
      <w:r w:rsidRPr="00551058">
        <w:t>(</w:t>
      </w:r>
      <w:r w:rsidR="007352E6" w:rsidRPr="00551058">
        <w:t>44</w:t>
      </w:r>
      <w:r w:rsidRPr="00551058">
        <w:t xml:space="preserve"> crossings in total) and the </w:t>
      </w:r>
      <w:r w:rsidR="007352E6" w:rsidRPr="00551058">
        <w:t xml:space="preserve">least common </w:t>
      </w:r>
      <w:r w:rsidRPr="00551058">
        <w:t xml:space="preserve">hour </w:t>
      </w:r>
      <w:r w:rsidR="007352E6" w:rsidRPr="00551058">
        <w:t xml:space="preserve">of crossing </w:t>
      </w:r>
      <w:r w:rsidR="003175D1">
        <w:t>was</w:t>
      </w:r>
      <w:r w:rsidR="003175D1" w:rsidRPr="00551058">
        <w:t xml:space="preserve"> </w:t>
      </w:r>
      <w:r w:rsidR="000207A5">
        <w:t>5-6</w:t>
      </w:r>
      <w:r w:rsidR="007352E6" w:rsidRPr="00551058">
        <w:t xml:space="preserve"> hours after high tide</w:t>
      </w:r>
      <w:r w:rsidR="00EE6F01">
        <w:t xml:space="preserve"> </w:t>
      </w:r>
      <w:r w:rsidR="00EE6F01" w:rsidRPr="00551058">
        <w:t>(five crossings in total)</w:t>
      </w:r>
      <w:r w:rsidR="003175D1">
        <w:t>.</w:t>
      </w:r>
    </w:p>
    <w:p w14:paraId="100F7DD4" w14:textId="493AFBF7" w:rsidR="009408AE" w:rsidRDefault="009408AE" w:rsidP="002C4B1D">
      <w:r>
        <w:t xml:space="preserve">The preference for </w:t>
      </w:r>
      <w:r w:rsidR="00477BD9">
        <w:t xml:space="preserve">higher tide transits reflects the </w:t>
      </w:r>
      <w:r w:rsidR="00007A12">
        <w:t xml:space="preserve">influence of the tidal stream in the area and shallow nature of the Welsh Channel. </w:t>
      </w:r>
    </w:p>
    <w:p w14:paraId="76FF602A" w14:textId="0A8338BA" w:rsidR="007B3DC7" w:rsidRDefault="007B3DC7" w:rsidP="007B3DC7">
      <w:pPr>
        <w:pStyle w:val="Heading1"/>
      </w:pPr>
      <w:bookmarkStart w:id="34" w:name="_Toc230357492"/>
      <w:bookmarkStart w:id="35" w:name="_Ref228361397"/>
      <w:r>
        <w:lastRenderedPageBreak/>
        <w:t>Liverpool Bay TSS</w:t>
      </w:r>
      <w:bookmarkEnd w:id="34"/>
    </w:p>
    <w:p w14:paraId="78B5FC57" w14:textId="579EF0D4" w:rsidR="00B50D32" w:rsidRDefault="00B50D32" w:rsidP="00B50D32">
      <w:r>
        <w:t xml:space="preserve">This section considers the portion of the Proposed Development within the eastbound lane of the Liverpool Bay TSS (hereafter the ‘TSS Portion of the Proposed Development’). A 1nm buffer of the TSS Portion of the Proposed Development has been defined and all traffic within this buffer is presented in figures; however, to ensure focus on the TSS lane and avoid skewing the analysis, the 1nm buffer has been cropped to the TSS lane </w:t>
      </w:r>
      <w:r w:rsidR="009C73D2">
        <w:t>for the purposes of</w:t>
      </w:r>
      <w:r>
        <w:t xml:space="preserve"> analysis (hereafter the ‘TSS Study Area’).</w:t>
      </w:r>
      <w:r w:rsidR="00032CCD">
        <w:t xml:space="preserve"> It is noted that all vessels using the eastbound lane of the TSS will be travelling in the same direction, i.e. there is no 2-way traffic in the TSS lane.</w:t>
      </w:r>
    </w:p>
    <w:p w14:paraId="045D9118" w14:textId="71F4AB81" w:rsidR="00B50D32" w:rsidRDefault="00B50D32" w:rsidP="00B50D32">
      <w:r>
        <w:t xml:space="preserve">The TSS Portion of the Proposed Development, 1nm buffer and TSS Study Area are each presented in </w:t>
      </w:r>
      <w:r w:rsidR="009F6C95">
        <w:fldChar w:fldCharType="begin"/>
      </w:r>
      <w:r w:rsidR="009F6C95">
        <w:instrText xml:space="preserve"> REF _Ref229995813 \h </w:instrText>
      </w:r>
      <w:r w:rsidR="009F6C95">
        <w:fldChar w:fldCharType="separate"/>
      </w:r>
      <w:r w:rsidR="00AB4A42">
        <w:t xml:space="preserve">Figure </w:t>
      </w:r>
      <w:r w:rsidR="00AB4A42">
        <w:rPr>
          <w:noProof/>
        </w:rPr>
        <w:t>3</w:t>
      </w:r>
      <w:r w:rsidR="00AB4A42">
        <w:t>.</w:t>
      </w:r>
      <w:r w:rsidR="00AB4A42">
        <w:rPr>
          <w:noProof/>
        </w:rPr>
        <w:t>1</w:t>
      </w:r>
      <w:r w:rsidR="009F6C95">
        <w:fldChar w:fldCharType="end"/>
      </w:r>
      <w:r>
        <w:t>.</w:t>
      </w:r>
    </w:p>
    <w:p w14:paraId="4AA31342" w14:textId="28412287" w:rsidR="00531EA5" w:rsidRDefault="00A276E5" w:rsidP="00531EA5">
      <w:pPr>
        <w:keepNext/>
      </w:pPr>
      <w:r>
        <w:rPr>
          <w:noProof/>
        </w:rPr>
        <w:drawing>
          <wp:inline distT="0" distB="0" distL="0" distR="0" wp14:anchorId="7E0C2F68" wp14:editId="7BB35734">
            <wp:extent cx="5731510" cy="3472815"/>
            <wp:effectExtent l="0" t="0" r="2540" b="0"/>
            <wp:docPr id="13895499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549914" name="Picture 1389549914"/>
                    <pic:cNvPicPr/>
                  </pic:nvPicPr>
                  <pic:blipFill>
                    <a:blip r:embed="rId23"/>
                    <a:stretch>
                      <a:fillRect/>
                    </a:stretch>
                  </pic:blipFill>
                  <pic:spPr>
                    <a:xfrm>
                      <a:off x="0" y="0"/>
                      <a:ext cx="5731510" cy="3472815"/>
                    </a:xfrm>
                    <a:prstGeom prst="rect">
                      <a:avLst/>
                    </a:prstGeom>
                  </pic:spPr>
                </pic:pic>
              </a:graphicData>
            </a:graphic>
          </wp:inline>
        </w:drawing>
      </w:r>
    </w:p>
    <w:p w14:paraId="43560D9E" w14:textId="65C84B4A" w:rsidR="00531EA5" w:rsidRPr="00B50D32" w:rsidRDefault="00531EA5" w:rsidP="00531EA5">
      <w:pPr>
        <w:pStyle w:val="Caption"/>
        <w:jc w:val="both"/>
      </w:pPr>
      <w:bookmarkStart w:id="36" w:name="_Ref229995813"/>
      <w:bookmarkStart w:id="37" w:name="_Toc230357510"/>
      <w:r>
        <w:t xml:space="preserve">Figure </w:t>
      </w:r>
      <w:fldSimple w:instr=" STYLEREF 1 \s ">
        <w:r w:rsidR="00AB4A42">
          <w:rPr>
            <w:noProof/>
          </w:rPr>
          <w:t>3</w:t>
        </w:r>
      </w:fldSimple>
      <w:r w:rsidR="00FB2C8D">
        <w:t>.</w:t>
      </w:r>
      <w:fldSimple w:instr=" SEQ Figure \* ARABIC \s 1 ">
        <w:r w:rsidR="00AB4A42">
          <w:rPr>
            <w:noProof/>
          </w:rPr>
          <w:t>1</w:t>
        </w:r>
      </w:fldSimple>
      <w:bookmarkEnd w:id="36"/>
      <w:r>
        <w:tab/>
        <w:t>Overview of TSS Portion of Proposed Development and TSS Study Area</w:t>
      </w:r>
      <w:bookmarkEnd w:id="37"/>
    </w:p>
    <w:p w14:paraId="44E3A82B" w14:textId="77777777" w:rsidR="007B3DC7" w:rsidRDefault="007B3DC7" w:rsidP="007B3DC7">
      <w:pPr>
        <w:pStyle w:val="Heading2"/>
      </w:pPr>
      <w:bookmarkStart w:id="38" w:name="_Ref229996154"/>
      <w:bookmarkStart w:id="39" w:name="_Toc230357493"/>
      <w:r>
        <w:t>Location-Based Vessel Traffic Analysis</w:t>
      </w:r>
      <w:bookmarkEnd w:id="38"/>
      <w:bookmarkEnd w:id="39"/>
    </w:p>
    <w:p w14:paraId="36982350" w14:textId="15380ED9" w:rsidR="0029271C" w:rsidRPr="0029271C" w:rsidRDefault="0029271C" w:rsidP="0029271C">
      <w:r w:rsidRPr="00551058">
        <w:t xml:space="preserve">This section undertakes an analysis of the 12-month AIS dataset within the </w:t>
      </w:r>
      <w:r w:rsidR="00863B29">
        <w:t>TSS</w:t>
      </w:r>
      <w:r>
        <w:t xml:space="preserve"> </w:t>
      </w:r>
      <w:r w:rsidRPr="00551058">
        <w:t>Study Area in terms of vessel counts, types and sizes</w:t>
      </w:r>
      <w:r>
        <w:t>.</w:t>
      </w:r>
    </w:p>
    <w:p w14:paraId="78DACB32" w14:textId="77777777" w:rsidR="007B3DC7" w:rsidRDefault="007B3DC7" w:rsidP="007B3DC7">
      <w:pPr>
        <w:pStyle w:val="Heading3"/>
      </w:pPr>
      <w:bookmarkStart w:id="40" w:name="_Toc230357494"/>
      <w:r>
        <w:t>Vessel Count and Type</w:t>
      </w:r>
      <w:bookmarkEnd w:id="40"/>
    </w:p>
    <w:p w14:paraId="7A6604C1" w14:textId="0308CF95" w:rsidR="00052046" w:rsidRPr="00052046" w:rsidRDefault="00052046" w:rsidP="00052046">
      <w:r w:rsidRPr="00551058">
        <w:fldChar w:fldCharType="begin"/>
      </w:r>
      <w:r w:rsidRPr="00551058">
        <w:instrText xml:space="preserve"> REF _Ref228353401 \h </w:instrText>
      </w:r>
      <w:r>
        <w:instrText xml:space="preserve"> \* MERGEFORMAT </w:instrText>
      </w:r>
      <w:r w:rsidRPr="00551058">
        <w:fldChar w:fldCharType="separate"/>
      </w:r>
      <w:r w:rsidR="00AB4A42" w:rsidRPr="00551058">
        <w:t xml:space="preserve">Figure </w:t>
      </w:r>
      <w:r w:rsidR="00AB4A42">
        <w:rPr>
          <w:noProof/>
        </w:rPr>
        <w:t>2.2</w:t>
      </w:r>
      <w:r w:rsidRPr="00551058">
        <w:fldChar w:fldCharType="end"/>
      </w:r>
      <w:r w:rsidRPr="00551058">
        <w:t xml:space="preserve"> presents the vessels recorded on AIS within the </w:t>
      </w:r>
      <w:r w:rsidR="0044438E">
        <w:t>1nm buffer of the TSS Portion of the Proposed Development</w:t>
      </w:r>
      <w:r w:rsidRPr="00551058">
        <w:t xml:space="preserve"> during the 12-month period, colour-coded by type. Following this, </w:t>
      </w:r>
      <w:r w:rsidRPr="00551058">
        <w:fldChar w:fldCharType="begin"/>
      </w:r>
      <w:r w:rsidRPr="00551058">
        <w:instrText xml:space="preserve"> REF _Ref228356395 \h </w:instrText>
      </w:r>
      <w:r>
        <w:instrText xml:space="preserve"> \* MERGEFORMAT </w:instrText>
      </w:r>
      <w:r w:rsidRPr="00551058">
        <w:fldChar w:fldCharType="separate"/>
      </w:r>
      <w:r w:rsidR="00AB4A42" w:rsidRPr="00551058">
        <w:t xml:space="preserve">Figure </w:t>
      </w:r>
      <w:r w:rsidR="00AB4A42">
        <w:rPr>
          <w:noProof/>
        </w:rPr>
        <w:t>2.3</w:t>
      </w:r>
      <w:r w:rsidRPr="00551058">
        <w:fldChar w:fldCharType="end"/>
      </w:r>
      <w:r w:rsidRPr="00551058">
        <w:t xml:space="preserve"> presents the number of vessels recorded during each month of the 12-month period</w:t>
      </w:r>
      <w:r w:rsidR="009F70B8">
        <w:t xml:space="preserve"> within the TSS Study Area</w:t>
      </w:r>
      <w:r w:rsidRPr="00551058">
        <w:t>, broken down by vessel type</w:t>
      </w:r>
      <w:r>
        <w:t>.</w:t>
      </w:r>
    </w:p>
    <w:p w14:paraId="559CF39A" w14:textId="4898D247" w:rsidR="00052046" w:rsidRDefault="00A276E5" w:rsidP="00052046">
      <w:pPr>
        <w:keepNext/>
      </w:pPr>
      <w:r>
        <w:rPr>
          <w:noProof/>
        </w:rPr>
        <w:lastRenderedPageBreak/>
        <w:drawing>
          <wp:inline distT="0" distB="0" distL="0" distR="0" wp14:anchorId="106121F9" wp14:editId="4B4F6D77">
            <wp:extent cx="5731510" cy="3472815"/>
            <wp:effectExtent l="0" t="0" r="2540" b="0"/>
            <wp:docPr id="74763277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632777" name="Picture 747632777"/>
                    <pic:cNvPicPr/>
                  </pic:nvPicPr>
                  <pic:blipFill>
                    <a:blip r:embed="rId24"/>
                    <a:stretch>
                      <a:fillRect/>
                    </a:stretch>
                  </pic:blipFill>
                  <pic:spPr>
                    <a:xfrm>
                      <a:off x="0" y="0"/>
                      <a:ext cx="5731510" cy="3472815"/>
                    </a:xfrm>
                    <a:prstGeom prst="rect">
                      <a:avLst/>
                    </a:prstGeom>
                  </pic:spPr>
                </pic:pic>
              </a:graphicData>
            </a:graphic>
          </wp:inline>
        </w:drawing>
      </w:r>
    </w:p>
    <w:p w14:paraId="6738F56D" w14:textId="789D0021" w:rsidR="00531EA5" w:rsidRDefault="00052046" w:rsidP="00052046">
      <w:pPr>
        <w:pStyle w:val="Caption"/>
        <w:jc w:val="both"/>
      </w:pPr>
      <w:bookmarkStart w:id="41" w:name="_Toc230357511"/>
      <w:r>
        <w:t xml:space="preserve">Figure </w:t>
      </w:r>
      <w:fldSimple w:instr=" STYLEREF 1 \s ">
        <w:r w:rsidR="00AB4A42">
          <w:rPr>
            <w:noProof/>
          </w:rPr>
          <w:t>3</w:t>
        </w:r>
      </w:fldSimple>
      <w:r w:rsidR="00FB2C8D">
        <w:t>.</w:t>
      </w:r>
      <w:fldSimple w:instr=" SEQ Figure \* ARABIC \s 1 ">
        <w:r w:rsidR="00AB4A42">
          <w:rPr>
            <w:noProof/>
          </w:rPr>
          <w:t>2</w:t>
        </w:r>
      </w:fldSimple>
      <w:r>
        <w:tab/>
      </w:r>
      <w:r w:rsidR="00F800D7">
        <w:t xml:space="preserve">Vessels by Type within </w:t>
      </w:r>
      <w:r w:rsidR="00324202">
        <w:t xml:space="preserve">1nm Buffer </w:t>
      </w:r>
      <w:r w:rsidR="00F800D7">
        <w:t>(12 months, 2025)</w:t>
      </w:r>
      <w:bookmarkEnd w:id="41"/>
    </w:p>
    <w:p w14:paraId="21B8219D" w14:textId="77777777" w:rsidR="00B631F2" w:rsidRDefault="00B631F2" w:rsidP="00B631F2">
      <w:pPr>
        <w:keepNext/>
      </w:pPr>
      <w:r>
        <w:rPr>
          <w:noProof/>
        </w:rPr>
        <w:drawing>
          <wp:inline distT="0" distB="0" distL="0" distR="0" wp14:anchorId="330E2C80" wp14:editId="012E930D">
            <wp:extent cx="5674239" cy="3437107"/>
            <wp:effectExtent l="0" t="0" r="3175" b="0"/>
            <wp:docPr id="5049582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82746" cy="3442260"/>
                    </a:xfrm>
                    <a:prstGeom prst="rect">
                      <a:avLst/>
                    </a:prstGeom>
                    <a:noFill/>
                  </pic:spPr>
                </pic:pic>
              </a:graphicData>
            </a:graphic>
          </wp:inline>
        </w:drawing>
      </w:r>
    </w:p>
    <w:p w14:paraId="4A5CC7D6" w14:textId="09A8433F" w:rsidR="00B631F2" w:rsidRDefault="00B631F2" w:rsidP="00B631F2">
      <w:pPr>
        <w:pStyle w:val="Caption"/>
        <w:jc w:val="both"/>
      </w:pPr>
      <w:bookmarkStart w:id="42" w:name="_Toc230357512"/>
      <w:r>
        <w:t xml:space="preserve">Figure </w:t>
      </w:r>
      <w:fldSimple w:instr=" STYLEREF 1 \s ">
        <w:r w:rsidR="00AB4A42">
          <w:rPr>
            <w:noProof/>
          </w:rPr>
          <w:t>3</w:t>
        </w:r>
      </w:fldSimple>
      <w:r w:rsidR="00FB2C8D">
        <w:t>.</w:t>
      </w:r>
      <w:fldSimple w:instr=" SEQ Figure \* ARABIC \s 1 ">
        <w:r w:rsidR="00AB4A42">
          <w:rPr>
            <w:noProof/>
          </w:rPr>
          <w:t>3</w:t>
        </w:r>
      </w:fldSimple>
      <w:r>
        <w:tab/>
        <w:t>Vessel Counts by Month and Type within TSS Study Area (12 months, 2025)</w:t>
      </w:r>
      <w:bookmarkEnd w:id="42"/>
    </w:p>
    <w:p w14:paraId="6374BCC2" w14:textId="2BCE2062" w:rsidR="00C21946" w:rsidRDefault="00990EE9" w:rsidP="00990EE9">
      <w:r>
        <w:t>Traffic within the TSS lane was predominantly comprised of cargo vessels and tankers</w:t>
      </w:r>
      <w:r w:rsidR="003175E5">
        <w:t xml:space="preserve"> throughout </w:t>
      </w:r>
      <w:r>
        <w:t xml:space="preserve">the 12-month period. </w:t>
      </w:r>
      <w:r w:rsidR="009B16D0">
        <w:t xml:space="preserve">Cargo vessels were the most common, accounting for 67% of the traffic, followed by tankers which accounted for 23% of the traffic. This was followed </w:t>
      </w:r>
      <w:r w:rsidR="009B16D0">
        <w:lastRenderedPageBreak/>
        <w:t xml:space="preserve">by passenger vessels (3%), fishing vessels (3%) and oil and gas vessels (1%). The remaining vessel types each accounted for less 1% and included </w:t>
      </w:r>
      <w:r w:rsidR="005E566E">
        <w:t>‘</w:t>
      </w:r>
      <w:r w:rsidR="009B16D0">
        <w:t>other</w:t>
      </w:r>
      <w:r w:rsidR="005E566E">
        <w:t>’</w:t>
      </w:r>
      <w:r w:rsidR="009B16D0">
        <w:t xml:space="preserve"> vessels (e.g., a port tender), wind farm vessels, tugs, recreational vessels, dredgers and military vessels.</w:t>
      </w:r>
      <w:r w:rsidR="00032CCD">
        <w:t xml:space="preserve"> </w:t>
      </w:r>
    </w:p>
    <w:p w14:paraId="5577F018" w14:textId="35C0BDC0" w:rsidR="007A5427" w:rsidRDefault="00615C99" w:rsidP="00990EE9">
      <w:r>
        <w:t xml:space="preserve">Cargo vessels </w:t>
      </w:r>
      <w:r w:rsidR="007A5427">
        <w:t>were recorded at</w:t>
      </w:r>
      <w:r w:rsidR="009B16D0">
        <w:t xml:space="preserve"> </w:t>
      </w:r>
      <w:r w:rsidR="00C21946">
        <w:t xml:space="preserve">an average frequency of eight per day. </w:t>
      </w:r>
      <w:r w:rsidR="00202F8E">
        <w:t xml:space="preserve">Approximately 42% of these were </w:t>
      </w:r>
      <w:r w:rsidR="00920DDD">
        <w:t>Roll-on/Roll-off (</w:t>
      </w:r>
      <w:r w:rsidR="00202F8E">
        <w:t>RoRo</w:t>
      </w:r>
      <w:r w:rsidR="00920DDD">
        <w:t>)</w:t>
      </w:r>
      <w:r w:rsidR="00202F8E">
        <w:t xml:space="preserve"> vessels</w:t>
      </w:r>
      <w:r w:rsidR="007F26C3">
        <w:t>;</w:t>
      </w:r>
      <w:r w:rsidR="00FB4016">
        <w:t xml:space="preserve"> </w:t>
      </w:r>
      <w:r w:rsidR="007F26C3">
        <w:t xml:space="preserve">these </w:t>
      </w:r>
      <w:r w:rsidR="00202F8E">
        <w:t>were recorded throughout the year</w:t>
      </w:r>
      <w:r w:rsidR="00175791">
        <w:t>, mainly</w:t>
      </w:r>
      <w:r w:rsidR="00976CD0">
        <w:t xml:space="preserve"> operated by </w:t>
      </w:r>
      <w:r w:rsidR="007F64F0">
        <w:t xml:space="preserve">CLdN, </w:t>
      </w:r>
      <w:r w:rsidR="00175791">
        <w:t>travel</w:t>
      </w:r>
      <w:r w:rsidR="005D3B28">
        <w:t>l</w:t>
      </w:r>
      <w:r w:rsidR="00175791">
        <w:t>ing to Liverpool from Dublin and Belfast,</w:t>
      </w:r>
      <w:r w:rsidR="00202F8E">
        <w:t xml:space="preserve"> and were weighted more towards the northern half of the TSS Study Area</w:t>
      </w:r>
      <w:r w:rsidR="00BE5A11">
        <w:t>, i.e., the inside of the TSS lane.</w:t>
      </w:r>
    </w:p>
    <w:p w14:paraId="7B5B4B72" w14:textId="41542B44" w:rsidR="00990EE9" w:rsidRDefault="004C5257" w:rsidP="00990EE9">
      <w:r>
        <w:t xml:space="preserve">Tankers </w:t>
      </w:r>
      <w:r w:rsidR="00202F8E">
        <w:t>were recorded at</w:t>
      </w:r>
      <w:r>
        <w:t xml:space="preserve"> an average frequency of three per day</w:t>
      </w:r>
      <w:r w:rsidR="005305BC">
        <w:t>, with no strong seasonal pattern across the 12-month period.</w:t>
      </w:r>
    </w:p>
    <w:p w14:paraId="60CA6C2C" w14:textId="1E3818E9" w:rsidR="00D371B9" w:rsidRDefault="00D371B9" w:rsidP="00990EE9">
      <w:r>
        <w:t xml:space="preserve">Passenger vessels </w:t>
      </w:r>
      <w:r w:rsidR="00006E25">
        <w:t>were recorded at an average frequency of</w:t>
      </w:r>
      <w:r>
        <w:t xml:space="preserve"> one every two to three days. The majority </w:t>
      </w:r>
      <w:r w:rsidR="00A830F9">
        <w:t xml:space="preserve">(77%) </w:t>
      </w:r>
      <w:r>
        <w:t>were cruise liners</w:t>
      </w:r>
      <w:r w:rsidR="00A830F9">
        <w:t xml:space="preserve">, while 18% were </w:t>
      </w:r>
      <w:r w:rsidR="006240F1">
        <w:t>Roll-on/Roll-off Passenger (</w:t>
      </w:r>
      <w:r w:rsidR="00A830F9">
        <w:t>RoPax</w:t>
      </w:r>
      <w:r w:rsidR="006240F1">
        <w:t>)</w:t>
      </w:r>
      <w:r w:rsidR="00A830F9">
        <w:t xml:space="preserve"> and the remaining 5% were large yachts / tall ships.</w:t>
      </w:r>
      <w:r w:rsidR="0091146B">
        <w:t xml:space="preserve"> The most common RoPax vessel was operated by Stena</w:t>
      </w:r>
      <w:r w:rsidR="003B5BFE">
        <w:t xml:space="preserve"> </w:t>
      </w:r>
      <w:r w:rsidR="0091146B">
        <w:t xml:space="preserve">Line, </w:t>
      </w:r>
      <w:r w:rsidR="001868E9">
        <w:t xml:space="preserve">transiting from Dublin to Liverpool, </w:t>
      </w:r>
      <w:r w:rsidR="00910B3F">
        <w:t xml:space="preserve">however </w:t>
      </w:r>
      <w:r w:rsidR="006E0EA5">
        <w:t>it</w:t>
      </w:r>
      <w:r w:rsidR="00910B3F">
        <w:t xml:space="preserve"> is understood </w:t>
      </w:r>
      <w:r w:rsidR="006E0EA5">
        <w:t>that Stena</w:t>
      </w:r>
      <w:r w:rsidR="0085336E">
        <w:t xml:space="preserve"> </w:t>
      </w:r>
      <w:r w:rsidR="006E0EA5">
        <w:t xml:space="preserve">Line do not regularly operate a passenger ferry route between </w:t>
      </w:r>
      <w:r w:rsidR="001868E9">
        <w:t xml:space="preserve">these </w:t>
      </w:r>
      <w:r w:rsidR="00137213">
        <w:t>locations</w:t>
      </w:r>
      <w:r w:rsidR="00BA4791">
        <w:t xml:space="preserve">; </w:t>
      </w:r>
      <w:r w:rsidR="00452082">
        <w:t>the</w:t>
      </w:r>
      <w:r w:rsidR="00BA4791">
        <w:t xml:space="preserve"> vessel </w:t>
      </w:r>
      <w:r w:rsidR="00362157">
        <w:t xml:space="preserve">was entirely recorded during January, transiting </w:t>
      </w:r>
      <w:r w:rsidR="0091146B">
        <w:t>through the TSS Study Area a total of 15 times</w:t>
      </w:r>
      <w:r w:rsidR="002F319B">
        <w:t>.</w:t>
      </w:r>
    </w:p>
    <w:p w14:paraId="197E3B52" w14:textId="71FD3F22" w:rsidR="007F196D" w:rsidRDefault="007F196D" w:rsidP="00990EE9">
      <w:r>
        <w:t>The majority (88%) of fishing vessel tracks were from a single vessel</w:t>
      </w:r>
      <w:r w:rsidR="00084040">
        <w:t>, which was recorded throughout the TSS Study Area and was potentially engaged in active fishing based on its track behaviour</w:t>
      </w:r>
      <w:r w:rsidR="00C71D54">
        <w:t xml:space="preserve"> and average speed</w:t>
      </w:r>
      <w:r w:rsidR="0018597A">
        <w:t>s</w:t>
      </w:r>
      <w:r w:rsidR="00084040">
        <w:t>.</w:t>
      </w:r>
    </w:p>
    <w:p w14:paraId="5D92D7C6" w14:textId="4823A2E7" w:rsidR="00307121" w:rsidRDefault="005E12BF" w:rsidP="00990EE9">
      <w:r>
        <w:t xml:space="preserve">Two oil and gas vessels were </w:t>
      </w:r>
      <w:r w:rsidR="00A61EEF">
        <w:t>broadcasting</w:t>
      </w:r>
      <w:r>
        <w:t xml:space="preserve"> as </w:t>
      </w:r>
      <w:r w:rsidR="00E515B1">
        <w:t xml:space="preserve">Restricted in </w:t>
      </w:r>
      <w:r w:rsidR="00DF1D0B">
        <w:t>Ability to Manoeuvre (</w:t>
      </w:r>
      <w:r>
        <w:t>RAM</w:t>
      </w:r>
      <w:r w:rsidR="00DF1D0B">
        <w:t>)</w:t>
      </w:r>
      <w:r>
        <w:t xml:space="preserve"> while situated at the subsea wells within the TSS Study Area, </w:t>
      </w:r>
      <w:r w:rsidR="001A25FF">
        <w:t>across several days between February and April</w:t>
      </w:r>
      <w:r w:rsidR="00F970B0">
        <w:t>.</w:t>
      </w:r>
      <w:r w:rsidR="001744E9">
        <w:t xml:space="preserve"> </w:t>
      </w:r>
      <w:r w:rsidR="00876811">
        <w:t>As an example, an instance of this RAM activity that took place near the centre of the TSS</w:t>
      </w:r>
      <w:r w:rsidR="00D509A2">
        <w:t xml:space="preserve"> </w:t>
      </w:r>
      <w:r w:rsidR="00B03993">
        <w:t xml:space="preserve">lane </w:t>
      </w:r>
      <w:r w:rsidR="00D509A2">
        <w:t>on the 18</w:t>
      </w:r>
      <w:r w:rsidR="00D509A2" w:rsidRPr="009C4D97">
        <w:rPr>
          <w:vertAlign w:val="superscript"/>
        </w:rPr>
        <w:t>th</w:t>
      </w:r>
      <w:r w:rsidR="00D509A2">
        <w:t xml:space="preserve"> February </w:t>
      </w:r>
      <w:r w:rsidR="00506F6D">
        <w:t xml:space="preserve">from </w:t>
      </w:r>
      <w:r w:rsidR="00B03993">
        <w:t xml:space="preserve">12am </w:t>
      </w:r>
      <w:r w:rsidR="00506F6D">
        <w:t>to 6pm has been selected</w:t>
      </w:r>
      <w:r w:rsidR="00744CF5">
        <w:t xml:space="preserve"> and </w:t>
      </w:r>
      <w:r w:rsidR="00506F6D">
        <w:t xml:space="preserve">the </w:t>
      </w:r>
      <w:r w:rsidR="00DD6208">
        <w:t>TSS users</w:t>
      </w:r>
      <w:r w:rsidR="00744CF5">
        <w:t xml:space="preserve"> </w:t>
      </w:r>
      <w:r w:rsidR="00A917A4">
        <w:t xml:space="preserve">during this period </w:t>
      </w:r>
      <w:r w:rsidR="00744CF5">
        <w:t xml:space="preserve">are presented </w:t>
      </w:r>
      <w:r w:rsidR="00281F8C">
        <w:t xml:space="preserve">in </w:t>
      </w:r>
      <w:r w:rsidR="00B00285">
        <w:fldChar w:fldCharType="begin"/>
      </w:r>
      <w:r w:rsidR="00B00285">
        <w:instrText xml:space="preserve"> REF _Ref230268975 \h </w:instrText>
      </w:r>
      <w:r w:rsidR="00B00285">
        <w:fldChar w:fldCharType="separate"/>
      </w:r>
      <w:r w:rsidR="00AB4A42">
        <w:t xml:space="preserve">Figure </w:t>
      </w:r>
      <w:r w:rsidR="00AB4A42">
        <w:rPr>
          <w:noProof/>
        </w:rPr>
        <w:t>3</w:t>
      </w:r>
      <w:r w:rsidR="00AB4A42">
        <w:t>.</w:t>
      </w:r>
      <w:r w:rsidR="00AB4A42">
        <w:rPr>
          <w:noProof/>
        </w:rPr>
        <w:t>4</w:t>
      </w:r>
      <w:r w:rsidR="00B00285">
        <w:fldChar w:fldCharType="end"/>
      </w:r>
      <w:r w:rsidR="007971CC">
        <w:t>.</w:t>
      </w:r>
      <w:r w:rsidR="003338C3">
        <w:t xml:space="preserve"> Vessels were observed to keep their distance from the RAM activity</w:t>
      </w:r>
      <w:r w:rsidR="00B47D02">
        <w:t>, making use of the width of the TSS lane (which is approximately 1.8nm)</w:t>
      </w:r>
      <w:r w:rsidR="00B35812">
        <w:t>; the closest vessels passed approximately 0.4nm from the RAM activity.</w:t>
      </w:r>
      <w:r w:rsidR="00757F0C">
        <w:t xml:space="preserve"> It should </w:t>
      </w:r>
      <w:r w:rsidR="002572AA">
        <w:t>also</w:t>
      </w:r>
      <w:r w:rsidR="000B1744">
        <w:t xml:space="preserve"> be </w:t>
      </w:r>
      <w:r w:rsidR="00092182">
        <w:t xml:space="preserve">considered that </w:t>
      </w:r>
      <w:r w:rsidR="00D35829">
        <w:t>any encounters</w:t>
      </w:r>
      <w:r w:rsidR="000207A5">
        <w:t xml:space="preserve"> between passing vessels</w:t>
      </w:r>
      <w:r w:rsidR="00D35829">
        <w:t xml:space="preserve"> </w:t>
      </w:r>
      <w:r w:rsidR="00BF4AFC">
        <w:t xml:space="preserve">resulting from this activity would be between vessels </w:t>
      </w:r>
      <w:r w:rsidR="002D7920">
        <w:t>travelling in the same direction (eastward)</w:t>
      </w:r>
      <w:r w:rsidR="00824867">
        <w:t xml:space="preserve"> i.e. no head-on encounters. </w:t>
      </w:r>
    </w:p>
    <w:p w14:paraId="1ACD5E17" w14:textId="45E1A524" w:rsidR="002A3D38" w:rsidRDefault="002A3D38" w:rsidP="00990EE9"/>
    <w:p w14:paraId="7987455C" w14:textId="3BE0BD64" w:rsidR="00FE2954" w:rsidRDefault="00B06570" w:rsidP="009C4D97">
      <w:pPr>
        <w:keepNext/>
      </w:pPr>
      <w:r>
        <w:lastRenderedPageBreak/>
        <w:t xml:space="preserve"> </w:t>
      </w:r>
      <w:r w:rsidR="00A276E5">
        <w:rPr>
          <w:noProof/>
        </w:rPr>
        <w:drawing>
          <wp:inline distT="0" distB="0" distL="0" distR="0" wp14:anchorId="6E54FDDA" wp14:editId="4516B1B7">
            <wp:extent cx="5731510" cy="3472815"/>
            <wp:effectExtent l="0" t="0" r="2540" b="0"/>
            <wp:docPr id="2935773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7734" name="Picture 29357734"/>
                    <pic:cNvPicPr/>
                  </pic:nvPicPr>
                  <pic:blipFill>
                    <a:blip r:embed="rId26"/>
                    <a:stretch>
                      <a:fillRect/>
                    </a:stretch>
                  </pic:blipFill>
                  <pic:spPr>
                    <a:xfrm>
                      <a:off x="0" y="0"/>
                      <a:ext cx="5731510" cy="3472815"/>
                    </a:xfrm>
                    <a:prstGeom prst="rect">
                      <a:avLst/>
                    </a:prstGeom>
                  </pic:spPr>
                </pic:pic>
              </a:graphicData>
            </a:graphic>
          </wp:inline>
        </w:drawing>
      </w:r>
    </w:p>
    <w:p w14:paraId="646776AA" w14:textId="2F65E46F" w:rsidR="00084040" w:rsidRDefault="00FE2954" w:rsidP="009C4D97">
      <w:pPr>
        <w:pStyle w:val="Caption"/>
        <w:jc w:val="both"/>
      </w:pPr>
      <w:bookmarkStart w:id="43" w:name="_Ref230268975"/>
      <w:bookmarkStart w:id="44" w:name="_Toc230357513"/>
      <w:r>
        <w:t xml:space="preserve">Figure </w:t>
      </w:r>
      <w:fldSimple w:instr=" STYLEREF 1 \s ">
        <w:r w:rsidR="00AB4A42">
          <w:rPr>
            <w:noProof/>
          </w:rPr>
          <w:t>3</w:t>
        </w:r>
      </w:fldSimple>
      <w:r>
        <w:t>.</w:t>
      </w:r>
      <w:fldSimple w:instr=" SEQ Figure \* ARABIC \s 1 ">
        <w:r w:rsidR="00AB4A42">
          <w:rPr>
            <w:noProof/>
          </w:rPr>
          <w:t>4</w:t>
        </w:r>
      </w:fldSimple>
      <w:bookmarkEnd w:id="43"/>
      <w:r>
        <w:tab/>
      </w:r>
      <w:r w:rsidR="00F21766">
        <w:t xml:space="preserve">Vessels </w:t>
      </w:r>
      <w:r w:rsidR="005311EE">
        <w:t>During RAM Activity</w:t>
      </w:r>
      <w:r w:rsidR="00281F8C">
        <w:t xml:space="preserve"> (18</w:t>
      </w:r>
      <w:r w:rsidR="00281F8C" w:rsidRPr="009C4D97">
        <w:rPr>
          <w:vertAlign w:val="superscript"/>
        </w:rPr>
        <w:t>th</w:t>
      </w:r>
      <w:r w:rsidR="00281F8C">
        <w:t xml:space="preserve"> February 2025)</w:t>
      </w:r>
      <w:bookmarkEnd w:id="44"/>
    </w:p>
    <w:p w14:paraId="6ADBC740" w14:textId="5FB7DBF6" w:rsidR="0063497D" w:rsidRPr="00990EE9" w:rsidRDefault="0063497D" w:rsidP="00990EE9">
      <w:r>
        <w:t xml:space="preserve">Overall </w:t>
      </w:r>
      <w:r w:rsidR="004233FF">
        <w:t xml:space="preserve">seasonality was observed to be </w:t>
      </w:r>
      <w:r w:rsidR="00680499">
        <w:t>limited</w:t>
      </w:r>
      <w:r w:rsidR="004233FF">
        <w:t xml:space="preserve">. The busiest month was May, with an average of 14 vessels per day. The quietest month was December, with an average of 10 vessels per day. </w:t>
      </w:r>
      <w:r w:rsidR="00D51A0B">
        <w:t xml:space="preserve">The higher level of traffic during May can be attributed to a higher level of fishing </w:t>
      </w:r>
      <w:r w:rsidR="00A22E73">
        <w:t>activity</w:t>
      </w:r>
      <w:r w:rsidR="00A30845">
        <w:t xml:space="preserve"> </w:t>
      </w:r>
      <w:r w:rsidR="00CA15D8">
        <w:t>(noting again that the majority of this was from a single vessel).</w:t>
      </w:r>
      <w:r w:rsidR="00197B5C">
        <w:t xml:space="preserve"> There was an average of 12 vessels per day over the course of the 12-month period as a whole.</w:t>
      </w:r>
    </w:p>
    <w:p w14:paraId="1FB2DEC0" w14:textId="77777777" w:rsidR="007B3DC7" w:rsidRDefault="007B3DC7" w:rsidP="007B3DC7">
      <w:pPr>
        <w:pStyle w:val="Heading3"/>
      </w:pPr>
      <w:bookmarkStart w:id="45" w:name="_Toc230357495"/>
      <w:r>
        <w:t>Vessel Draught</w:t>
      </w:r>
      <w:bookmarkEnd w:id="45"/>
    </w:p>
    <w:p w14:paraId="24859642" w14:textId="3F6014AA" w:rsidR="00862345" w:rsidRPr="00680108" w:rsidRDefault="00680108" w:rsidP="00680108">
      <w:r w:rsidRPr="00551058">
        <w:fldChar w:fldCharType="begin"/>
      </w:r>
      <w:r w:rsidRPr="00551058">
        <w:instrText xml:space="preserve"> REF _Ref228366069 \h  \* MERGEFORMAT </w:instrText>
      </w:r>
      <w:r w:rsidRPr="00551058">
        <w:fldChar w:fldCharType="separate"/>
      </w:r>
      <w:r w:rsidR="00AB4A42" w:rsidRPr="00551058">
        <w:t xml:space="preserve">Figure </w:t>
      </w:r>
      <w:r w:rsidR="00AB4A42">
        <w:rPr>
          <w:noProof/>
        </w:rPr>
        <w:t>2.4</w:t>
      </w:r>
      <w:r w:rsidRPr="00551058">
        <w:fldChar w:fldCharType="end"/>
      </w:r>
      <w:r w:rsidRPr="00551058">
        <w:t xml:space="preserve"> presents the vessels recorded on AIS within the </w:t>
      </w:r>
      <w:r>
        <w:t xml:space="preserve">TSS </w:t>
      </w:r>
      <w:r w:rsidRPr="00551058">
        <w:t xml:space="preserve">Study Area during the 12-month period, colour-coded by draught. Following this, Figure 2.2 presents the distribution of vessel draughts within the </w:t>
      </w:r>
      <w:r>
        <w:t xml:space="preserve">TSS </w:t>
      </w:r>
      <w:r w:rsidRPr="00551058">
        <w:t>Study Area.</w:t>
      </w:r>
      <w:r w:rsidR="00DF3747">
        <w:t xml:space="preserve"> </w:t>
      </w:r>
      <w:r w:rsidR="00862345">
        <w:t xml:space="preserve">Approximately 3% </w:t>
      </w:r>
      <w:r w:rsidR="00342482">
        <w:t>of vessel tracks w</w:t>
      </w:r>
      <w:r w:rsidR="00862345">
        <w:t>ithin the TSS Study Area</w:t>
      </w:r>
      <w:r w:rsidR="00342482">
        <w:t xml:space="preserve"> were not associated with a valid draught</w:t>
      </w:r>
      <w:r w:rsidR="00DF3747">
        <w:t xml:space="preserve"> value and are excluded from the analysis. </w:t>
      </w:r>
    </w:p>
    <w:p w14:paraId="1B51EC36" w14:textId="0083D47D" w:rsidR="00515584" w:rsidRDefault="00F74C07" w:rsidP="00515584">
      <w:pPr>
        <w:keepNext/>
      </w:pPr>
      <w:r>
        <w:rPr>
          <w:noProof/>
        </w:rPr>
        <w:lastRenderedPageBreak/>
        <w:drawing>
          <wp:inline distT="0" distB="0" distL="0" distR="0" wp14:anchorId="5308FCE1" wp14:editId="2A31F86F">
            <wp:extent cx="5731510" cy="3472815"/>
            <wp:effectExtent l="0" t="0" r="2540" b="0"/>
            <wp:docPr id="189895514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955145" name="Picture 1898955145"/>
                    <pic:cNvPicPr/>
                  </pic:nvPicPr>
                  <pic:blipFill>
                    <a:blip r:embed="rId27"/>
                    <a:stretch>
                      <a:fillRect/>
                    </a:stretch>
                  </pic:blipFill>
                  <pic:spPr>
                    <a:xfrm>
                      <a:off x="0" y="0"/>
                      <a:ext cx="5731510" cy="3472815"/>
                    </a:xfrm>
                    <a:prstGeom prst="rect">
                      <a:avLst/>
                    </a:prstGeom>
                  </pic:spPr>
                </pic:pic>
              </a:graphicData>
            </a:graphic>
          </wp:inline>
        </w:drawing>
      </w:r>
    </w:p>
    <w:p w14:paraId="55086B65" w14:textId="162CF31B" w:rsidR="0063497D" w:rsidRDefault="00515584" w:rsidP="00515584">
      <w:pPr>
        <w:pStyle w:val="Caption"/>
        <w:jc w:val="both"/>
      </w:pPr>
      <w:bookmarkStart w:id="46" w:name="_Toc230357514"/>
      <w:r>
        <w:t xml:space="preserve">Figure </w:t>
      </w:r>
      <w:fldSimple w:instr=" STYLEREF 1 \s ">
        <w:r w:rsidR="00AB4A42">
          <w:rPr>
            <w:noProof/>
          </w:rPr>
          <w:t>3</w:t>
        </w:r>
      </w:fldSimple>
      <w:r w:rsidR="00FB2C8D">
        <w:t>.</w:t>
      </w:r>
      <w:fldSimple w:instr=" SEQ Figure \* ARABIC \s 1 ">
        <w:r w:rsidR="00AB4A42">
          <w:rPr>
            <w:noProof/>
          </w:rPr>
          <w:t>5</w:t>
        </w:r>
      </w:fldSimple>
      <w:r>
        <w:tab/>
        <w:t xml:space="preserve">Vessels by Draught </w:t>
      </w:r>
      <w:r w:rsidR="002C0137">
        <w:t xml:space="preserve">within TSS Study Area </w:t>
      </w:r>
      <w:r>
        <w:t>(12 months, 2025)</w:t>
      </w:r>
      <w:bookmarkEnd w:id="46"/>
    </w:p>
    <w:p w14:paraId="76CDE425" w14:textId="2071827A" w:rsidR="0086487F" w:rsidRDefault="008F6F17" w:rsidP="0086487F">
      <w:pPr>
        <w:keepNext/>
        <w:jc w:val="center"/>
      </w:pPr>
      <w:r>
        <w:rPr>
          <w:noProof/>
        </w:rPr>
        <w:drawing>
          <wp:inline distT="0" distB="0" distL="0" distR="0" wp14:anchorId="484BAD7D" wp14:editId="7ECC3200">
            <wp:extent cx="5672148" cy="3212327"/>
            <wp:effectExtent l="0" t="0" r="5080" b="7620"/>
            <wp:docPr id="20800987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82608" cy="3218251"/>
                    </a:xfrm>
                    <a:prstGeom prst="rect">
                      <a:avLst/>
                    </a:prstGeom>
                    <a:noFill/>
                  </pic:spPr>
                </pic:pic>
              </a:graphicData>
            </a:graphic>
          </wp:inline>
        </w:drawing>
      </w:r>
    </w:p>
    <w:p w14:paraId="50B53A72" w14:textId="14AE2036" w:rsidR="00486886" w:rsidRDefault="0086487F" w:rsidP="0086487F">
      <w:pPr>
        <w:pStyle w:val="Caption"/>
      </w:pPr>
      <w:bookmarkStart w:id="47" w:name="_Toc230357515"/>
      <w:r>
        <w:t xml:space="preserve">Figure </w:t>
      </w:r>
      <w:fldSimple w:instr=" STYLEREF 1 \s ">
        <w:r w:rsidR="00AB4A42">
          <w:rPr>
            <w:noProof/>
          </w:rPr>
          <w:t>3</w:t>
        </w:r>
      </w:fldSimple>
      <w:r w:rsidR="00FB2C8D">
        <w:t>.</w:t>
      </w:r>
      <w:fldSimple w:instr=" SEQ Figure \* ARABIC \s 1 ">
        <w:r w:rsidR="00AB4A42">
          <w:rPr>
            <w:noProof/>
          </w:rPr>
          <w:t>6</w:t>
        </w:r>
      </w:fldSimple>
      <w:r>
        <w:tab/>
      </w:r>
      <w:r w:rsidRPr="00551058">
        <w:t xml:space="preserve">Distribution of Vessel Draughts </w:t>
      </w:r>
      <w:r>
        <w:t xml:space="preserve">within </w:t>
      </w:r>
      <w:r w:rsidR="002C0137">
        <w:t>TSS</w:t>
      </w:r>
      <w:r w:rsidRPr="00445025">
        <w:t xml:space="preserve"> Study Area </w:t>
      </w:r>
      <w:r w:rsidRPr="00551058">
        <w:t>(12 months, 2025)</w:t>
      </w:r>
      <w:bookmarkEnd w:id="47"/>
    </w:p>
    <w:p w14:paraId="04A85F7B" w14:textId="6C719BAE" w:rsidR="002C0137" w:rsidRPr="002C0137" w:rsidRDefault="002C0137" w:rsidP="002C0137">
      <w:r>
        <w:t>Vessels most commonly had a draught of between 6m and 8m, with this range accounting for 47% of vessels within the TSS</w:t>
      </w:r>
      <w:r w:rsidR="00083315">
        <w:t>. The average draught was 6.7m. The deepest draught was 14m, from two crude oil tankers.</w:t>
      </w:r>
      <w:r w:rsidR="00C00477">
        <w:t xml:space="preserve"> </w:t>
      </w:r>
    </w:p>
    <w:p w14:paraId="05C4BA1C" w14:textId="12B2B838" w:rsidR="00F72508" w:rsidRPr="002C0137" w:rsidRDefault="00F72508" w:rsidP="002C0137">
      <w:r>
        <w:lastRenderedPageBreak/>
        <w:t xml:space="preserve">The vessels with the shallowest draughts (less than 4m) </w:t>
      </w:r>
      <w:r w:rsidR="009C47AA">
        <w:t xml:space="preserve">were </w:t>
      </w:r>
      <w:r w:rsidR="00E7245D">
        <w:t>seen closest to the outer edge of the TSS lane</w:t>
      </w:r>
      <w:r w:rsidR="00F33F59">
        <w:t xml:space="preserve">, while vessels with deeper draughts (at least 4m) were seen with a mean position close to the centre of the lane. </w:t>
      </w:r>
      <w:r w:rsidR="004240B0">
        <w:t>Vessels with a draught of at least 8m were seen</w:t>
      </w:r>
      <w:r w:rsidR="003E504F">
        <w:t xml:space="preserve"> with a narrower spread than those with draughts less than 8m</w:t>
      </w:r>
      <w:r w:rsidR="00A50762">
        <w:t xml:space="preserve"> – again, close to the centre of the lane</w:t>
      </w:r>
      <w:r w:rsidR="003E504F">
        <w:t>.</w:t>
      </w:r>
    </w:p>
    <w:p w14:paraId="27701671" w14:textId="77777777" w:rsidR="007B3DC7" w:rsidRDefault="007B3DC7" w:rsidP="007B3DC7">
      <w:pPr>
        <w:pStyle w:val="Heading2"/>
      </w:pPr>
      <w:bookmarkStart w:id="48" w:name="_Ref229996185"/>
      <w:bookmarkStart w:id="49" w:name="_Toc230357496"/>
      <w:r>
        <w:t>Time-Based Vessel Traffic Analysis</w:t>
      </w:r>
      <w:bookmarkEnd w:id="48"/>
      <w:bookmarkEnd w:id="49"/>
    </w:p>
    <w:p w14:paraId="0470DD16" w14:textId="3C5D8E37" w:rsidR="00E81797" w:rsidRDefault="00586568" w:rsidP="00586568">
      <w:r w:rsidRPr="00551058">
        <w:t xml:space="preserve">This section presents a time-based analysis of vessels within the 12-month AIS dataset crossing the </w:t>
      </w:r>
      <w:r>
        <w:t>TSS Portion of the Proposed Development</w:t>
      </w:r>
      <w:r w:rsidRPr="00551058">
        <w:t xml:space="preserve"> in terms of time of day.</w:t>
      </w:r>
      <w:r w:rsidR="00E81797">
        <w:t xml:space="preserve"> Given the distance offshore</w:t>
      </w:r>
      <w:r w:rsidR="00DB459F">
        <w:t xml:space="preserve"> and </w:t>
      </w:r>
      <w:r w:rsidR="00BC6849">
        <w:t>navigable water depths</w:t>
      </w:r>
      <w:r w:rsidR="00E81797">
        <w:t xml:space="preserve">, it was not </w:t>
      </w:r>
      <w:r w:rsidR="00D828DB">
        <w:t xml:space="preserve">deemed </w:t>
      </w:r>
      <w:r w:rsidR="000140EE">
        <w:t>as relevant</w:t>
      </w:r>
      <w:r w:rsidR="000F48F8">
        <w:t xml:space="preserve"> to consider </w:t>
      </w:r>
      <w:r w:rsidR="00EF3B34">
        <w:t>tidal trends in this instance</w:t>
      </w:r>
      <w:r w:rsidR="000207A5">
        <w:t>, and the full 12 months has been used in the analysis</w:t>
      </w:r>
      <w:r w:rsidR="00EF3B34">
        <w:t>.</w:t>
      </w:r>
    </w:p>
    <w:p w14:paraId="2801BF71" w14:textId="505B2A0D" w:rsidR="00586568" w:rsidRPr="00586568" w:rsidRDefault="00586568" w:rsidP="00586568">
      <w:pPr>
        <w:rPr>
          <w:highlight w:val="yellow"/>
        </w:rPr>
      </w:pPr>
      <w:r w:rsidRPr="00AB1559">
        <w:t xml:space="preserve">Vessels were used as input to Anatec’s </w:t>
      </w:r>
      <w:r w:rsidRPr="00AB1559">
        <w:rPr>
          <w:i/>
          <w:iCs/>
        </w:rPr>
        <w:t>Time Analyser</w:t>
      </w:r>
      <w:r w:rsidRPr="00AB1559">
        <w:t xml:space="preserve"> program; this program identified each vessel crossing the </w:t>
      </w:r>
      <w:r w:rsidR="00AB1559" w:rsidRPr="00AB1559">
        <w:t xml:space="preserve">TSS </w:t>
      </w:r>
      <w:r w:rsidRPr="00AB1559">
        <w:t>Portion of the Proposed Development and interpolated a timestamp at the point of crossing.</w:t>
      </w:r>
    </w:p>
    <w:p w14:paraId="6ACB9CB3" w14:textId="6F01EDBD" w:rsidR="007B3DC7" w:rsidRDefault="00586568" w:rsidP="000915B2">
      <w:r w:rsidRPr="00CD1EBC">
        <w:t>All times in this section are presented in UTC.</w:t>
      </w:r>
    </w:p>
    <w:p w14:paraId="4BF16366" w14:textId="5F37B774" w:rsidR="00212D58" w:rsidRDefault="00E855D2" w:rsidP="009C4D97">
      <w:r>
        <w:fldChar w:fldCharType="begin"/>
      </w:r>
      <w:r>
        <w:instrText xml:space="preserve"> REF _Ref230255321 \h </w:instrText>
      </w:r>
      <w:r>
        <w:fldChar w:fldCharType="separate"/>
      </w:r>
      <w:r w:rsidR="00AB4A42">
        <w:t xml:space="preserve">Figure </w:t>
      </w:r>
      <w:r w:rsidR="00AB4A42">
        <w:rPr>
          <w:noProof/>
        </w:rPr>
        <w:t>3</w:t>
      </w:r>
      <w:r w:rsidR="00AB4A42">
        <w:t>.</w:t>
      </w:r>
      <w:r w:rsidR="00AB4A42">
        <w:rPr>
          <w:noProof/>
        </w:rPr>
        <w:t>7</w:t>
      </w:r>
      <w:r>
        <w:fldChar w:fldCharType="end"/>
      </w:r>
      <w:r w:rsidR="006A76AE" w:rsidRPr="00551058">
        <w:t xml:space="preserve"> presents the </w:t>
      </w:r>
      <w:r w:rsidR="005C172A">
        <w:t xml:space="preserve">number of </w:t>
      </w:r>
      <w:r w:rsidR="005C172A" w:rsidRPr="00551058">
        <w:t xml:space="preserve">vessels recorded crossing the </w:t>
      </w:r>
      <w:r w:rsidR="005C172A">
        <w:t>TSS Portion of the Proposed Development,</w:t>
      </w:r>
      <w:r w:rsidR="005C172A" w:rsidRPr="00551058">
        <w:t xml:space="preserve"> </w:t>
      </w:r>
      <w:r w:rsidR="006A76AE" w:rsidRPr="00551058">
        <w:t>per hour of crossing</w:t>
      </w:r>
      <w:r w:rsidR="00D770B9">
        <w:t>,</w:t>
      </w:r>
      <w:r w:rsidR="006A76AE" w:rsidRPr="00551058">
        <w:t xml:space="preserve"> throughout the </w:t>
      </w:r>
      <w:r w:rsidR="006A76AE">
        <w:t>year</w:t>
      </w:r>
      <w:r w:rsidR="006A76AE" w:rsidRPr="00551058">
        <w:t>.</w:t>
      </w:r>
    </w:p>
    <w:p w14:paraId="3483C89A" w14:textId="12AFACAD" w:rsidR="00FB2C8D" w:rsidRDefault="001A29C5" w:rsidP="00FB2C8D">
      <w:pPr>
        <w:keepNext/>
        <w:jc w:val="center"/>
      </w:pPr>
      <w:r>
        <w:rPr>
          <w:noProof/>
        </w:rPr>
        <w:drawing>
          <wp:inline distT="0" distB="0" distL="0" distR="0" wp14:anchorId="69DE8AC7" wp14:editId="0CAD9115">
            <wp:extent cx="5756745" cy="3453567"/>
            <wp:effectExtent l="0" t="0" r="0" b="0"/>
            <wp:docPr id="5258720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62980" cy="3457307"/>
                    </a:xfrm>
                    <a:prstGeom prst="rect">
                      <a:avLst/>
                    </a:prstGeom>
                    <a:noFill/>
                  </pic:spPr>
                </pic:pic>
              </a:graphicData>
            </a:graphic>
          </wp:inline>
        </w:drawing>
      </w:r>
    </w:p>
    <w:p w14:paraId="68C000A5" w14:textId="2B0CC343" w:rsidR="00FB2C8D" w:rsidRDefault="00FB2C8D" w:rsidP="00FB2C8D">
      <w:pPr>
        <w:pStyle w:val="Caption"/>
      </w:pPr>
      <w:bookmarkStart w:id="50" w:name="_Ref230255321"/>
      <w:bookmarkStart w:id="51" w:name="_Toc230357516"/>
      <w:r>
        <w:t xml:space="preserve">Figure </w:t>
      </w:r>
      <w:fldSimple w:instr=" STYLEREF 1 \s ">
        <w:r w:rsidR="00AB4A42">
          <w:rPr>
            <w:noProof/>
          </w:rPr>
          <w:t>3</w:t>
        </w:r>
      </w:fldSimple>
      <w:r>
        <w:t>.</w:t>
      </w:r>
      <w:fldSimple w:instr=" SEQ Figure \* ARABIC \s 1 ">
        <w:r w:rsidR="00AB4A42">
          <w:rPr>
            <w:noProof/>
          </w:rPr>
          <w:t>7</w:t>
        </w:r>
      </w:fldSimple>
      <w:bookmarkEnd w:id="50"/>
      <w:r>
        <w:tab/>
        <w:t>Number of Crossings per Hour of Day within TSS Study Area (12 months, 2025)</w:t>
      </w:r>
      <w:bookmarkEnd w:id="51"/>
    </w:p>
    <w:p w14:paraId="3831458E" w14:textId="673AECD0" w:rsidR="00C21F3F" w:rsidRDefault="00207C17" w:rsidP="00C21F3F">
      <w:r>
        <w:t>V</w:t>
      </w:r>
      <w:r w:rsidR="00BA7C1A">
        <w:t xml:space="preserve">essels were observed to be crossing the TSS Portion of the Proposed Development most frequently between 10am and 11am; over the course of the year, there were a total of 307 </w:t>
      </w:r>
      <w:r w:rsidR="00BA7C1A">
        <w:lastRenderedPageBreak/>
        <w:t xml:space="preserve">crossings </w:t>
      </w:r>
      <w:r w:rsidR="00475335">
        <w:t xml:space="preserve">during </w:t>
      </w:r>
      <w:r w:rsidR="00BA7C1A">
        <w:t>this hour</w:t>
      </w:r>
      <w:r w:rsidR="001C1C9C">
        <w:t xml:space="preserve"> (i.e., over the course of the year, there was an average of </w:t>
      </w:r>
      <w:r w:rsidR="00A75B4B">
        <w:t>one crossing per day between 10am and 11am)</w:t>
      </w:r>
      <w:r w:rsidR="00BA7C1A">
        <w:t>. The least common time for vessels to cross the TSS Portion of the Proposed Development was between 1am and 2am; over the course of the year, there were a total of 101 crossings on this hour</w:t>
      </w:r>
      <w:r w:rsidR="00D15371">
        <w:t xml:space="preserve"> (i.e., over the course of the year, there was </w:t>
      </w:r>
      <w:r w:rsidR="002A1B72">
        <w:t>an average of one crossing every three to four days between 1am and 2am)</w:t>
      </w:r>
      <w:r w:rsidR="00BA7C1A">
        <w:t>.</w:t>
      </w:r>
    </w:p>
    <w:p w14:paraId="563122DD" w14:textId="4DF6AC0A" w:rsidR="007C7893" w:rsidRPr="00C21F3F" w:rsidRDefault="007C7893" w:rsidP="00C21F3F">
      <w:r>
        <w:t xml:space="preserve">Although there </w:t>
      </w:r>
      <w:r w:rsidR="00927739">
        <w:t>is a trend of lower numbers of crossings in the afternoon hours (</w:t>
      </w:r>
      <w:r w:rsidR="000E6C28">
        <w:t xml:space="preserve">2pm to 5pm), this is considered a relatively weak trend and the number of crossings </w:t>
      </w:r>
      <w:r w:rsidR="00E9254A">
        <w:t xml:space="preserve">at this time of day </w:t>
      </w:r>
      <w:r w:rsidR="000E6C28">
        <w:t xml:space="preserve">remains </w:t>
      </w:r>
      <w:r w:rsidR="007075FD">
        <w:t xml:space="preserve">such that </w:t>
      </w:r>
      <w:r w:rsidR="00175A8D">
        <w:t xml:space="preserve">there is a </w:t>
      </w:r>
      <w:r w:rsidR="00AD532F">
        <w:t xml:space="preserve">high probability that a </w:t>
      </w:r>
      <w:r w:rsidR="00021B44">
        <w:t xml:space="preserve">transiting vessel encounters the cable lay activities, </w:t>
      </w:r>
      <w:r w:rsidR="0084752B">
        <w:t xml:space="preserve">given that the cable lay is expected to take </w:t>
      </w:r>
      <w:r w:rsidR="004C4293">
        <w:t>one to two days in total. This</w:t>
      </w:r>
      <w:r w:rsidR="00021B44">
        <w:t xml:space="preserve"> </w:t>
      </w:r>
      <w:r w:rsidR="00604AFC">
        <w:t>reflects the navigational importance of the Liverpool Bay TSS and the Port of Liverpool</w:t>
      </w:r>
      <w:r w:rsidR="004C4293">
        <w:t xml:space="preserve"> as a key </w:t>
      </w:r>
      <w:r w:rsidR="00790592">
        <w:t>means to access the River Mersey</w:t>
      </w:r>
      <w:r w:rsidR="00604AFC">
        <w:t>.</w:t>
      </w:r>
    </w:p>
    <w:p w14:paraId="3EC6A46A" w14:textId="6B109A61" w:rsidR="00627700" w:rsidRPr="00551058" w:rsidRDefault="00627700" w:rsidP="00627700">
      <w:pPr>
        <w:pStyle w:val="Heading1"/>
      </w:pPr>
      <w:bookmarkStart w:id="52" w:name="_Ref230341133"/>
      <w:bookmarkStart w:id="53" w:name="_Toc230357497"/>
      <w:r w:rsidRPr="00551058">
        <w:lastRenderedPageBreak/>
        <w:t>Review of Navigational Risk Assessment</w:t>
      </w:r>
      <w:bookmarkEnd w:id="35"/>
      <w:bookmarkEnd w:id="52"/>
      <w:bookmarkEnd w:id="53"/>
    </w:p>
    <w:p w14:paraId="23F18A8F" w14:textId="7F91108F" w:rsidR="00DA7182" w:rsidRPr="00551058" w:rsidRDefault="003E48BE" w:rsidP="003E48BE">
      <w:r w:rsidRPr="00551058">
        <w:t xml:space="preserve">An NRA for the Proposed Development was submitted in 2024 (Anatec, 2024) in which impacts were identified and assessed along with relevant mitigation measures. </w:t>
      </w:r>
      <w:r w:rsidRPr="004E11AE">
        <w:t>This included the impact of reduced access to local ports</w:t>
      </w:r>
      <w:r w:rsidR="004E11AE" w:rsidRPr="004E11AE">
        <w:t xml:space="preserve"> as well as displacement/collision risk.</w:t>
      </w:r>
    </w:p>
    <w:p w14:paraId="07C7A3D4" w14:textId="0BACC37F" w:rsidR="003E48BE" w:rsidRPr="00551058" w:rsidRDefault="00C96D72" w:rsidP="003E48BE">
      <w:r w:rsidRPr="00551058">
        <w:t xml:space="preserve">This section reviews the </w:t>
      </w:r>
      <w:r w:rsidR="002873EE">
        <w:t xml:space="preserve">evaluation undertaken in the </w:t>
      </w:r>
      <w:r w:rsidR="00250217">
        <w:t>NRA</w:t>
      </w:r>
      <w:r w:rsidR="00710309" w:rsidRPr="00551058">
        <w:t>,</w:t>
      </w:r>
      <w:r w:rsidRPr="00551058">
        <w:t xml:space="preserve"> recommending any </w:t>
      </w:r>
      <w:r w:rsidR="000137AB">
        <w:t>revised</w:t>
      </w:r>
      <w:r w:rsidR="006612E1">
        <w:t xml:space="preserve"> and </w:t>
      </w:r>
      <w:r w:rsidRPr="00551058">
        <w:t xml:space="preserve">further mitigation based on the findings of </w:t>
      </w:r>
      <w:r w:rsidR="00712AE0" w:rsidRPr="00551058">
        <w:t>the</w:t>
      </w:r>
      <w:r w:rsidRPr="00551058">
        <w:t xml:space="preserve"> detailed assessment</w:t>
      </w:r>
      <w:r w:rsidR="00712AE0" w:rsidRPr="00551058">
        <w:t xml:space="preserve"> undertaken in this report</w:t>
      </w:r>
      <w:r w:rsidRPr="00551058">
        <w:t>.</w:t>
      </w:r>
    </w:p>
    <w:p w14:paraId="3926CD6C" w14:textId="0AC3C371" w:rsidR="004E11AE" w:rsidRPr="004E11AE" w:rsidRDefault="00A34664" w:rsidP="009C4D97">
      <w:pPr>
        <w:pStyle w:val="Heading2"/>
      </w:pPr>
      <w:bookmarkStart w:id="54" w:name="_Toc230357498"/>
      <w:r>
        <w:t>Welsh Channel</w:t>
      </w:r>
      <w:bookmarkEnd w:id="54"/>
    </w:p>
    <w:p w14:paraId="229AD78F" w14:textId="331ED2E9" w:rsidR="002322CC" w:rsidRDefault="0025576A" w:rsidP="001D2A73">
      <w:r>
        <w:t>W</w:t>
      </w:r>
      <w:r w:rsidR="00C54791" w:rsidRPr="00551058">
        <w:t xml:space="preserve">ithin the Welsh Channel, </w:t>
      </w:r>
      <w:r w:rsidR="00A34664">
        <w:t xml:space="preserve">the </w:t>
      </w:r>
      <w:r w:rsidR="00E51D5E">
        <w:t xml:space="preserve">profile of the </w:t>
      </w:r>
      <w:r w:rsidR="007971B2">
        <w:t>12</w:t>
      </w:r>
      <w:r w:rsidR="00A34664">
        <w:t xml:space="preserve"> months of AIS data from 2022 used in the NRA</w:t>
      </w:r>
      <w:r w:rsidR="00621782" w:rsidRPr="00551058">
        <w:t xml:space="preserve"> has remained broadly similar to the </w:t>
      </w:r>
      <w:r w:rsidR="007971B2">
        <w:t>12</w:t>
      </w:r>
      <w:r w:rsidR="007971B2" w:rsidRPr="00551058">
        <w:t xml:space="preserve"> </w:t>
      </w:r>
      <w:r w:rsidR="00621782" w:rsidRPr="00551058">
        <w:t xml:space="preserve">months of AIS </w:t>
      </w:r>
      <w:r w:rsidR="009B7517" w:rsidRPr="00551058">
        <w:t xml:space="preserve">data </w:t>
      </w:r>
      <w:r w:rsidR="00621782" w:rsidRPr="00551058">
        <w:t>from 2025 assessed in this report; in particular, wind farm vessels have remained the predominant vessel type</w:t>
      </w:r>
      <w:r w:rsidR="00671478" w:rsidRPr="00551058">
        <w:t xml:space="preserve"> (routeing to/from Gwynt y Môr, North Hoyle and Rhyl Flats).</w:t>
      </w:r>
    </w:p>
    <w:p w14:paraId="2E431CD5" w14:textId="4453CEA1" w:rsidR="000270DA" w:rsidRDefault="00076B06" w:rsidP="001D2A73">
      <w:r w:rsidRPr="00551058">
        <w:t xml:space="preserve">It was noted </w:t>
      </w:r>
      <w:r w:rsidR="002322CC">
        <w:t xml:space="preserve">in the NRA </w:t>
      </w:r>
      <w:r w:rsidRPr="00551058">
        <w:t xml:space="preserve">that the Port of Mostyn </w:t>
      </w:r>
      <w:r w:rsidR="000A7D25" w:rsidRPr="00551058">
        <w:t>can</w:t>
      </w:r>
      <w:r w:rsidR="00133344">
        <w:t xml:space="preserve"> also</w:t>
      </w:r>
      <w:r w:rsidR="000A7D25" w:rsidRPr="00551058">
        <w:t xml:space="preserve"> be accessed </w:t>
      </w:r>
      <w:r w:rsidRPr="00551058">
        <w:t xml:space="preserve">via the Mid Hoyle Channel, </w:t>
      </w:r>
      <w:r w:rsidR="000A7D25" w:rsidRPr="00551058">
        <w:t xml:space="preserve">and this </w:t>
      </w:r>
      <w:r w:rsidRPr="00551058">
        <w:t xml:space="preserve">can </w:t>
      </w:r>
      <w:r w:rsidR="00EE1CAE" w:rsidRPr="00551058">
        <w:t xml:space="preserve">also </w:t>
      </w:r>
      <w:r w:rsidRPr="00551058">
        <w:t>be observed within the 2025 AIS data</w:t>
      </w:r>
      <w:r w:rsidR="000270DA">
        <w:t xml:space="preserve"> including for the deepest draught vessels recorded accessing the Port of Mostyn. Therefore, it is feasible that some vessels which would otherwise utilise the Welsh Channel could potentially transit either of the two northern channels when </w:t>
      </w:r>
      <w:r w:rsidR="005436A0">
        <w:t>cable lay activities are ongoing.</w:t>
      </w:r>
    </w:p>
    <w:p w14:paraId="27AA8B7E" w14:textId="29107C07" w:rsidR="00076B06" w:rsidRPr="00551058" w:rsidRDefault="00110164" w:rsidP="001D2A73">
      <w:r>
        <w:t xml:space="preserve">An hourly analysis for the busiest month </w:t>
      </w:r>
      <w:r w:rsidR="00C2594D">
        <w:t xml:space="preserve">of the 2025 AIS data </w:t>
      </w:r>
      <w:r w:rsidR="00F10C10">
        <w:t>indicates a preference for daytime transits.</w:t>
      </w:r>
    </w:p>
    <w:p w14:paraId="7BBB4AE4" w14:textId="3BA1B028" w:rsidR="005265CF" w:rsidRDefault="00076B06" w:rsidP="001D2A73">
      <w:r w:rsidRPr="00551058">
        <w:t xml:space="preserve">The </w:t>
      </w:r>
      <w:r w:rsidR="00456EC0">
        <w:t xml:space="preserve">NRA </w:t>
      </w:r>
      <w:r w:rsidRPr="00551058">
        <w:t xml:space="preserve">was also supported by consultation, including with the Harbour Master of the Port of Mostyn. </w:t>
      </w:r>
      <w:r w:rsidR="005803D2" w:rsidRPr="00551058">
        <w:t>Further l</w:t>
      </w:r>
      <w:r w:rsidRPr="00551058">
        <w:t>iaison in advance of construction works to minimise impact on access to the Port of Mostyn</w:t>
      </w:r>
      <w:r w:rsidR="004A3B9E">
        <w:t xml:space="preserve"> was ident</w:t>
      </w:r>
      <w:r w:rsidR="002B2EC5">
        <w:t xml:space="preserve">ified </w:t>
      </w:r>
      <w:r w:rsidR="001E14C3">
        <w:t>as a mitigation measure</w:t>
      </w:r>
      <w:r w:rsidRPr="00551058">
        <w:t>.</w:t>
      </w:r>
      <w:r w:rsidR="00361D7E" w:rsidRPr="00551058">
        <w:t xml:space="preserve"> </w:t>
      </w:r>
      <w:r w:rsidR="005265CF">
        <w:t xml:space="preserve">This </w:t>
      </w:r>
      <w:r w:rsidR="00BC2A48">
        <w:t xml:space="preserve">has now </w:t>
      </w:r>
      <w:r w:rsidR="00AB3FCA">
        <w:t>been secured under the VMP, w</w:t>
      </w:r>
      <w:r w:rsidR="00037981">
        <w:t xml:space="preserve">here </w:t>
      </w:r>
      <w:r w:rsidR="00EF551F">
        <w:t xml:space="preserve">the </w:t>
      </w:r>
      <w:r w:rsidR="00335CB0">
        <w:t xml:space="preserve">details of </w:t>
      </w:r>
      <w:r w:rsidR="009F1086">
        <w:t xml:space="preserve">a </w:t>
      </w:r>
      <w:r w:rsidR="00335CB0">
        <w:t xml:space="preserve">Memorandum of Understanding (MoU) between </w:t>
      </w:r>
      <w:r w:rsidR="00461212">
        <w:t xml:space="preserve">Liverpool Bay CCS Limited and the Port of Mostyn </w:t>
      </w:r>
      <w:r w:rsidR="00825C8D">
        <w:t>are</w:t>
      </w:r>
      <w:r w:rsidR="009F1086">
        <w:t xml:space="preserve"> </w:t>
      </w:r>
      <w:r w:rsidR="00846925">
        <w:t>provided</w:t>
      </w:r>
      <w:r w:rsidR="00BF625E">
        <w:t xml:space="preserve"> covering:</w:t>
      </w:r>
    </w:p>
    <w:p w14:paraId="21DB944B" w14:textId="4AE5B3C6" w:rsidR="00BF625E" w:rsidRDefault="00BF625E" w:rsidP="00BF625E">
      <w:pPr>
        <w:pStyle w:val="AnatecBullet"/>
      </w:pPr>
      <w:r>
        <w:t>Vessel operations;</w:t>
      </w:r>
    </w:p>
    <w:p w14:paraId="0CEA03A1" w14:textId="1BD0A461" w:rsidR="00BF625E" w:rsidRDefault="00BF625E" w:rsidP="00BF625E">
      <w:pPr>
        <w:pStyle w:val="AnatecBullet"/>
      </w:pPr>
      <w:r>
        <w:t>Scheduling;</w:t>
      </w:r>
    </w:p>
    <w:p w14:paraId="7423978A" w14:textId="14DAE580" w:rsidR="00BF625E" w:rsidRDefault="00BF625E" w:rsidP="00BF625E">
      <w:pPr>
        <w:pStyle w:val="AnatecBullet"/>
      </w:pPr>
      <w:r>
        <w:t>Communication;</w:t>
      </w:r>
      <w:r w:rsidR="00A462DC">
        <w:t xml:space="preserve"> and</w:t>
      </w:r>
    </w:p>
    <w:p w14:paraId="1B7CFEED" w14:textId="36575A4E" w:rsidR="00BF625E" w:rsidRDefault="00BF625E" w:rsidP="00BF625E">
      <w:pPr>
        <w:pStyle w:val="AnatecBullet"/>
      </w:pPr>
      <w:r>
        <w:t>Cable lay procedures</w:t>
      </w:r>
      <w:r w:rsidR="00A462DC">
        <w:t>.</w:t>
      </w:r>
    </w:p>
    <w:p w14:paraId="5380897F" w14:textId="3B3C9BE1" w:rsidR="00BF625E" w:rsidRDefault="009800CD" w:rsidP="009800CD">
      <w:r>
        <w:t>There is also a commitment to develop and implement joint safety protocols for cable-laying activities</w:t>
      </w:r>
      <w:r w:rsidR="00E419F3">
        <w:t xml:space="preserve"> to avoid hazards to incoming and outgoing vessels.</w:t>
      </w:r>
      <w:r w:rsidR="00CF4ED1">
        <w:t xml:space="preserve"> Close liaison with the Port of Mostyn is considered the most critical mitigation against </w:t>
      </w:r>
      <w:r w:rsidR="00E11E7D">
        <w:t>disruption and risk to third-party vessels.</w:t>
      </w:r>
    </w:p>
    <w:p w14:paraId="7D52237F" w14:textId="2641A426" w:rsidR="00FB6709" w:rsidRDefault="00FB6709" w:rsidP="009800CD">
      <w:r>
        <w:t xml:space="preserve">The VMP also </w:t>
      </w:r>
      <w:r w:rsidR="00E426D4">
        <w:t xml:space="preserve">outlines a strategy to use anchor handling tugs to </w:t>
      </w:r>
      <w:r w:rsidR="005478A5">
        <w:t>serve as guard vessels w</w:t>
      </w:r>
      <w:r w:rsidR="00050CEE">
        <w:t>ithin the Welsh Channel when</w:t>
      </w:r>
      <w:r w:rsidR="005478A5">
        <w:t xml:space="preserve"> </w:t>
      </w:r>
      <w:r w:rsidR="00921450">
        <w:t>anchor handling operations are not ongoing so as to facilitate safe passage through the channel.</w:t>
      </w:r>
    </w:p>
    <w:p w14:paraId="6E92337D" w14:textId="772E190D" w:rsidR="00A74736" w:rsidRDefault="00EB5517" w:rsidP="001D2A73">
      <w:r w:rsidRPr="00551058">
        <w:t>A</w:t>
      </w:r>
      <w:r w:rsidR="00361D7E" w:rsidRPr="00551058">
        <w:t xml:space="preserve">s part of the </w:t>
      </w:r>
      <w:r w:rsidR="00D567F1">
        <w:t xml:space="preserve">NRA </w:t>
      </w:r>
      <w:r w:rsidR="00361D7E" w:rsidRPr="00551058">
        <w:t xml:space="preserve">feedback from the Port of Mostyn, </w:t>
      </w:r>
      <w:r w:rsidRPr="00551058">
        <w:t xml:space="preserve">it was stated that </w:t>
      </w:r>
      <w:r w:rsidR="00361D7E" w:rsidRPr="00551058">
        <w:t>deep-draught vessels such as wind farm jack-ups need to pass at high tid</w:t>
      </w:r>
      <w:r w:rsidR="000563B0">
        <w:t xml:space="preserve">e </w:t>
      </w:r>
      <w:r w:rsidR="002A6962">
        <w:t>and</w:t>
      </w:r>
      <w:r w:rsidR="000563B0">
        <w:t xml:space="preserve"> smaller vessels may be affected as </w:t>
      </w:r>
      <w:r w:rsidR="000563B0">
        <w:lastRenderedPageBreak/>
        <w:t xml:space="preserve">well due to the </w:t>
      </w:r>
      <w:r w:rsidR="000563B0" w:rsidRPr="00551058">
        <w:t>narrowness of the channel.</w:t>
      </w:r>
      <w:r w:rsidR="000563B0">
        <w:t xml:space="preserve"> </w:t>
      </w:r>
      <w:r w:rsidR="00A74736">
        <w:t xml:space="preserve">This report has indicated that </w:t>
      </w:r>
      <w:r w:rsidR="00AD3379">
        <w:t xml:space="preserve">there is a </w:t>
      </w:r>
      <w:r w:rsidR="00A21DC5">
        <w:t xml:space="preserve">trend towards </w:t>
      </w:r>
      <w:r w:rsidR="00D3522F">
        <w:t xml:space="preserve">transits of </w:t>
      </w:r>
      <w:r w:rsidR="002A6962">
        <w:t xml:space="preserve">the Welsh Channel </w:t>
      </w:r>
      <w:r w:rsidR="00D3522F">
        <w:t>being</w:t>
      </w:r>
      <w:r w:rsidR="00FE2EAD">
        <w:t xml:space="preserve"> </w:t>
      </w:r>
      <w:r w:rsidR="00D3522F">
        <w:t xml:space="preserve">preferred </w:t>
      </w:r>
      <w:r w:rsidR="00416DD3">
        <w:t>at or shortly after high tide.</w:t>
      </w:r>
      <w:r w:rsidR="003C7A73">
        <w:t xml:space="preserve"> Given </w:t>
      </w:r>
      <w:r w:rsidR="00822637">
        <w:t>a</w:t>
      </w:r>
      <w:r w:rsidR="003C7A73">
        <w:t xml:space="preserve"> </w:t>
      </w:r>
      <w:commentRangeStart w:id="55"/>
      <w:r w:rsidR="00822637">
        <w:t>rate of cable-lay of 100 to 200m per hour</w:t>
      </w:r>
      <w:commentRangeEnd w:id="55"/>
      <w:r w:rsidR="00304046">
        <w:rPr>
          <w:rStyle w:val="CommentReference"/>
          <w:sz w:val="24"/>
          <w:szCs w:val="22"/>
        </w:rPr>
        <w:commentReference w:id="55"/>
      </w:r>
      <w:r w:rsidR="006434AF">
        <w:t xml:space="preserve"> and that the Welsh Channel </w:t>
      </w:r>
      <w:r w:rsidR="00A26477">
        <w:t>Portion of the Proposed Development</w:t>
      </w:r>
      <w:r w:rsidR="006434AF">
        <w:t xml:space="preserve"> is </w:t>
      </w:r>
      <w:r w:rsidR="00EF468F">
        <w:t>approximately</w:t>
      </w:r>
      <w:r w:rsidR="0082387F">
        <w:t xml:space="preserve"> 800</w:t>
      </w:r>
      <w:r w:rsidR="009C56C0">
        <w:t>m</w:t>
      </w:r>
      <w:r w:rsidR="00822637">
        <w:t xml:space="preserve">, </w:t>
      </w:r>
      <w:r w:rsidR="00BC0F19">
        <w:t>this activity is likely t</w:t>
      </w:r>
      <w:r w:rsidR="00475606">
        <w:t>o temporally overlap with a high tide</w:t>
      </w:r>
      <w:r w:rsidR="000A4DCF">
        <w:t xml:space="preserve"> </w:t>
      </w:r>
      <w:r w:rsidR="006434AF">
        <w:t xml:space="preserve">since </w:t>
      </w:r>
      <w:r w:rsidR="00640A0E">
        <w:t xml:space="preserve">this equates to a </w:t>
      </w:r>
      <w:r w:rsidR="000207A5">
        <w:t>potential</w:t>
      </w:r>
      <w:r w:rsidR="00640A0E">
        <w:t xml:space="preserve"> crossing time of eight hours</w:t>
      </w:r>
      <w:r w:rsidR="00475606">
        <w:t>; therefore</w:t>
      </w:r>
      <w:r w:rsidR="00304046">
        <w:t>,</w:t>
      </w:r>
      <w:r w:rsidR="00475606">
        <w:t xml:space="preserve"> </w:t>
      </w:r>
      <w:r w:rsidR="001B4740">
        <w:t xml:space="preserve">additional emphasis is placed on the need for </w:t>
      </w:r>
      <w:r w:rsidR="00304046">
        <w:t>coordination with the Port of Mostyn.</w:t>
      </w:r>
    </w:p>
    <w:p w14:paraId="155B2D3A" w14:textId="0381E5A3" w:rsidR="00C954DC" w:rsidRDefault="00C954DC" w:rsidP="00C954DC">
      <w:pPr>
        <w:pStyle w:val="Heading3"/>
      </w:pPr>
      <w:bookmarkStart w:id="56" w:name="_Ref230341152"/>
      <w:bookmarkStart w:id="57" w:name="_Toc230357499"/>
      <w:r>
        <w:t>Recommendations</w:t>
      </w:r>
      <w:bookmarkEnd w:id="56"/>
      <w:bookmarkEnd w:id="57"/>
    </w:p>
    <w:p w14:paraId="7D9C4B81" w14:textId="74E6E1B3" w:rsidR="006C1702" w:rsidRDefault="006C1702" w:rsidP="006C1702">
      <w:r>
        <w:t>Based on</w:t>
      </w:r>
      <w:r w:rsidR="00DD39E1">
        <w:t xml:space="preserve"> the additional analysis in</w:t>
      </w:r>
      <w:r>
        <w:t xml:space="preserve"> this report together with the NRA, the following recommendations are provided in relation to cable lay activities within the </w:t>
      </w:r>
      <w:r w:rsidR="00E7177F">
        <w:t>Welsh Channel to minimise disruption and risk to third-party vessels:</w:t>
      </w:r>
    </w:p>
    <w:p w14:paraId="72B4AF8B" w14:textId="46A352B0" w:rsidR="00E7177F" w:rsidRDefault="00C9798C" w:rsidP="006C1702">
      <w:pPr>
        <w:pStyle w:val="AnatecBullet"/>
      </w:pPr>
      <w:r>
        <w:t xml:space="preserve">Close liaison with the Port of Mostyn </w:t>
      </w:r>
      <w:r w:rsidR="001153FC">
        <w:t xml:space="preserve">both </w:t>
      </w:r>
      <w:r w:rsidR="00F6018B">
        <w:t>in advance of and during activities.</w:t>
      </w:r>
    </w:p>
    <w:p w14:paraId="5D61C6E9" w14:textId="32C34936" w:rsidR="00C954DC" w:rsidRDefault="00F6018B" w:rsidP="009C4D97">
      <w:pPr>
        <w:pStyle w:val="AnatecBullet"/>
      </w:pPr>
      <w:r>
        <w:t>Consideration to maximise</w:t>
      </w:r>
      <w:r w:rsidR="008D00A9">
        <w:t xml:space="preserve"> use of</w:t>
      </w:r>
      <w:r>
        <w:t xml:space="preserve"> </w:t>
      </w:r>
      <w:r w:rsidR="008D00A9">
        <w:t xml:space="preserve">nighttime hours when </w:t>
      </w:r>
      <w:r w:rsidR="00497C88">
        <w:t xml:space="preserve">transits of the Welsh Channel may be less </w:t>
      </w:r>
      <w:r w:rsidR="00EC1281">
        <w:t>frequent</w:t>
      </w:r>
      <w:r w:rsidR="00497C88">
        <w:t>.</w:t>
      </w:r>
    </w:p>
    <w:p w14:paraId="78212197" w14:textId="20E68B42" w:rsidR="00F10C10" w:rsidRDefault="00497C88" w:rsidP="006C1702">
      <w:pPr>
        <w:pStyle w:val="AnatecBullet"/>
      </w:pPr>
      <w:r>
        <w:t xml:space="preserve">Consideration to </w:t>
      </w:r>
      <w:r w:rsidR="00B33852">
        <w:t>maximise use of l</w:t>
      </w:r>
      <w:r w:rsidR="00F10C10">
        <w:t>ow tide</w:t>
      </w:r>
      <w:r w:rsidR="00EC1281">
        <w:t>s when transits of the Welsh Channel may be less frequent.</w:t>
      </w:r>
    </w:p>
    <w:p w14:paraId="4421DCA5" w14:textId="3EDF76B7" w:rsidR="00F11651" w:rsidRDefault="00F11651" w:rsidP="006C1702">
      <w:pPr>
        <w:pStyle w:val="AnatecBullet"/>
      </w:pPr>
      <w:r>
        <w:t>Promulgation of information including Notices to Mariners and Kingfisher Bulletins.</w:t>
      </w:r>
    </w:p>
    <w:p w14:paraId="0499F0A2" w14:textId="4E459C7F" w:rsidR="009C72D6" w:rsidRDefault="009C72D6" w:rsidP="009C72D6">
      <w:pPr>
        <w:pStyle w:val="AnatecBullet"/>
      </w:pPr>
      <w:r>
        <w:t xml:space="preserve">Marine coordination for project vessels including the </w:t>
      </w:r>
      <w:r w:rsidR="0030482E">
        <w:t>cable lay vessel (</w:t>
      </w:r>
      <w:r>
        <w:t>CLV</w:t>
      </w:r>
      <w:r w:rsidR="0030482E">
        <w:t>)</w:t>
      </w:r>
      <w:r>
        <w:t>.</w:t>
      </w:r>
    </w:p>
    <w:p w14:paraId="342B88CB" w14:textId="7FF53871" w:rsidR="0070390B" w:rsidRDefault="0070390B" w:rsidP="009C72D6">
      <w:pPr>
        <w:pStyle w:val="AnatecBullet"/>
      </w:pPr>
      <w:r>
        <w:t>Use of guard vessels where relevant.</w:t>
      </w:r>
    </w:p>
    <w:p w14:paraId="3994DE8B" w14:textId="3DA8748E" w:rsidR="009C72D6" w:rsidRDefault="00FB2AF6" w:rsidP="009C72D6">
      <w:pPr>
        <w:pStyle w:val="AnatecBullet"/>
      </w:pPr>
      <w:r>
        <w:t>C</w:t>
      </w:r>
      <w:r w:rsidR="009C72D6">
        <w:t xml:space="preserve">ompliance of project vessels with Flag State regulations (including </w:t>
      </w:r>
      <w:r w:rsidR="0030482E">
        <w:t xml:space="preserve">the Convention on </w:t>
      </w:r>
      <w:r w:rsidR="007A4E33">
        <w:t>the International Regulations for Preventing Collisions at Sea (</w:t>
      </w:r>
      <w:r w:rsidR="009C72D6">
        <w:t>COLREGs</w:t>
      </w:r>
      <w:r w:rsidR="007A4E33">
        <w:t>)</w:t>
      </w:r>
      <w:r w:rsidR="009C72D6">
        <w:t xml:space="preserve"> and </w:t>
      </w:r>
      <w:r w:rsidR="00DC735F">
        <w:t>International Convention for the Safety of Life at Sea (</w:t>
      </w:r>
      <w:r w:rsidR="009C72D6">
        <w:t>SOLAS</w:t>
      </w:r>
      <w:r w:rsidR="00DC735F">
        <w:t>)</w:t>
      </w:r>
      <w:r w:rsidR="009C72D6">
        <w:t>).</w:t>
      </w:r>
    </w:p>
    <w:p w14:paraId="627F6A56" w14:textId="49D51B2B" w:rsidR="0027541D" w:rsidRDefault="00404CCC" w:rsidP="009C72D6">
      <w:pPr>
        <w:pStyle w:val="AnatecBullet"/>
      </w:pPr>
      <w:r>
        <w:t>Vessel t</w:t>
      </w:r>
      <w:r w:rsidR="0027541D">
        <w:t>raffic monitoring</w:t>
      </w:r>
      <w:r>
        <w:t>.</w:t>
      </w:r>
    </w:p>
    <w:p w14:paraId="448933DB" w14:textId="0FBE9163" w:rsidR="00FB2AF6" w:rsidRDefault="00FB2AF6" w:rsidP="009C4D97">
      <w:pPr>
        <w:pStyle w:val="AnatecBullet"/>
      </w:pPr>
      <w:r>
        <w:t xml:space="preserve">Compliance </w:t>
      </w:r>
      <w:r w:rsidR="009D1B1A">
        <w:t>by Liverpool Bay CCS Limited and</w:t>
      </w:r>
      <w:r>
        <w:t xml:space="preserve"> project vessels with the VMP.</w:t>
      </w:r>
    </w:p>
    <w:p w14:paraId="40205246" w14:textId="77777777" w:rsidR="001B0D3D" w:rsidRDefault="001B0D3D" w:rsidP="009C4D97">
      <w:pPr>
        <w:pStyle w:val="Heading2"/>
      </w:pPr>
      <w:bookmarkStart w:id="58" w:name="_Toc230357500"/>
      <w:bookmarkStart w:id="59" w:name="_Ref228361421"/>
      <w:r>
        <w:t>Liverpool Bay TSS</w:t>
      </w:r>
      <w:bookmarkEnd w:id="58"/>
    </w:p>
    <w:p w14:paraId="6AD49DB5" w14:textId="386CDAA4" w:rsidR="001B08B0" w:rsidRDefault="001B0D3D" w:rsidP="001B0D3D">
      <w:r>
        <w:t xml:space="preserve">Within the Liverpool Bay TSS, </w:t>
      </w:r>
      <w:r w:rsidR="00211C77">
        <w:t xml:space="preserve">the profile of </w:t>
      </w:r>
      <w:r>
        <w:t xml:space="preserve">the </w:t>
      </w:r>
      <w:r w:rsidR="004C4B38">
        <w:t xml:space="preserve">12 </w:t>
      </w:r>
      <w:r>
        <w:t>months of AIS data from 2022 used in the NRA</w:t>
      </w:r>
      <w:r w:rsidRPr="00551058">
        <w:t xml:space="preserve"> has remained broadly similar to the </w:t>
      </w:r>
      <w:r w:rsidR="004C4B38">
        <w:t>12</w:t>
      </w:r>
      <w:r w:rsidR="004C4B38" w:rsidRPr="00551058">
        <w:t xml:space="preserve"> </w:t>
      </w:r>
      <w:r w:rsidRPr="00551058">
        <w:t>months of AIS data from 2025 assessed in this report</w:t>
      </w:r>
      <w:r>
        <w:t xml:space="preserve">. </w:t>
      </w:r>
      <w:r w:rsidR="0064635E">
        <w:t xml:space="preserve">In particular, vessel </w:t>
      </w:r>
      <w:r>
        <w:t xml:space="preserve">numbers </w:t>
      </w:r>
      <w:r w:rsidR="0064635E">
        <w:t>are closely aligned</w:t>
      </w:r>
      <w:r>
        <w:t>, with 13 vessels per day within the TSS Study Area during 2022 and 12 per day during 2025, with the main difference being lower passenger vessel numbers</w:t>
      </w:r>
      <w:r w:rsidR="007129B1">
        <w:t xml:space="preserve"> during 2025</w:t>
      </w:r>
      <w:r>
        <w:t>.</w:t>
      </w:r>
      <w:r w:rsidR="00616979">
        <w:t xml:space="preserve"> For a total </w:t>
      </w:r>
      <w:r w:rsidR="00F03117">
        <w:t xml:space="preserve">duration of one to two days </w:t>
      </w:r>
      <w:r w:rsidR="00C74396">
        <w:t xml:space="preserve">for the full operation, this equates to an average of between 12 and 24 passing vessels </w:t>
      </w:r>
      <w:r w:rsidR="000A15AD">
        <w:t>during the operation.</w:t>
      </w:r>
    </w:p>
    <w:p w14:paraId="33012C96" w14:textId="1997AD00" w:rsidR="001B0D3D" w:rsidRDefault="00062B40" w:rsidP="001B0D3D">
      <w:r>
        <w:t xml:space="preserve">An hourly analysis for the busiest month indicates no </w:t>
      </w:r>
      <w:r w:rsidR="00397906">
        <w:t xml:space="preserve">strong trend for </w:t>
      </w:r>
      <w:r w:rsidR="008336FF">
        <w:t>time of day for transits.</w:t>
      </w:r>
    </w:p>
    <w:p w14:paraId="15C19FB3" w14:textId="03581CBB" w:rsidR="00C65F86" w:rsidRDefault="00C65F86" w:rsidP="001B0D3D">
      <w:r>
        <w:t>The AIS data from 202</w:t>
      </w:r>
      <w:r w:rsidR="00526164">
        <w:t xml:space="preserve">5 included instances of RAM vessels at subsea wells located within the </w:t>
      </w:r>
      <w:r w:rsidR="005716F0">
        <w:t xml:space="preserve">TSS lane. </w:t>
      </w:r>
      <w:r w:rsidR="001174F8">
        <w:t>The thi</w:t>
      </w:r>
      <w:r w:rsidR="00361EC9">
        <w:t>r</w:t>
      </w:r>
      <w:r w:rsidR="001174F8">
        <w:t xml:space="preserve">d-party vessel traffic at the time of these operations was observed </w:t>
      </w:r>
      <w:r w:rsidR="00514FDD">
        <w:t xml:space="preserve">to </w:t>
      </w:r>
      <w:r w:rsidR="00DD6208">
        <w:t>generally continue</w:t>
      </w:r>
      <w:r w:rsidR="00514FDD">
        <w:t xml:space="preserve"> transiting as normal, with no </w:t>
      </w:r>
      <w:r w:rsidR="004432B5">
        <w:t xml:space="preserve">notable changes to </w:t>
      </w:r>
      <w:r w:rsidR="00C02EC1">
        <w:t>traffic patterns in proximity or disruption in general</w:t>
      </w:r>
      <w:r w:rsidR="00713A34">
        <w:t xml:space="preserve">, i.e. </w:t>
      </w:r>
      <w:r w:rsidR="000C6E63">
        <w:t xml:space="preserve">passing vessels </w:t>
      </w:r>
      <w:r w:rsidR="003C5A22">
        <w:t xml:space="preserve">maintained a suitable distance </w:t>
      </w:r>
      <w:r w:rsidR="00740F7C">
        <w:t>from the RAM activities</w:t>
      </w:r>
      <w:r w:rsidR="00C02EC1">
        <w:t xml:space="preserve">. However, it is acknowledged that the </w:t>
      </w:r>
      <w:r w:rsidR="00355E50">
        <w:t xml:space="preserve">cable lay spread may be greater than </w:t>
      </w:r>
      <w:r w:rsidR="005B2BD0">
        <w:t>that associated with these RAM vessels.</w:t>
      </w:r>
    </w:p>
    <w:p w14:paraId="6E4B128A" w14:textId="794DBD0E" w:rsidR="001B0D3D" w:rsidRDefault="00AA0AC8" w:rsidP="001B0D3D">
      <w:r>
        <w:lastRenderedPageBreak/>
        <w:t>The NRA noted for</w:t>
      </w:r>
      <w:r w:rsidR="001B0D3D">
        <w:t xml:space="preserve"> </w:t>
      </w:r>
      <w:r w:rsidR="00F97E31">
        <w:t>the impact of</w:t>
      </w:r>
      <w:r w:rsidR="001B0D3D">
        <w:t xml:space="preserve"> vessel displacement leading to collision, and within the assessment of third-party to project vessel collision, that “</w:t>
      </w:r>
      <w:r w:rsidR="001B0D3D" w:rsidRPr="009C4D97">
        <w:rPr>
          <w:i/>
          <w:iCs/>
        </w:rPr>
        <w:t>the spatial extent of construction areas where vessels may be required to deviate around vessels which are RAM is expected to be small at any given time</w:t>
      </w:r>
      <w:r w:rsidR="001B0D3D">
        <w:t xml:space="preserve">”. In addition, the width of the TSS lane is approximately 1.8nm, and all vessels transiting within the TSS Study Area will be transiting eastward which essentially eliminates the risk of head-on collision. </w:t>
      </w:r>
      <w:r w:rsidR="00BC232C">
        <w:t xml:space="preserve">Therefore, vessels are considered to have </w:t>
      </w:r>
      <w:r w:rsidR="002F3CA1">
        <w:t xml:space="preserve">sufficient </w:t>
      </w:r>
      <w:r w:rsidR="00BC232C">
        <w:t>searoom to deviate around any project vessel undertaking installation.</w:t>
      </w:r>
      <w:r w:rsidR="0000646A">
        <w:t xml:space="preserve"> This includes </w:t>
      </w:r>
      <w:r w:rsidR="00A067AF">
        <w:t xml:space="preserve">deeper draught vessels which – based on the AIS data from 2025 – are not </w:t>
      </w:r>
      <w:r w:rsidR="00660B84">
        <w:t xml:space="preserve">especially constrained in terms of where within the TSS lane they may navigate, except for a </w:t>
      </w:r>
      <w:r w:rsidR="00D56EC4">
        <w:t xml:space="preserve">preference to </w:t>
      </w:r>
      <w:r w:rsidR="00900EC8">
        <w:t xml:space="preserve">avoid the extreme outside of the TSS lane, likely </w:t>
      </w:r>
      <w:r w:rsidR="00F94FB3">
        <w:t xml:space="preserve">relating to passing distances from </w:t>
      </w:r>
      <w:r w:rsidR="00194F48" w:rsidRPr="00551058">
        <w:t>Gwynt y Môr</w:t>
      </w:r>
      <w:r w:rsidR="00194F48">
        <w:t>.</w:t>
      </w:r>
    </w:p>
    <w:p w14:paraId="6F96221F" w14:textId="4F2DCC0D" w:rsidR="00194F48" w:rsidRDefault="00194F48" w:rsidP="009C4D97">
      <w:pPr>
        <w:pStyle w:val="Heading3"/>
      </w:pPr>
      <w:bookmarkStart w:id="60" w:name="_Ref230341153"/>
      <w:bookmarkStart w:id="61" w:name="_Toc230357501"/>
      <w:r>
        <w:t>Recommendations</w:t>
      </w:r>
      <w:bookmarkEnd w:id="60"/>
      <w:bookmarkEnd w:id="61"/>
    </w:p>
    <w:p w14:paraId="017FF849" w14:textId="5FD0C3A5" w:rsidR="00C42706" w:rsidRDefault="00C42706" w:rsidP="001B0D3D">
      <w:r>
        <w:t xml:space="preserve">Based on </w:t>
      </w:r>
      <w:r w:rsidR="001D56B1">
        <w:t xml:space="preserve">this report together with the NRA, the following recommendations are provided in relation to </w:t>
      </w:r>
      <w:r w:rsidR="006C1702">
        <w:t>cable lay activities within the Liverpool Bay TSS</w:t>
      </w:r>
      <w:r w:rsidR="00E7177F">
        <w:t xml:space="preserve"> to minimise disruption and risk to third-party vessels</w:t>
      </w:r>
      <w:r w:rsidR="006C1702">
        <w:t>:</w:t>
      </w:r>
    </w:p>
    <w:p w14:paraId="62A3A9C2" w14:textId="45A5B30D" w:rsidR="007A1CAF" w:rsidRDefault="007A1CAF" w:rsidP="007A1CAF">
      <w:pPr>
        <w:pStyle w:val="AnatecBullet"/>
      </w:pPr>
      <w:r>
        <w:t>Close liaison with Peel Ports / Mersey Docks and Harbour Company (as the Statutory Harbour Authority for the Port of Liverpool) both in advance of and during activities.</w:t>
      </w:r>
    </w:p>
    <w:p w14:paraId="0A41746E" w14:textId="6FA7373F" w:rsidR="0057253E" w:rsidRDefault="00626032" w:rsidP="006C1702">
      <w:pPr>
        <w:pStyle w:val="AnatecBullet"/>
      </w:pPr>
      <w:r>
        <w:t>Promulgation</w:t>
      </w:r>
      <w:r w:rsidR="00D411BD">
        <w:t xml:space="preserve"> of information is key given the volume of vessel traffic utilising the </w:t>
      </w:r>
      <w:r w:rsidR="00AE438E">
        <w:t>eastbound TSS lane</w:t>
      </w:r>
      <w:r w:rsidR="00080361">
        <w:t>;</w:t>
      </w:r>
      <w:r w:rsidR="00AE438E">
        <w:t xml:space="preserve"> this </w:t>
      </w:r>
      <w:r w:rsidR="00717D6E">
        <w:t xml:space="preserve">should include Notices to Mariners </w:t>
      </w:r>
      <w:r w:rsidR="001D515E">
        <w:t>and Kingfisher Bulletins</w:t>
      </w:r>
      <w:r w:rsidR="007A1CAF">
        <w:t>.</w:t>
      </w:r>
    </w:p>
    <w:p w14:paraId="1FC8F0D4" w14:textId="068F82E2" w:rsidR="00724D01" w:rsidRDefault="00BB31A4" w:rsidP="006C1702">
      <w:pPr>
        <w:pStyle w:val="AnatecBullet"/>
      </w:pPr>
      <w:r>
        <w:t>Marine coordination for project vessels including the CLV</w:t>
      </w:r>
      <w:r w:rsidR="00E7177F">
        <w:t>.</w:t>
      </w:r>
    </w:p>
    <w:p w14:paraId="1313AE0C" w14:textId="7A3AA881" w:rsidR="0070390B" w:rsidRDefault="0070390B" w:rsidP="006C1702">
      <w:pPr>
        <w:pStyle w:val="AnatecBullet"/>
      </w:pPr>
      <w:r>
        <w:t>Use of guard vessels where relevant.</w:t>
      </w:r>
    </w:p>
    <w:p w14:paraId="55A4A0E4" w14:textId="26E62ADB" w:rsidR="00BB31A4" w:rsidRDefault="00FB2AF6" w:rsidP="006C1702">
      <w:pPr>
        <w:pStyle w:val="AnatecBullet"/>
      </w:pPr>
      <w:r>
        <w:t>C</w:t>
      </w:r>
      <w:r w:rsidR="00383C96">
        <w:t>ompliance of project vessels with Flag State regulations (including COLREGs and SOLAS).</w:t>
      </w:r>
    </w:p>
    <w:p w14:paraId="7E667571" w14:textId="408000B0" w:rsidR="00404CCC" w:rsidRDefault="00404CCC" w:rsidP="006C1702">
      <w:pPr>
        <w:pStyle w:val="AnatecBullet"/>
      </w:pPr>
      <w:r>
        <w:t>Vessel traffic monitoring.</w:t>
      </w:r>
    </w:p>
    <w:p w14:paraId="106DE2EA" w14:textId="7D18303B" w:rsidR="004D0FE4" w:rsidRDefault="00FB2AF6" w:rsidP="009C4D97">
      <w:pPr>
        <w:pStyle w:val="AnatecBullet"/>
      </w:pPr>
      <w:r>
        <w:t xml:space="preserve">Compliance </w:t>
      </w:r>
      <w:r w:rsidR="009D1B1A">
        <w:t>by Liverpool Bay CCS Limited and</w:t>
      </w:r>
      <w:r>
        <w:t xml:space="preserve"> project vessels with the VMP.</w:t>
      </w:r>
      <w:bookmarkEnd w:id="59"/>
    </w:p>
    <w:p w14:paraId="51AF3407" w14:textId="1E364A5C" w:rsidR="00032CCD" w:rsidRDefault="00032CCD" w:rsidP="00032CCD">
      <w:pPr>
        <w:pStyle w:val="Heading1"/>
      </w:pPr>
      <w:bookmarkStart w:id="62" w:name="_Toc230357502"/>
      <w:r>
        <w:lastRenderedPageBreak/>
        <w:t>References</w:t>
      </w:r>
      <w:bookmarkEnd w:id="62"/>
    </w:p>
    <w:p w14:paraId="68D3E88E" w14:textId="090AC7A7" w:rsidR="00032CCD" w:rsidRPr="00032CCD" w:rsidRDefault="00032CCD" w:rsidP="00032CCD">
      <w:r>
        <w:t xml:space="preserve">Anatec (2024). A4814-ENI-NRA-1. </w:t>
      </w:r>
      <w:r w:rsidRPr="00032CCD">
        <w:rPr>
          <w:i/>
          <w:iCs/>
        </w:rPr>
        <w:t>HyNet Carbon Capture and Storage Navigational Risk Assessment.</w:t>
      </w:r>
    </w:p>
    <w:sectPr w:rsidR="00032CCD" w:rsidRPr="00032CCD" w:rsidSect="000C467E">
      <w:pgSz w:w="11906" w:h="16838"/>
      <w:pgMar w:top="720" w:right="1440" w:bottom="72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55" w:author="James Milne" w:date="2026-05-21T15:32:00Z" w:initials="JM">
    <w:p w14:paraId="25188BCA" w14:textId="77777777" w:rsidR="00304046" w:rsidRDefault="00304046" w:rsidP="00304046">
      <w:pPr>
        <w:pStyle w:val="CommentText"/>
        <w:jc w:val="left"/>
      </w:pPr>
      <w:r>
        <w:rPr>
          <w:rStyle w:val="CommentReference"/>
        </w:rPr>
        <w:annotationRef/>
      </w:r>
      <w:r>
        <w:t>Tetra Tech - this value has been provided for crossing of Liverpool Bay TSS, have not located an equivalent for the Welsh Channel in the docs provided so have assumed same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188B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9BD2E7" w16cex:dateUtc="2026-05-21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188BCA" w16cid:durableId="609BD2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F9B10" w14:textId="77777777" w:rsidR="00E30D20" w:rsidRDefault="00E30D20" w:rsidP="005F1277">
      <w:pPr>
        <w:spacing w:after="0" w:line="14" w:lineRule="auto"/>
      </w:pPr>
    </w:p>
  </w:endnote>
  <w:endnote w:type="continuationSeparator" w:id="0">
    <w:p w14:paraId="1F92A10A" w14:textId="77777777" w:rsidR="00E30D20" w:rsidRDefault="00E30D20" w:rsidP="00414841">
      <w:pPr>
        <w:spacing w:after="0"/>
      </w:pPr>
      <w:r>
        <w:continuationSeparator/>
      </w:r>
    </w:p>
    <w:p w14:paraId="5738B401" w14:textId="77777777" w:rsidR="00E30D20" w:rsidRDefault="00E30D20"/>
    <w:p w14:paraId="355E6D1F" w14:textId="77777777" w:rsidR="00E30D20" w:rsidRDefault="00E30D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1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8"/>
      <w:gridCol w:w="3668"/>
      <w:gridCol w:w="4348"/>
    </w:tblGrid>
    <w:tr w:rsidR="00414841" w:rsidRPr="0085139A" w14:paraId="0E73E4F0" w14:textId="77777777" w:rsidTr="00125638">
      <w:tc>
        <w:tcPr>
          <w:tcW w:w="1128" w:type="dxa"/>
          <w:tcBorders>
            <w:top w:val="single" w:sz="12" w:space="0" w:color="B8CCE4" w:themeColor="accent1" w:themeTint="66"/>
          </w:tcBorders>
          <w:tcMar>
            <w:left w:w="0" w:type="dxa"/>
            <w:right w:w="0" w:type="dxa"/>
          </w:tcMar>
        </w:tcPr>
        <w:p w14:paraId="735B63D6" w14:textId="77777777" w:rsidR="00414841" w:rsidRPr="00414841" w:rsidRDefault="00414841">
          <w:pPr>
            <w:pStyle w:val="Footer"/>
            <w:rPr>
              <w:sz w:val="16"/>
            </w:rPr>
          </w:pPr>
        </w:p>
      </w:tc>
      <w:tc>
        <w:tcPr>
          <w:tcW w:w="3668" w:type="dxa"/>
          <w:tcBorders>
            <w:top w:val="single" w:sz="12" w:space="0" w:color="B8CCE4" w:themeColor="accent1" w:themeTint="66"/>
          </w:tcBorders>
          <w:tcMar>
            <w:left w:w="0" w:type="dxa"/>
            <w:right w:w="0" w:type="dxa"/>
          </w:tcMar>
        </w:tcPr>
        <w:p w14:paraId="1411FDDC" w14:textId="77777777" w:rsidR="00414841" w:rsidRPr="00414841" w:rsidRDefault="00414841">
          <w:pPr>
            <w:pStyle w:val="Footer"/>
            <w:rPr>
              <w:b/>
              <w:sz w:val="16"/>
            </w:rPr>
          </w:pPr>
          <w:r w:rsidRPr="00414841">
            <w:rPr>
              <w:b/>
              <w:sz w:val="16"/>
            </w:rPr>
            <w:t>Aberdeen Office</w:t>
          </w:r>
        </w:p>
      </w:tc>
      <w:tc>
        <w:tcPr>
          <w:tcW w:w="4348" w:type="dxa"/>
          <w:tcBorders>
            <w:top w:val="single" w:sz="12" w:space="0" w:color="B8CCE4" w:themeColor="accent1" w:themeTint="66"/>
          </w:tcBorders>
          <w:tcMar>
            <w:left w:w="0" w:type="dxa"/>
            <w:right w:w="0" w:type="dxa"/>
          </w:tcMar>
        </w:tcPr>
        <w:p w14:paraId="114490CE" w14:textId="77777777" w:rsidR="00414841" w:rsidRPr="00414841" w:rsidRDefault="00414841">
          <w:pPr>
            <w:pStyle w:val="Footer"/>
            <w:rPr>
              <w:b/>
              <w:sz w:val="16"/>
            </w:rPr>
          </w:pPr>
          <w:r w:rsidRPr="00414841">
            <w:rPr>
              <w:b/>
              <w:sz w:val="16"/>
            </w:rPr>
            <w:t>Cambridge Office</w:t>
          </w:r>
        </w:p>
      </w:tc>
    </w:tr>
    <w:tr w:rsidR="00414841" w:rsidRPr="0085139A" w14:paraId="66FBB3EC" w14:textId="77777777" w:rsidTr="00125638">
      <w:tc>
        <w:tcPr>
          <w:tcW w:w="1128" w:type="dxa"/>
          <w:tcMar>
            <w:left w:w="0" w:type="dxa"/>
            <w:right w:w="0" w:type="dxa"/>
          </w:tcMar>
        </w:tcPr>
        <w:p w14:paraId="0F228436" w14:textId="77777777" w:rsidR="00414841" w:rsidRPr="00414841" w:rsidRDefault="00414841">
          <w:pPr>
            <w:pStyle w:val="Footer"/>
            <w:rPr>
              <w:b/>
              <w:sz w:val="16"/>
            </w:rPr>
          </w:pPr>
          <w:r w:rsidRPr="00414841">
            <w:rPr>
              <w:b/>
              <w:sz w:val="16"/>
            </w:rPr>
            <w:t>Address</w:t>
          </w:r>
        </w:p>
      </w:tc>
      <w:tc>
        <w:tcPr>
          <w:tcW w:w="3668" w:type="dxa"/>
          <w:tcMar>
            <w:left w:w="0" w:type="dxa"/>
            <w:right w:w="0" w:type="dxa"/>
          </w:tcMar>
        </w:tcPr>
        <w:p w14:paraId="3A36C7DC" w14:textId="77777777" w:rsidR="00414841" w:rsidRPr="00414841" w:rsidRDefault="00414841">
          <w:pPr>
            <w:pStyle w:val="Footer"/>
            <w:rPr>
              <w:sz w:val="16"/>
            </w:rPr>
          </w:pPr>
          <w:r w:rsidRPr="00414841">
            <w:rPr>
              <w:sz w:val="16"/>
            </w:rPr>
            <w:t>10 Exchange Street, Aberdeen, AB11 6PH, UK</w:t>
          </w:r>
        </w:p>
      </w:tc>
      <w:tc>
        <w:tcPr>
          <w:tcW w:w="4348" w:type="dxa"/>
          <w:tcMar>
            <w:left w:w="0" w:type="dxa"/>
            <w:right w:w="0" w:type="dxa"/>
          </w:tcMar>
        </w:tcPr>
        <w:p w14:paraId="629E1E42" w14:textId="77777777" w:rsidR="00414841" w:rsidRPr="00414841" w:rsidRDefault="00414841">
          <w:pPr>
            <w:pStyle w:val="Footer"/>
            <w:rPr>
              <w:sz w:val="16"/>
            </w:rPr>
          </w:pPr>
          <w:r w:rsidRPr="00414841">
            <w:rPr>
              <w:sz w:val="16"/>
            </w:rPr>
            <w:t>Braemoor, No. 4 The Warren, Witchford Ely, Cambs, CB6 2HN, UK</w:t>
          </w:r>
        </w:p>
      </w:tc>
    </w:tr>
    <w:tr w:rsidR="00414841" w:rsidRPr="0085139A" w14:paraId="7E6303A8" w14:textId="77777777" w:rsidTr="00125638">
      <w:tc>
        <w:tcPr>
          <w:tcW w:w="1128" w:type="dxa"/>
          <w:tcMar>
            <w:left w:w="0" w:type="dxa"/>
            <w:right w:w="0" w:type="dxa"/>
          </w:tcMar>
        </w:tcPr>
        <w:p w14:paraId="61325ECA" w14:textId="77777777" w:rsidR="00414841" w:rsidRPr="00414841" w:rsidRDefault="00414841">
          <w:pPr>
            <w:pStyle w:val="Footer"/>
            <w:rPr>
              <w:b/>
              <w:sz w:val="16"/>
            </w:rPr>
          </w:pPr>
          <w:r w:rsidRPr="00414841">
            <w:rPr>
              <w:b/>
              <w:sz w:val="16"/>
            </w:rPr>
            <w:t>Tel</w:t>
          </w:r>
        </w:p>
      </w:tc>
      <w:tc>
        <w:tcPr>
          <w:tcW w:w="3668" w:type="dxa"/>
          <w:tcMar>
            <w:left w:w="0" w:type="dxa"/>
            <w:right w:w="0" w:type="dxa"/>
          </w:tcMar>
        </w:tcPr>
        <w:p w14:paraId="646B6776" w14:textId="77777777" w:rsidR="00414841" w:rsidRPr="00414841" w:rsidRDefault="00414841">
          <w:pPr>
            <w:pStyle w:val="Footer"/>
            <w:rPr>
              <w:sz w:val="16"/>
            </w:rPr>
          </w:pPr>
          <w:r w:rsidRPr="00414841">
            <w:rPr>
              <w:sz w:val="16"/>
            </w:rPr>
            <w:t>01224 253700</w:t>
          </w:r>
        </w:p>
      </w:tc>
      <w:tc>
        <w:tcPr>
          <w:tcW w:w="4348" w:type="dxa"/>
          <w:tcMar>
            <w:left w:w="0" w:type="dxa"/>
            <w:right w:w="0" w:type="dxa"/>
          </w:tcMar>
        </w:tcPr>
        <w:p w14:paraId="076D1248" w14:textId="77777777" w:rsidR="00414841" w:rsidRPr="00414841" w:rsidRDefault="00414841">
          <w:pPr>
            <w:pStyle w:val="Footer"/>
            <w:rPr>
              <w:sz w:val="16"/>
            </w:rPr>
          </w:pPr>
          <w:r w:rsidRPr="00414841">
            <w:rPr>
              <w:sz w:val="16"/>
            </w:rPr>
            <w:t>01353 661200</w:t>
          </w:r>
        </w:p>
      </w:tc>
    </w:tr>
    <w:tr w:rsidR="00414841" w:rsidRPr="0085139A" w14:paraId="2B798B4B" w14:textId="77777777" w:rsidTr="00125638">
      <w:tc>
        <w:tcPr>
          <w:tcW w:w="1128" w:type="dxa"/>
          <w:tcMar>
            <w:left w:w="0" w:type="dxa"/>
            <w:right w:w="0" w:type="dxa"/>
          </w:tcMar>
        </w:tcPr>
        <w:p w14:paraId="37904A61" w14:textId="77777777" w:rsidR="00414841" w:rsidRPr="00414841" w:rsidRDefault="00414841">
          <w:pPr>
            <w:pStyle w:val="Footer"/>
            <w:rPr>
              <w:b/>
              <w:sz w:val="16"/>
            </w:rPr>
          </w:pPr>
          <w:r w:rsidRPr="00414841">
            <w:rPr>
              <w:b/>
              <w:sz w:val="16"/>
            </w:rPr>
            <w:t>Email</w:t>
          </w:r>
        </w:p>
      </w:tc>
      <w:tc>
        <w:tcPr>
          <w:tcW w:w="3668" w:type="dxa"/>
          <w:tcMar>
            <w:left w:w="0" w:type="dxa"/>
            <w:right w:w="0" w:type="dxa"/>
          </w:tcMar>
        </w:tcPr>
        <w:p w14:paraId="358238F1" w14:textId="77777777" w:rsidR="00414841" w:rsidRPr="00414841" w:rsidRDefault="00414841">
          <w:pPr>
            <w:pStyle w:val="Footer"/>
            <w:rPr>
              <w:sz w:val="16"/>
            </w:rPr>
          </w:pPr>
          <w:r w:rsidRPr="00414841">
            <w:rPr>
              <w:sz w:val="16"/>
            </w:rPr>
            <w:t>aberdeen@anatec.com</w:t>
          </w:r>
        </w:p>
      </w:tc>
      <w:tc>
        <w:tcPr>
          <w:tcW w:w="4348" w:type="dxa"/>
          <w:tcMar>
            <w:left w:w="0" w:type="dxa"/>
            <w:right w:w="0" w:type="dxa"/>
          </w:tcMar>
        </w:tcPr>
        <w:p w14:paraId="5FCF36E3" w14:textId="77777777" w:rsidR="00414841" w:rsidRPr="00414841" w:rsidRDefault="00414841">
          <w:pPr>
            <w:pStyle w:val="Footer"/>
            <w:rPr>
              <w:sz w:val="16"/>
            </w:rPr>
          </w:pPr>
          <w:r w:rsidRPr="00414841">
            <w:rPr>
              <w:sz w:val="16"/>
            </w:rPr>
            <w:t>cambs@anatec.com</w:t>
          </w:r>
        </w:p>
      </w:tc>
    </w:tr>
  </w:tbl>
  <w:p w14:paraId="70E17424" w14:textId="77777777" w:rsidR="00414841" w:rsidRDefault="00333D36" w:rsidP="00414841">
    <w:pPr>
      <w:pStyle w:val="Footer"/>
    </w:pPr>
    <w:r>
      <w:rPr>
        <w:noProof/>
        <w:lang w:eastAsia="en-GB"/>
      </w:rPr>
      <w:drawing>
        <wp:anchor distT="0" distB="0" distL="114300" distR="114300" simplePos="0" relativeHeight="251658244" behindDoc="1" locked="0" layoutInCell="1" allowOverlap="1" wp14:anchorId="2DEE7CB3" wp14:editId="3132B114">
          <wp:simplePos x="0" y="0"/>
          <wp:positionH relativeFrom="column">
            <wp:posOffset>-933450</wp:posOffset>
          </wp:positionH>
          <wp:positionV relativeFrom="paragraph">
            <wp:posOffset>136525</wp:posOffset>
          </wp:positionV>
          <wp:extent cx="7613650" cy="1072515"/>
          <wp:effectExtent l="0" t="0" r="6350" b="0"/>
          <wp:wrapNone/>
          <wp:docPr id="28"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 Graphic.png"/>
                  <pic:cNvPicPr/>
                </pic:nvPicPr>
                <pic:blipFill>
                  <a:blip r:embed="rId1">
                    <a:extLst>
                      <a:ext uri="{28A0092B-C50C-407E-A947-70E740481C1C}">
                        <a14:useLocalDpi xmlns:a14="http://schemas.microsoft.com/office/drawing/2010/main" val="0"/>
                      </a:ext>
                    </a:extLst>
                  </a:blip>
                  <a:stretch>
                    <a:fillRect/>
                  </a:stretch>
                </pic:blipFill>
                <pic:spPr>
                  <a:xfrm>
                    <a:off x="0" y="0"/>
                    <a:ext cx="7613650" cy="1072515"/>
                  </a:xfrm>
                  <a:prstGeom prst="rect">
                    <a:avLst/>
                  </a:prstGeom>
                </pic:spPr>
              </pic:pic>
            </a:graphicData>
          </a:graphic>
          <wp14:sizeRelH relativeFrom="page">
            <wp14:pctWidth>0</wp14:pctWidth>
          </wp14:sizeRelH>
          <wp14:sizeRelV relativeFrom="page">
            <wp14:pctHeight>0</wp14:pctHeight>
          </wp14:sizeRelV>
        </wp:anchor>
      </w:drawing>
    </w:r>
  </w:p>
  <w:p w14:paraId="14317640" w14:textId="77777777" w:rsidR="00333D36" w:rsidRDefault="00333D36" w:rsidP="00414841">
    <w:pPr>
      <w:pStyle w:val="Footer"/>
    </w:pPr>
  </w:p>
  <w:p w14:paraId="489241C0" w14:textId="77777777" w:rsidR="00E85EFD" w:rsidRDefault="00E85EFD" w:rsidP="00414841">
    <w:pPr>
      <w:pStyle w:val="Footer"/>
    </w:pPr>
  </w:p>
  <w:p w14:paraId="2DF14E0C" w14:textId="77777777" w:rsidR="00E85EFD" w:rsidRDefault="00E85EFD" w:rsidP="004148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752F4" w14:textId="77777777" w:rsidR="004153D3" w:rsidRPr="003F1C7B" w:rsidRDefault="000C467E" w:rsidP="00A54EF9">
    <w:pPr>
      <w:spacing w:after="0"/>
      <w:rPr>
        <w:sz w:val="12"/>
        <w:szCs w:val="12"/>
      </w:rPr>
    </w:pPr>
    <w:r>
      <w:rPr>
        <w:noProof/>
        <w:lang w:eastAsia="en-GB"/>
      </w:rPr>
      <w:drawing>
        <wp:anchor distT="0" distB="0" distL="114300" distR="114300" simplePos="0" relativeHeight="251658245" behindDoc="1" locked="0" layoutInCell="1" allowOverlap="1" wp14:anchorId="1B45F80F" wp14:editId="664A13EA">
          <wp:simplePos x="0" y="0"/>
          <wp:positionH relativeFrom="page">
            <wp:posOffset>-10245</wp:posOffset>
          </wp:positionH>
          <wp:positionV relativeFrom="page">
            <wp:posOffset>10032787</wp:posOffset>
          </wp:positionV>
          <wp:extent cx="7594386" cy="665460"/>
          <wp:effectExtent l="0" t="0" r="0" b="1905"/>
          <wp:wrapNone/>
          <wp:docPr id="31"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Footer Graphic.png"/>
                  <pic:cNvPicPr/>
                </pic:nvPicPr>
                <pic:blipFill>
                  <a:blip r:embed="rId1">
                    <a:extLst>
                      <a:ext uri="{28A0092B-C50C-407E-A947-70E740481C1C}">
                        <a14:useLocalDpi xmlns:a14="http://schemas.microsoft.com/office/drawing/2010/main" val="0"/>
                      </a:ext>
                    </a:extLst>
                  </a:blip>
                  <a:stretch>
                    <a:fillRect/>
                  </a:stretch>
                </pic:blipFill>
                <pic:spPr>
                  <a:xfrm>
                    <a:off x="0" y="0"/>
                    <a:ext cx="7601411" cy="666076"/>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902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01"/>
      <w:gridCol w:w="6236"/>
      <w:gridCol w:w="601"/>
      <w:gridCol w:w="490"/>
    </w:tblGrid>
    <w:tr w:rsidR="007B7921" w:rsidRPr="007B7921" w14:paraId="1B5D96F9" w14:textId="77777777" w:rsidTr="000C467E">
      <w:trPr>
        <w:trHeight w:hRule="exact" w:val="227"/>
        <w:jc w:val="center"/>
      </w:trPr>
      <w:tc>
        <w:tcPr>
          <w:tcW w:w="1701" w:type="dxa"/>
          <w:tcBorders>
            <w:top w:val="single" w:sz="12" w:space="0" w:color="B8CCE4" w:themeColor="accent1" w:themeTint="66"/>
          </w:tcBorders>
          <w:tcMar>
            <w:left w:w="0" w:type="dxa"/>
            <w:right w:w="0" w:type="dxa"/>
          </w:tcMar>
          <w:vAlign w:val="center"/>
        </w:tcPr>
        <w:p w14:paraId="1C263C93" w14:textId="77777777" w:rsidR="007B7921" w:rsidRPr="002A08DB" w:rsidRDefault="007B7921">
          <w:pPr>
            <w:pStyle w:val="Footer"/>
            <w:jc w:val="left"/>
            <w:rPr>
              <w:b/>
              <w:sz w:val="16"/>
            </w:rPr>
          </w:pPr>
          <w:r>
            <w:rPr>
              <w:b/>
              <w:sz w:val="16"/>
            </w:rPr>
            <w:t>Date</w:t>
          </w:r>
        </w:p>
      </w:tc>
      <w:tc>
        <w:tcPr>
          <w:tcW w:w="6236" w:type="dxa"/>
          <w:tcBorders>
            <w:top w:val="single" w:sz="12" w:space="0" w:color="B8CCE4" w:themeColor="accent1" w:themeTint="66"/>
          </w:tcBorders>
          <w:tcMar>
            <w:left w:w="0" w:type="dxa"/>
            <w:right w:w="0" w:type="dxa"/>
          </w:tcMar>
          <w:vAlign w:val="center"/>
        </w:tcPr>
        <w:p w14:paraId="01EE9664" w14:textId="5FDEC5EC" w:rsidR="007B7921" w:rsidRPr="001319B9" w:rsidRDefault="001319B9">
          <w:pPr>
            <w:pStyle w:val="Footer"/>
            <w:jc w:val="left"/>
            <w:rPr>
              <w:sz w:val="16"/>
            </w:rPr>
          </w:pPr>
          <w:r w:rsidRPr="001319B9">
            <w:rPr>
              <w:sz w:val="16"/>
            </w:rPr>
            <w:t>22.05.2026</w:t>
          </w:r>
        </w:p>
      </w:tc>
      <w:tc>
        <w:tcPr>
          <w:tcW w:w="601" w:type="dxa"/>
          <w:tcBorders>
            <w:top w:val="single" w:sz="12" w:space="0" w:color="B8CCE4" w:themeColor="accent1" w:themeTint="66"/>
          </w:tcBorders>
          <w:vAlign w:val="center"/>
        </w:tcPr>
        <w:p w14:paraId="390C3CA4" w14:textId="77777777" w:rsidR="007B7921" w:rsidRPr="005F50B6" w:rsidRDefault="007B7921">
          <w:pPr>
            <w:pStyle w:val="Footer"/>
            <w:jc w:val="right"/>
            <w:rPr>
              <w:b/>
              <w:sz w:val="16"/>
            </w:rPr>
          </w:pPr>
          <w:r w:rsidRPr="005F50B6">
            <w:rPr>
              <w:b/>
              <w:sz w:val="16"/>
            </w:rPr>
            <w:t>Page</w:t>
          </w:r>
        </w:p>
      </w:tc>
      <w:tc>
        <w:tcPr>
          <w:tcW w:w="490" w:type="dxa"/>
          <w:tcBorders>
            <w:top w:val="single" w:sz="12" w:space="0" w:color="B8CCE4" w:themeColor="accent1" w:themeTint="66"/>
          </w:tcBorders>
          <w:vAlign w:val="center"/>
        </w:tcPr>
        <w:p w14:paraId="257F2FE8" w14:textId="77777777" w:rsidR="007B7921" w:rsidRPr="00414841" w:rsidRDefault="007B7921">
          <w:pPr>
            <w:pStyle w:val="Footer"/>
            <w:jc w:val="right"/>
            <w:rPr>
              <w:sz w:val="16"/>
            </w:rPr>
          </w:pPr>
          <w:r w:rsidRPr="005F50B6">
            <w:rPr>
              <w:sz w:val="16"/>
            </w:rPr>
            <w:fldChar w:fldCharType="begin"/>
          </w:r>
          <w:r w:rsidRPr="005F50B6">
            <w:rPr>
              <w:sz w:val="16"/>
            </w:rPr>
            <w:instrText xml:space="preserve"> PAGE   \* MERGEFORMAT </w:instrText>
          </w:r>
          <w:r w:rsidRPr="005F50B6">
            <w:rPr>
              <w:sz w:val="16"/>
            </w:rPr>
            <w:fldChar w:fldCharType="separate"/>
          </w:r>
          <w:r w:rsidR="00AB22AE">
            <w:rPr>
              <w:noProof/>
              <w:sz w:val="16"/>
            </w:rPr>
            <w:t>i</w:t>
          </w:r>
          <w:r w:rsidRPr="005F50B6">
            <w:rPr>
              <w:noProof/>
              <w:sz w:val="16"/>
            </w:rPr>
            <w:fldChar w:fldCharType="end"/>
          </w:r>
        </w:p>
      </w:tc>
    </w:tr>
    <w:tr w:rsidR="007B7921" w:rsidRPr="007B7921" w14:paraId="0FD47C5D" w14:textId="77777777" w:rsidTr="000C467E">
      <w:trPr>
        <w:trHeight w:hRule="exact" w:val="227"/>
        <w:jc w:val="center"/>
      </w:trPr>
      <w:tc>
        <w:tcPr>
          <w:tcW w:w="1701" w:type="dxa"/>
          <w:tcMar>
            <w:left w:w="0" w:type="dxa"/>
            <w:right w:w="0" w:type="dxa"/>
          </w:tcMar>
          <w:vAlign w:val="center"/>
        </w:tcPr>
        <w:p w14:paraId="70759111" w14:textId="77777777" w:rsidR="007B7921" w:rsidRDefault="007B7921">
          <w:pPr>
            <w:pStyle w:val="Footer"/>
            <w:jc w:val="left"/>
            <w:rPr>
              <w:b/>
              <w:sz w:val="16"/>
            </w:rPr>
          </w:pPr>
          <w:r>
            <w:rPr>
              <w:b/>
              <w:sz w:val="16"/>
            </w:rPr>
            <w:t>Document Reference</w:t>
          </w:r>
        </w:p>
      </w:tc>
      <w:tc>
        <w:tcPr>
          <w:tcW w:w="6236" w:type="dxa"/>
          <w:tcMar>
            <w:left w:w="0" w:type="dxa"/>
            <w:right w:w="0" w:type="dxa"/>
          </w:tcMar>
          <w:vAlign w:val="center"/>
        </w:tcPr>
        <w:p w14:paraId="694B255F" w14:textId="219E1DA0" w:rsidR="007B7921" w:rsidRPr="005F50B6" w:rsidRDefault="006B77A4">
          <w:pPr>
            <w:pStyle w:val="Footer"/>
            <w:jc w:val="left"/>
            <w:rPr>
              <w:sz w:val="16"/>
              <w:highlight w:val="lightGray"/>
            </w:rPr>
          </w:pPr>
          <w:r w:rsidRPr="00EB196E">
            <w:rPr>
              <w:sz w:val="16"/>
            </w:rPr>
            <w:t>S-A5611-001-A</w:t>
          </w:r>
        </w:p>
      </w:tc>
      <w:tc>
        <w:tcPr>
          <w:tcW w:w="601" w:type="dxa"/>
          <w:tcMar>
            <w:left w:w="0" w:type="dxa"/>
            <w:right w:w="0" w:type="dxa"/>
          </w:tcMar>
          <w:vAlign w:val="center"/>
        </w:tcPr>
        <w:p w14:paraId="02E59272" w14:textId="77777777" w:rsidR="007B7921" w:rsidRPr="005F50B6" w:rsidRDefault="007B7921">
          <w:pPr>
            <w:pStyle w:val="Footer"/>
            <w:jc w:val="right"/>
            <w:rPr>
              <w:b/>
              <w:sz w:val="16"/>
            </w:rPr>
          </w:pPr>
        </w:p>
      </w:tc>
      <w:tc>
        <w:tcPr>
          <w:tcW w:w="490" w:type="dxa"/>
          <w:tcMar>
            <w:left w:w="0" w:type="dxa"/>
            <w:right w:w="0" w:type="dxa"/>
          </w:tcMar>
          <w:vAlign w:val="center"/>
        </w:tcPr>
        <w:p w14:paraId="3C2FC63A" w14:textId="77777777" w:rsidR="007B7921" w:rsidRPr="00414841" w:rsidRDefault="007B7921">
          <w:pPr>
            <w:pStyle w:val="Footer"/>
            <w:jc w:val="right"/>
            <w:rPr>
              <w:sz w:val="16"/>
            </w:rPr>
          </w:pPr>
        </w:p>
      </w:tc>
    </w:tr>
  </w:tbl>
  <w:p w14:paraId="65B3A55E" w14:textId="77777777" w:rsidR="004153D3" w:rsidRDefault="004153D3" w:rsidP="004609BC">
    <w:pPr>
      <w:pStyle w:val="Footer"/>
      <w:tabs>
        <w:tab w:val="clear" w:pos="4513"/>
        <w:tab w:val="clear" w:pos="9026"/>
        <w:tab w:val="left" w:pos="230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39353" w14:textId="77777777" w:rsidR="00E30D20" w:rsidRDefault="00E30D20" w:rsidP="00414841">
      <w:pPr>
        <w:spacing w:after="0"/>
      </w:pPr>
      <w:r>
        <w:separator/>
      </w:r>
    </w:p>
  </w:footnote>
  <w:footnote w:type="continuationSeparator" w:id="0">
    <w:p w14:paraId="03F0B1D2" w14:textId="77777777" w:rsidR="00E30D20" w:rsidRDefault="00E30D20" w:rsidP="00414841">
      <w:pPr>
        <w:spacing w:after="0"/>
      </w:pPr>
      <w:r>
        <w:continuationSeparator/>
      </w:r>
    </w:p>
    <w:p w14:paraId="43E27432" w14:textId="77777777" w:rsidR="00E30D20" w:rsidRDefault="00E30D20"/>
    <w:p w14:paraId="619070C3" w14:textId="77777777" w:rsidR="00E30D20" w:rsidRDefault="00E30D20"/>
  </w:footnote>
  <w:footnote w:id="1">
    <w:p w14:paraId="1F0878C4" w14:textId="5C36C942" w:rsidR="00E5116F" w:rsidRDefault="00E5116F">
      <w:pPr>
        <w:pStyle w:val="FootnoteText"/>
      </w:pPr>
      <w:r>
        <w:rPr>
          <w:rStyle w:val="FootnoteReference"/>
        </w:rPr>
        <w:footnoteRef/>
      </w:r>
      <w:r>
        <w:t xml:space="preserve"> During August</w:t>
      </w:r>
      <w:r w:rsidR="0001487F">
        <w:t xml:space="preserve"> </w:t>
      </w:r>
      <w:r w:rsidR="00277292">
        <w:t>at Mostyn</w:t>
      </w:r>
      <w:r>
        <w:t xml:space="preserve">, </w:t>
      </w:r>
      <w:r w:rsidR="00752D66">
        <w:t>sunrise is</w:t>
      </w:r>
      <w:r w:rsidR="00277292">
        <w:t xml:space="preserve"> generally between </w:t>
      </w:r>
      <w:r w:rsidR="00752D66">
        <w:t xml:space="preserve">05:30 and </w:t>
      </w:r>
      <w:r w:rsidR="0073747E">
        <w:t xml:space="preserve">06:15 </w:t>
      </w:r>
      <w:r w:rsidR="003433BE">
        <w:t>and sunset generally between 2</w:t>
      </w:r>
      <w:r w:rsidR="000532CC">
        <w:t>0:15</w:t>
      </w:r>
      <w:r w:rsidR="003433BE">
        <w:t xml:space="preserve"> and </w:t>
      </w:r>
      <w:r w:rsidR="008B7863">
        <w:t>21</w:t>
      </w:r>
      <w:r w:rsidR="000532CC">
        <w:t>:00.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62CFA" w14:textId="77777777" w:rsidR="004870CF" w:rsidRDefault="00974543" w:rsidP="00640197">
    <w:pPr>
      <w:pStyle w:val="Header"/>
      <w:jc w:val="right"/>
    </w:pPr>
    <w:r>
      <w:rPr>
        <w:noProof/>
        <w:lang w:eastAsia="en-GB"/>
      </w:rPr>
      <w:drawing>
        <wp:anchor distT="0" distB="0" distL="114300" distR="114300" simplePos="0" relativeHeight="251658242" behindDoc="1" locked="0" layoutInCell="1" allowOverlap="1" wp14:anchorId="295646E2" wp14:editId="6DEA1E5F">
          <wp:simplePos x="0" y="0"/>
          <wp:positionH relativeFrom="page">
            <wp:posOffset>-19050</wp:posOffset>
          </wp:positionH>
          <wp:positionV relativeFrom="page">
            <wp:posOffset>-9525</wp:posOffset>
          </wp:positionV>
          <wp:extent cx="7614000" cy="1072800"/>
          <wp:effectExtent l="0" t="0" r="6350" b="0"/>
          <wp:wrapNone/>
          <wp:docPr id="22" name="Pictur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eader Graphic.png"/>
                  <pic:cNvPicPr/>
                </pic:nvPicPr>
                <pic:blipFill>
                  <a:blip r:embed="rId1">
                    <a:extLst>
                      <a:ext uri="{28A0092B-C50C-407E-A947-70E740481C1C}">
                        <a14:useLocalDpi xmlns:a14="http://schemas.microsoft.com/office/drawing/2010/main" val="0"/>
                      </a:ext>
                    </a:extLst>
                  </a:blip>
                  <a:stretch>
                    <a:fillRect/>
                  </a:stretch>
                </pic:blipFill>
                <pic:spPr>
                  <a:xfrm>
                    <a:off x="0" y="0"/>
                    <a:ext cx="7614000" cy="1072800"/>
                  </a:xfrm>
                  <a:prstGeom prst="rect">
                    <a:avLst/>
                  </a:prstGeom>
                </pic:spPr>
              </pic:pic>
            </a:graphicData>
          </a:graphic>
          <wp14:sizeRelH relativeFrom="margin">
            <wp14:pctWidth>0</wp14:pctWidth>
          </wp14:sizeRelH>
          <wp14:sizeRelV relativeFrom="margin">
            <wp14:pctHeight>0</wp14:pctHeight>
          </wp14:sizeRelV>
        </wp:anchor>
      </w:drawing>
    </w:r>
    <w:r w:rsidR="004870CF">
      <w:rPr>
        <w:noProof/>
        <w:lang w:eastAsia="en-GB"/>
      </w:rPr>
      <mc:AlternateContent>
        <mc:Choice Requires="wpg">
          <w:drawing>
            <wp:anchor distT="0" distB="0" distL="114300" distR="114300" simplePos="0" relativeHeight="251658240" behindDoc="0" locked="0" layoutInCell="1" allowOverlap="1" wp14:anchorId="499C0D49" wp14:editId="02B67D38">
              <wp:simplePos x="0" y="0"/>
              <wp:positionH relativeFrom="column">
                <wp:posOffset>-933450</wp:posOffset>
              </wp:positionH>
              <wp:positionV relativeFrom="paragraph">
                <wp:posOffset>10380345</wp:posOffset>
              </wp:positionV>
              <wp:extent cx="7560000" cy="858776"/>
              <wp:effectExtent l="0" t="0" r="3175" b="151130"/>
              <wp:wrapNone/>
              <wp:docPr id="3" name="Group 2"/>
              <wp:cNvGraphicFramePr/>
              <a:graphic xmlns:a="http://schemas.openxmlformats.org/drawingml/2006/main">
                <a:graphicData uri="http://schemas.microsoft.com/office/word/2010/wordprocessingGroup">
                  <wpg:wgp>
                    <wpg:cNvGrpSpPr/>
                    <wpg:grpSpPr>
                      <a:xfrm>
                        <a:off x="0" y="0"/>
                        <a:ext cx="7560000" cy="858776"/>
                        <a:chOff x="0" y="0"/>
                        <a:chExt cx="9180548" cy="858776"/>
                      </a:xfrm>
                    </wpg:grpSpPr>
                    <wps:wsp>
                      <wps:cNvPr id="4" name="Freeform 4"/>
                      <wps:cNvSpPr>
                        <a:spLocks/>
                      </wps:cNvSpPr>
                      <wps:spPr bwMode="auto">
                        <a:xfrm>
                          <a:off x="4400517" y="0"/>
                          <a:ext cx="4762500" cy="638175"/>
                        </a:xfrm>
                        <a:custGeom>
                          <a:avLst>
                            <a:gd name="A1" fmla="val 0"/>
                            <a:gd name="A2" fmla="val 0"/>
                            <a:gd name="A3" fmla="val 0"/>
                            <a:gd name="A4" fmla="val 0"/>
                            <a:gd name="A5" fmla="val 0"/>
                            <a:gd name="A6" fmla="val 0"/>
                            <a:gd name="A7" fmla="val 0"/>
                            <a:gd name="A8" fmla="val 0"/>
                          </a:avLst>
                          <a:gdLst/>
                          <a:ahLst/>
                          <a:cxnLst>
                            <a:cxn ang="0">
                              <a:pos x="0" y="0"/>
                            </a:cxn>
                            <a:cxn ang="0">
                              <a:pos x="1668" y="564"/>
                            </a:cxn>
                            <a:cxn ang="0">
                              <a:pos x="3000" y="186"/>
                            </a:cxn>
                            <a:cxn ang="0">
                              <a:pos x="3000" y="6"/>
                            </a:cxn>
                            <a:cxn ang="0">
                              <a:pos x="0" y="0"/>
                            </a:cxn>
                          </a:cxnLst>
                          <a:rect l="0" t="0" r="0" b="0"/>
                          <a:pathLst>
                            <a:path w="3000" h="595">
                              <a:moveTo>
                                <a:pt x="0" y="0"/>
                              </a:moveTo>
                              <a:cubicBezTo>
                                <a:pt x="174" y="102"/>
                                <a:pt x="1168" y="533"/>
                                <a:pt x="1668" y="564"/>
                              </a:cubicBezTo>
                              <a:cubicBezTo>
                                <a:pt x="2168" y="595"/>
                                <a:pt x="2778" y="279"/>
                                <a:pt x="3000" y="186"/>
                              </a:cubicBezTo>
                              <a:lnTo>
                                <a:pt x="3000" y="6"/>
                              </a:lnTo>
                              <a:lnTo>
                                <a:pt x="0" y="0"/>
                              </a:lnTo>
                              <a:close/>
                            </a:path>
                          </a:pathLst>
                        </a:custGeom>
                        <a:gradFill>
                          <a:gsLst>
                            <a:gs pos="0">
                              <a:srgbClr val="004F9F">
                                <a:shade val="50000"/>
                                <a:alpha val="30000"/>
                                <a:satMod val="130000"/>
                              </a:srgbClr>
                            </a:gs>
                            <a:gs pos="80000">
                              <a:srgbClr val="0064C9">
                                <a:shade val="75000"/>
                                <a:alpha val="45000"/>
                                <a:satMod val="140000"/>
                              </a:srgbClr>
                            </a:gs>
                          </a:gsLst>
                          <a:lin ang="5400000" scaled="1"/>
                        </a:gradFill>
                        <a:ln w="9525" cap="flat" cmpd="sng" algn="ctr">
                          <a:noFill/>
                          <a:prstDash val="solid"/>
                          <a:round/>
                          <a:headEnd type="none" w="med" len="med"/>
                          <a:tailEnd type="none" w="med" len="med"/>
                        </a:ln>
                        <a:effectLst/>
                      </wps:spPr>
                      <wps:bodyPr vert="horz" wrap="square" lIns="91440" tIns="45720" rIns="91440" bIns="45720" anchor="t" compatLnSpc="1"/>
                    </wps:wsp>
                    <wpg:grpSp>
                      <wpg:cNvPr id="5" name="Group 5"/>
                      <wpg:cNvGrpSpPr/>
                      <wpg:grpSpPr>
                        <a:xfrm>
                          <a:off x="0" y="209552"/>
                          <a:ext cx="9180548" cy="649224"/>
                          <a:chOff x="0" y="209552"/>
                          <a:chExt cx="9180548" cy="649224"/>
                        </a:xfrm>
                      </wpg:grpSpPr>
                      <wps:wsp>
                        <wps:cNvPr id="6" name="Freeform 6"/>
                        <wps:cNvSpPr>
                          <a:spLocks/>
                        </wps:cNvSpPr>
                        <wps:spPr bwMode="auto">
                          <a:xfrm rot="21435692">
                            <a:off x="0" y="209552"/>
                            <a:ext cx="9163050" cy="649224"/>
                          </a:xfrm>
                          <a:custGeom>
                            <a:avLst>
                              <a:gd name="A1" fmla="val 0"/>
                              <a:gd name="A2" fmla="val 0"/>
                              <a:gd name="A3" fmla="val 0"/>
                              <a:gd name="A4" fmla="val 0"/>
                              <a:gd name="A5" fmla="val 0"/>
                              <a:gd name="A6" fmla="val 0"/>
                              <a:gd name="A7" fmla="val 0"/>
                              <a:gd name="A8" fmla="val 0"/>
                            </a:avLst>
                            <a:gdLst/>
                            <a:ahLst/>
                            <a:cxnLst>
                              <a:cxn ang="0">
                                <a:pos x="0" y="966"/>
                              </a:cxn>
                              <a:cxn ang="0">
                                <a:pos x="1608" y="282"/>
                              </a:cxn>
                              <a:cxn ang="0">
                                <a:pos x="4110" y="1008"/>
                              </a:cxn>
                              <a:cxn ang="0">
                                <a:pos x="5772" y="0"/>
                              </a:cxn>
                            </a:cxnLst>
                            <a:rect l="0" t="0" r="0" b="0"/>
                            <a:pathLst>
                              <a:path w="5772" h="1055">
                                <a:moveTo>
                                  <a:pt x="0" y="966"/>
                                </a:moveTo>
                                <a:cubicBezTo>
                                  <a:pt x="282" y="738"/>
                                  <a:pt x="923" y="275"/>
                                  <a:pt x="1608" y="282"/>
                                </a:cubicBezTo>
                                <a:cubicBezTo>
                                  <a:pt x="2293" y="289"/>
                                  <a:pt x="3416" y="1055"/>
                                  <a:pt x="4110" y="1008"/>
                                </a:cubicBezTo>
                                <a:cubicBezTo>
                                  <a:pt x="4804" y="961"/>
                                  <a:pt x="5426" y="210"/>
                                  <a:pt x="5772" y="0"/>
                                </a:cubicBezTo>
                              </a:path>
                            </a:pathLst>
                          </a:custGeom>
                          <a:noFill/>
                          <a:ln w="10795" cap="flat" cmpd="sng" algn="ctr">
                            <a:gradFill>
                              <a:gsLst>
                                <a:gs pos="74000">
                                  <a:srgbClr val="004F9F">
                                    <a:shade val="75000"/>
                                  </a:srgbClr>
                                </a:gs>
                                <a:gs pos="86000">
                                  <a:sysClr val="windowText" lastClr="000000">
                                    <a:alpha val="29000"/>
                                  </a:sysClr>
                                </a:gs>
                                <a:gs pos="16000">
                                  <a:srgbClr val="0064C9">
                                    <a:shade val="75000"/>
                                    <a:alpha val="56000"/>
                                  </a:srgbClr>
                                </a:gs>
                              </a:gsLst>
                              <a:lin ang="5400000" scaled="1"/>
                            </a:gradFill>
                            <a:prstDash val="solid"/>
                            <a:round/>
                            <a:headEnd type="none" w="med" len="med"/>
                            <a:tailEnd type="none" w="med" len="med"/>
                          </a:ln>
                          <a:effectLst/>
                        </wps:spPr>
                        <wps:bodyPr vert="horz" wrap="square" lIns="91440" tIns="45720" rIns="91440" bIns="45720" anchor="t" compatLnSpc="1"/>
                      </wps:wsp>
                      <wps:wsp>
                        <wps:cNvPr id="7" name="Freeform 7"/>
                        <wps:cNvSpPr>
                          <a:spLocks/>
                        </wps:cNvSpPr>
                        <wps:spPr bwMode="auto">
                          <a:xfrm rot="21435692">
                            <a:off x="4736" y="283005"/>
                            <a:ext cx="9175812" cy="530352"/>
                          </a:xfrm>
                          <a:custGeom>
                            <a:avLst>
                              <a:gd name="A1" fmla="val 0"/>
                              <a:gd name="A2" fmla="val 0"/>
                              <a:gd name="A3" fmla="val 0"/>
                              <a:gd name="A4" fmla="val 0"/>
                              <a:gd name="A5" fmla="val 0"/>
                              <a:gd name="A6" fmla="val 0"/>
                              <a:gd name="A7" fmla="val 0"/>
                              <a:gd name="A8" fmla="val 0"/>
                            </a:avLst>
                            <a:gdLst/>
                            <a:ahLst/>
                            <a:cxnLst>
                              <a:cxn ang="0">
                                <a:pos x="0" y="732"/>
                              </a:cxn>
                              <a:cxn ang="0">
                                <a:pos x="1638" y="228"/>
                              </a:cxn>
                              <a:cxn ang="0">
                                <a:pos x="4122" y="816"/>
                              </a:cxn>
                              <a:cxn ang="0">
                                <a:pos x="5766" y="0"/>
                              </a:cxn>
                            </a:cxnLst>
                            <a:rect l="0" t="0" r="0" b="0"/>
                            <a:pathLst>
                              <a:path w="5766" h="854">
                                <a:moveTo>
                                  <a:pt x="0" y="732"/>
                                </a:moveTo>
                                <a:cubicBezTo>
                                  <a:pt x="273" y="647"/>
                                  <a:pt x="951" y="214"/>
                                  <a:pt x="1638" y="228"/>
                                </a:cubicBezTo>
                                <a:cubicBezTo>
                                  <a:pt x="2325" y="242"/>
                                  <a:pt x="3434" y="854"/>
                                  <a:pt x="4122" y="816"/>
                                </a:cubicBezTo>
                                <a:cubicBezTo>
                                  <a:pt x="4810" y="778"/>
                                  <a:pt x="5424" y="170"/>
                                  <a:pt x="5766" y="0"/>
                                </a:cubicBezTo>
                              </a:path>
                            </a:pathLst>
                          </a:custGeom>
                          <a:noFill/>
                          <a:ln w="9525" cap="flat" cmpd="sng" algn="ctr">
                            <a:gradFill>
                              <a:gsLst>
                                <a:gs pos="74000">
                                  <a:srgbClr val="0000CC"/>
                                </a:gs>
                                <a:gs pos="44000">
                                  <a:srgbClr val="083E6F"/>
                                </a:gs>
                                <a:gs pos="33000">
                                  <a:srgbClr val="0064C9">
                                    <a:alpha val="56000"/>
                                  </a:srgbClr>
                                </a:gs>
                              </a:gsLst>
                              <a:lin ang="5400000" scaled="1"/>
                            </a:gradFill>
                            <a:prstDash val="solid"/>
                            <a:round/>
                            <a:headEnd type="none" w="med" len="med"/>
                            <a:tailEnd type="none" w="med" len="med"/>
                          </a:ln>
                          <a:effectLst/>
                        </wps:spPr>
                        <wps:bodyPr vert="horz" wrap="square" lIns="91440" tIns="45720" rIns="91440" bIns="45720" anchor="t" compatLnSpc="1"/>
                      </wps:wsp>
                    </wpg:grpSp>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0AB0CC63" id="Group 2" o:spid="_x0000_s1026" style="position:absolute;margin-left:-73.5pt;margin-top:817.35pt;width:595.3pt;height:67.6pt;z-index:251657216;mso-width-relative:margin;mso-height-relative:margin" coordsize="91805,8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">
              <v:shape id="Freeform 4" o:spid="_x0000_s1027" style="position:absolute;left:44005;width:47625;height:6381;visibility:visible;mso-wrap-style:square;v-text-anchor:top" coordsize="3000,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" path="m,c174,102,1168,533,1668,564,2168,595,2778,279,3000,186r,-180l,xe" fillcolor="#003785" stroked="f">
                <v:fill opacity="29491f" color2="#0057d4" o:opacity2="19660f" colors="0 #003785;52429f #0057d4" focus="100%" type="gradient"/>
                <v:path arrowok="t" o:connecttype="custom" o:connectlocs="0,0;1668,564;3000,186;3000,6;0,0" o:connectangles="0,0,0,0,0" textboxrect="0,0,3000,595"/>
              </v:shape>
              <v:group id="Group 5" o:spid="_x0000_s1028" style="position:absolute;top:2095;width:91805;height:6492" coordorigin=",2095" coordsize="91805,6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Freeform 6" o:spid="_x0000_s1029" style="position:absolute;top:2095;width:91630;height:6492;rotation:-179468fd;visibility:visible;mso-wrap-style:square;v-text-anchor:top" coordsize="5772,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" path="m,966c282,738,923,275,1608,282v685,7,1808,773,2502,726c4804,961,5426,210,5772,e" filled="f" strokeweight=".85pt">
                  <v:path arrowok="t" o:connecttype="custom" o:connectlocs="0,966;1608,282;4110,1008;5772,0" o:connectangles="0,0,0,0" textboxrect="0,0,5772,1055"/>
                </v:shape>
                <v:shape id="Freeform 7" o:spid="_x0000_s1030" style="position:absolute;left:47;top:2830;width:91758;height:5303;rotation:-179468fd;visibility:visible;mso-wrap-style:square;v-text-anchor:top" coordsize="576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" path="m,732c273,647,951,214,1638,228v687,14,1796,626,2484,588c4810,778,5424,170,5766,e" filled="f">
                  <v:path arrowok="t" o:connecttype="custom" o:connectlocs="0,732;1638,228;4122,816;5766,0" o:connectangles="0,0,0,0" textboxrect="0,0,5766,854"/>
                </v:shape>
              </v:group>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7FAF6" w14:textId="77777777" w:rsidR="00EB65B4" w:rsidRDefault="00333D36" w:rsidP="0085139A">
    <w:pPr>
      <w:pStyle w:val="Header"/>
      <w:jc w:val="left"/>
    </w:pPr>
    <w:r>
      <w:rPr>
        <w:noProof/>
        <w:lang w:eastAsia="en-GB"/>
      </w:rPr>
      <w:drawing>
        <wp:anchor distT="0" distB="0" distL="114300" distR="114300" simplePos="0" relativeHeight="251658243" behindDoc="1" locked="0" layoutInCell="1" allowOverlap="1" wp14:anchorId="00C012C7" wp14:editId="639D0CD8">
          <wp:simplePos x="0" y="0"/>
          <wp:positionH relativeFrom="page">
            <wp:posOffset>-8255</wp:posOffset>
          </wp:positionH>
          <wp:positionV relativeFrom="page">
            <wp:posOffset>-524</wp:posOffset>
          </wp:positionV>
          <wp:extent cx="7588220" cy="665480"/>
          <wp:effectExtent l="0" t="0" r="0" b="1270"/>
          <wp:wrapNone/>
          <wp:docPr id="29" name="Pictur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eader Graphic.png"/>
                  <pic:cNvPicPr/>
                </pic:nvPicPr>
                <pic:blipFill>
                  <a:blip r:embed="rId1">
                    <a:extLst>
                      <a:ext uri="{28A0092B-C50C-407E-A947-70E740481C1C}">
                        <a14:useLocalDpi xmlns:a14="http://schemas.microsoft.com/office/drawing/2010/main" val="0"/>
                      </a:ext>
                    </a:extLst>
                  </a:blip>
                  <a:stretch>
                    <a:fillRect/>
                  </a:stretch>
                </pic:blipFill>
                <pic:spPr>
                  <a:xfrm>
                    <a:off x="0" y="0"/>
                    <a:ext cx="7588220" cy="66548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9085" w:type="dxa"/>
      <w:jc w:val="center"/>
      <w:tblBorders>
        <w:top w:val="single" w:sz="12" w:space="0" w:color="B8CCE4" w:themeColor="accent1" w:themeTint="66"/>
        <w:left w:val="single" w:sz="12" w:space="0" w:color="B8CCE4" w:themeColor="accent1" w:themeTint="66"/>
        <w:bottom w:val="single" w:sz="12" w:space="0" w:color="B8CCE4" w:themeColor="accent1" w:themeTint="66"/>
        <w:right w:val="single" w:sz="12" w:space="0" w:color="B8CCE4" w:themeColor="accent1" w:themeTint="66"/>
        <w:insideH w:val="single" w:sz="12" w:space="0" w:color="B8CCE4" w:themeColor="accent1" w:themeTint="66"/>
        <w:insideV w:val="single" w:sz="12" w:space="0" w:color="B8CCE4" w:themeColor="accent1" w:themeTint="66"/>
      </w:tblBorders>
      <w:tblLayout w:type="fixed"/>
      <w:tblCellMar>
        <w:left w:w="57" w:type="dxa"/>
        <w:right w:w="57" w:type="dxa"/>
      </w:tblCellMar>
      <w:tblLook w:val="04A0" w:firstRow="1" w:lastRow="0" w:firstColumn="1" w:lastColumn="0" w:noHBand="0" w:noVBand="1"/>
    </w:tblPr>
    <w:tblGrid>
      <w:gridCol w:w="741"/>
      <w:gridCol w:w="7169"/>
      <w:gridCol w:w="1175"/>
    </w:tblGrid>
    <w:tr w:rsidR="00400610" w:rsidRPr="0085139A" w14:paraId="5C312206" w14:textId="77777777" w:rsidTr="000C467E">
      <w:trPr>
        <w:trHeight w:val="300"/>
        <w:jc w:val="center"/>
      </w:trPr>
      <w:tc>
        <w:tcPr>
          <w:tcW w:w="741" w:type="dxa"/>
          <w:tcBorders>
            <w:top w:val="nil"/>
            <w:left w:val="nil"/>
            <w:bottom w:val="nil"/>
            <w:right w:val="nil"/>
          </w:tcBorders>
          <w:tcMar>
            <w:left w:w="0" w:type="dxa"/>
            <w:right w:w="0" w:type="dxa"/>
          </w:tcMar>
          <w:vAlign w:val="center"/>
        </w:tcPr>
        <w:p w14:paraId="382361CB" w14:textId="77777777" w:rsidR="00400610" w:rsidRPr="00414841" w:rsidRDefault="00400610">
          <w:pPr>
            <w:pStyle w:val="Footer"/>
            <w:jc w:val="left"/>
            <w:rPr>
              <w:b/>
              <w:sz w:val="16"/>
            </w:rPr>
          </w:pPr>
          <w:r>
            <w:rPr>
              <w:b/>
              <w:sz w:val="16"/>
            </w:rPr>
            <w:t>Project</w:t>
          </w:r>
        </w:p>
      </w:tc>
      <w:tc>
        <w:tcPr>
          <w:tcW w:w="7169" w:type="dxa"/>
          <w:tcBorders>
            <w:top w:val="nil"/>
            <w:left w:val="nil"/>
            <w:bottom w:val="nil"/>
            <w:right w:val="nil"/>
          </w:tcBorders>
          <w:tcMar>
            <w:left w:w="0" w:type="dxa"/>
            <w:right w:w="0" w:type="dxa"/>
          </w:tcMar>
          <w:vAlign w:val="center"/>
        </w:tcPr>
        <w:p w14:paraId="406B8BF4" w14:textId="5EA84C93" w:rsidR="00400610" w:rsidRPr="00BA3A51" w:rsidRDefault="006B77A4">
          <w:pPr>
            <w:pStyle w:val="Footer"/>
            <w:jc w:val="left"/>
            <w:rPr>
              <w:sz w:val="16"/>
              <w:highlight w:val="lightGray"/>
            </w:rPr>
          </w:pPr>
          <w:r w:rsidRPr="006B77A4">
            <w:rPr>
              <w:sz w:val="16"/>
            </w:rPr>
            <w:t>A5611</w:t>
          </w:r>
        </w:p>
      </w:tc>
      <w:tc>
        <w:tcPr>
          <w:tcW w:w="1175" w:type="dxa"/>
          <w:vMerge w:val="restart"/>
          <w:tcBorders>
            <w:top w:val="nil"/>
            <w:left w:val="nil"/>
            <w:right w:val="nil"/>
          </w:tcBorders>
          <w:tcMar>
            <w:left w:w="0" w:type="dxa"/>
            <w:right w:w="0" w:type="dxa"/>
          </w:tcMar>
          <w:vAlign w:val="center"/>
        </w:tcPr>
        <w:p w14:paraId="78E4D5FF" w14:textId="77777777" w:rsidR="00400610" w:rsidRPr="00BE0C95" w:rsidRDefault="00400610" w:rsidP="00274119">
          <w:pPr>
            <w:pStyle w:val="Footer"/>
            <w:jc w:val="right"/>
            <w:rPr>
              <w:sz w:val="16"/>
            </w:rPr>
          </w:pPr>
          <w:r w:rsidRPr="00BE0C95">
            <w:rPr>
              <w:rFonts w:ascii="Arial" w:hAnsi="Arial" w:cs="Arial"/>
              <w:noProof/>
              <w:sz w:val="20"/>
              <w:lang w:eastAsia="en-GB"/>
            </w:rPr>
            <w:drawing>
              <wp:inline distT="0" distB="0" distL="0" distR="0" wp14:anchorId="1B02AF49" wp14:editId="510B4947">
                <wp:extent cx="726744" cy="46313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9229" cy="477467"/>
                        </a:xfrm>
                        <a:prstGeom prst="rect">
                          <a:avLst/>
                        </a:prstGeom>
                        <a:noFill/>
                        <a:ln>
                          <a:noFill/>
                        </a:ln>
                      </pic:spPr>
                    </pic:pic>
                  </a:graphicData>
                </a:graphic>
              </wp:inline>
            </w:drawing>
          </w:r>
        </w:p>
        <w:p w14:paraId="7DF286FA" w14:textId="77777777" w:rsidR="00400610" w:rsidRPr="00BE0C95" w:rsidRDefault="00400610" w:rsidP="00274119">
          <w:pPr>
            <w:pStyle w:val="Footer"/>
            <w:jc w:val="right"/>
            <w:rPr>
              <w:sz w:val="16"/>
            </w:rPr>
          </w:pPr>
          <w:r w:rsidRPr="00456AA0">
            <w:rPr>
              <w:sz w:val="16"/>
            </w:rPr>
            <w:t>www.anatec.com</w:t>
          </w:r>
          <w:r w:rsidR="00274119">
            <w:rPr>
              <w:sz w:val="16"/>
            </w:rPr>
            <w:t xml:space="preserve"> </w:t>
          </w:r>
        </w:p>
      </w:tc>
    </w:tr>
    <w:tr w:rsidR="00400610" w:rsidRPr="0085139A" w14:paraId="58439C0A" w14:textId="77777777" w:rsidTr="000C467E">
      <w:trPr>
        <w:trHeight w:val="300"/>
        <w:jc w:val="center"/>
      </w:trPr>
      <w:tc>
        <w:tcPr>
          <w:tcW w:w="741" w:type="dxa"/>
          <w:tcBorders>
            <w:top w:val="nil"/>
            <w:left w:val="nil"/>
            <w:bottom w:val="nil"/>
            <w:right w:val="nil"/>
          </w:tcBorders>
          <w:tcMar>
            <w:left w:w="0" w:type="dxa"/>
            <w:right w:w="0" w:type="dxa"/>
          </w:tcMar>
          <w:vAlign w:val="center"/>
        </w:tcPr>
        <w:p w14:paraId="63F32E19" w14:textId="77777777" w:rsidR="00400610" w:rsidRPr="002A08DB" w:rsidRDefault="00400610">
          <w:pPr>
            <w:pStyle w:val="Footer"/>
            <w:jc w:val="left"/>
            <w:rPr>
              <w:b/>
              <w:sz w:val="16"/>
            </w:rPr>
          </w:pPr>
          <w:r>
            <w:rPr>
              <w:b/>
              <w:sz w:val="16"/>
            </w:rPr>
            <w:t>Client</w:t>
          </w:r>
        </w:p>
      </w:tc>
      <w:tc>
        <w:tcPr>
          <w:tcW w:w="7169" w:type="dxa"/>
          <w:tcBorders>
            <w:top w:val="nil"/>
            <w:left w:val="nil"/>
            <w:bottom w:val="nil"/>
            <w:right w:val="nil"/>
          </w:tcBorders>
          <w:tcMar>
            <w:left w:w="0" w:type="dxa"/>
            <w:right w:w="0" w:type="dxa"/>
          </w:tcMar>
          <w:vAlign w:val="center"/>
        </w:tcPr>
        <w:p w14:paraId="033C60D5" w14:textId="26EFCB29" w:rsidR="00400610" w:rsidRPr="00BA3A51" w:rsidRDefault="005A7BE0">
          <w:pPr>
            <w:pStyle w:val="Footer"/>
            <w:jc w:val="left"/>
            <w:rPr>
              <w:sz w:val="16"/>
              <w:highlight w:val="lightGray"/>
            </w:rPr>
          </w:pPr>
          <w:r>
            <w:rPr>
              <w:sz w:val="16"/>
            </w:rPr>
            <w:t>Tetra Tech</w:t>
          </w:r>
        </w:p>
      </w:tc>
      <w:tc>
        <w:tcPr>
          <w:tcW w:w="1175" w:type="dxa"/>
          <w:vMerge/>
          <w:tcBorders>
            <w:left w:val="nil"/>
            <w:right w:val="nil"/>
          </w:tcBorders>
          <w:tcMar>
            <w:left w:w="0" w:type="dxa"/>
            <w:right w:w="0" w:type="dxa"/>
          </w:tcMar>
        </w:tcPr>
        <w:p w14:paraId="3E5B867F" w14:textId="77777777" w:rsidR="00400610" w:rsidRPr="00BE0C95" w:rsidRDefault="00400610">
          <w:pPr>
            <w:pStyle w:val="Footer"/>
            <w:rPr>
              <w:sz w:val="16"/>
            </w:rPr>
          </w:pPr>
        </w:p>
      </w:tc>
    </w:tr>
    <w:tr w:rsidR="00400610" w:rsidRPr="0085139A" w14:paraId="6A561074" w14:textId="77777777" w:rsidTr="000C467E">
      <w:trPr>
        <w:trHeight w:val="300"/>
        <w:jc w:val="center"/>
      </w:trPr>
      <w:tc>
        <w:tcPr>
          <w:tcW w:w="741" w:type="dxa"/>
          <w:tcBorders>
            <w:top w:val="nil"/>
            <w:left w:val="nil"/>
            <w:right w:val="nil"/>
          </w:tcBorders>
          <w:tcMar>
            <w:left w:w="0" w:type="dxa"/>
            <w:right w:w="0" w:type="dxa"/>
          </w:tcMar>
          <w:vAlign w:val="center"/>
        </w:tcPr>
        <w:p w14:paraId="34C61DAD" w14:textId="77777777" w:rsidR="00400610" w:rsidRPr="00414841" w:rsidRDefault="00400610">
          <w:pPr>
            <w:pStyle w:val="Footer"/>
            <w:jc w:val="left"/>
            <w:rPr>
              <w:b/>
              <w:sz w:val="16"/>
            </w:rPr>
          </w:pPr>
          <w:r>
            <w:rPr>
              <w:b/>
              <w:sz w:val="16"/>
            </w:rPr>
            <w:t>Title</w:t>
          </w:r>
        </w:p>
      </w:tc>
      <w:tc>
        <w:tcPr>
          <w:tcW w:w="7169" w:type="dxa"/>
          <w:tcBorders>
            <w:top w:val="nil"/>
            <w:left w:val="nil"/>
            <w:right w:val="nil"/>
          </w:tcBorders>
          <w:tcMar>
            <w:left w:w="0" w:type="dxa"/>
            <w:right w:w="0" w:type="dxa"/>
          </w:tcMar>
          <w:vAlign w:val="center"/>
        </w:tcPr>
        <w:p w14:paraId="2F6D3ADC" w14:textId="2E63A660" w:rsidR="00400610" w:rsidRPr="00BA3A51" w:rsidRDefault="006B77A4">
          <w:pPr>
            <w:pStyle w:val="Footer"/>
            <w:jc w:val="left"/>
            <w:rPr>
              <w:sz w:val="16"/>
              <w:highlight w:val="lightGray"/>
            </w:rPr>
          </w:pPr>
          <w:r w:rsidRPr="006B77A4">
            <w:rPr>
              <w:sz w:val="16"/>
            </w:rPr>
            <w:t xml:space="preserve">HyNet Carbon Capture and Storage Welsh Channel </w:t>
          </w:r>
          <w:r w:rsidR="006852DB">
            <w:rPr>
              <w:sz w:val="16"/>
            </w:rPr>
            <w:t xml:space="preserve">and Liverpool Bay TSS Traffic </w:t>
          </w:r>
          <w:r w:rsidRPr="006B77A4">
            <w:rPr>
              <w:sz w:val="16"/>
            </w:rPr>
            <w:t>Review</w:t>
          </w:r>
        </w:p>
      </w:tc>
      <w:tc>
        <w:tcPr>
          <w:tcW w:w="1175" w:type="dxa"/>
          <w:vMerge/>
          <w:tcBorders>
            <w:left w:val="nil"/>
            <w:right w:val="nil"/>
          </w:tcBorders>
          <w:tcMar>
            <w:left w:w="0" w:type="dxa"/>
            <w:right w:w="0" w:type="dxa"/>
          </w:tcMar>
        </w:tcPr>
        <w:p w14:paraId="0C77C891" w14:textId="77777777" w:rsidR="00400610" w:rsidRPr="00BE0C95" w:rsidRDefault="00400610">
          <w:pPr>
            <w:pStyle w:val="Footer"/>
            <w:rPr>
              <w:sz w:val="16"/>
            </w:rPr>
          </w:pPr>
        </w:p>
      </w:tc>
    </w:tr>
  </w:tbl>
  <w:p w14:paraId="02C231AC" w14:textId="77777777" w:rsidR="00CD1475" w:rsidRPr="00AF659D" w:rsidRDefault="00CD1475" w:rsidP="00BE0C95">
    <w:pPr>
      <w:pStyle w:val="Header"/>
      <w:rPr>
        <w:sz w:val="12"/>
        <w:szCs w:val="12"/>
      </w:rPr>
    </w:pPr>
    <w:r w:rsidRPr="00AF659D">
      <w:rPr>
        <w:noProof/>
        <w:sz w:val="12"/>
        <w:szCs w:val="12"/>
        <w:lang w:eastAsia="en-GB"/>
      </w:rPr>
      <mc:AlternateContent>
        <mc:Choice Requires="wpg">
          <w:drawing>
            <wp:anchor distT="0" distB="0" distL="114300" distR="114300" simplePos="0" relativeHeight="251658241" behindDoc="0" locked="0" layoutInCell="1" allowOverlap="1" wp14:anchorId="390706C1" wp14:editId="5D9AEB69">
              <wp:simplePos x="0" y="0"/>
              <wp:positionH relativeFrom="column">
                <wp:posOffset>-933450</wp:posOffset>
              </wp:positionH>
              <wp:positionV relativeFrom="paragraph">
                <wp:posOffset>10380345</wp:posOffset>
              </wp:positionV>
              <wp:extent cx="7560000" cy="858776"/>
              <wp:effectExtent l="0" t="0" r="3175" b="151130"/>
              <wp:wrapNone/>
              <wp:docPr id="48" name="Group 2"/>
              <wp:cNvGraphicFramePr/>
              <a:graphic xmlns:a="http://schemas.openxmlformats.org/drawingml/2006/main">
                <a:graphicData uri="http://schemas.microsoft.com/office/word/2010/wordprocessingGroup">
                  <wpg:wgp>
                    <wpg:cNvGrpSpPr/>
                    <wpg:grpSpPr>
                      <a:xfrm>
                        <a:off x="0" y="0"/>
                        <a:ext cx="7560000" cy="858776"/>
                        <a:chOff x="0" y="0"/>
                        <a:chExt cx="9180548" cy="858776"/>
                      </a:xfrm>
                    </wpg:grpSpPr>
                    <wps:wsp>
                      <wps:cNvPr id="49" name="Freeform 49"/>
                      <wps:cNvSpPr>
                        <a:spLocks/>
                      </wps:cNvSpPr>
                      <wps:spPr bwMode="auto">
                        <a:xfrm>
                          <a:off x="4400517" y="0"/>
                          <a:ext cx="4762500" cy="638175"/>
                        </a:xfrm>
                        <a:custGeom>
                          <a:avLst>
                            <a:gd name="A1" fmla="val 0"/>
                            <a:gd name="A2" fmla="val 0"/>
                            <a:gd name="A3" fmla="val 0"/>
                            <a:gd name="A4" fmla="val 0"/>
                            <a:gd name="A5" fmla="val 0"/>
                            <a:gd name="A6" fmla="val 0"/>
                            <a:gd name="A7" fmla="val 0"/>
                            <a:gd name="A8" fmla="val 0"/>
                          </a:avLst>
                          <a:gdLst/>
                          <a:ahLst/>
                          <a:cxnLst>
                            <a:cxn ang="0">
                              <a:pos x="0" y="0"/>
                            </a:cxn>
                            <a:cxn ang="0">
                              <a:pos x="1668" y="564"/>
                            </a:cxn>
                            <a:cxn ang="0">
                              <a:pos x="3000" y="186"/>
                            </a:cxn>
                            <a:cxn ang="0">
                              <a:pos x="3000" y="6"/>
                            </a:cxn>
                            <a:cxn ang="0">
                              <a:pos x="0" y="0"/>
                            </a:cxn>
                          </a:cxnLst>
                          <a:rect l="0" t="0" r="0" b="0"/>
                          <a:pathLst>
                            <a:path w="3000" h="595">
                              <a:moveTo>
                                <a:pt x="0" y="0"/>
                              </a:moveTo>
                              <a:cubicBezTo>
                                <a:pt x="174" y="102"/>
                                <a:pt x="1168" y="533"/>
                                <a:pt x="1668" y="564"/>
                              </a:cubicBezTo>
                              <a:cubicBezTo>
                                <a:pt x="2168" y="595"/>
                                <a:pt x="2778" y="279"/>
                                <a:pt x="3000" y="186"/>
                              </a:cubicBezTo>
                              <a:lnTo>
                                <a:pt x="3000" y="6"/>
                              </a:lnTo>
                              <a:lnTo>
                                <a:pt x="0" y="0"/>
                              </a:lnTo>
                              <a:close/>
                            </a:path>
                          </a:pathLst>
                        </a:custGeom>
                        <a:gradFill>
                          <a:gsLst>
                            <a:gs pos="0">
                              <a:srgbClr val="004F9F">
                                <a:shade val="50000"/>
                                <a:alpha val="30000"/>
                                <a:satMod val="130000"/>
                              </a:srgbClr>
                            </a:gs>
                            <a:gs pos="80000">
                              <a:srgbClr val="0064C9">
                                <a:shade val="75000"/>
                                <a:alpha val="45000"/>
                                <a:satMod val="140000"/>
                              </a:srgbClr>
                            </a:gs>
                          </a:gsLst>
                          <a:lin ang="5400000" scaled="1"/>
                        </a:gradFill>
                        <a:ln w="9525" cap="flat" cmpd="sng" algn="ctr">
                          <a:noFill/>
                          <a:prstDash val="solid"/>
                          <a:round/>
                          <a:headEnd type="none" w="med" len="med"/>
                          <a:tailEnd type="none" w="med" len="med"/>
                        </a:ln>
                        <a:effectLst/>
                      </wps:spPr>
                      <wps:bodyPr vert="horz" wrap="square" lIns="91440" tIns="45720" rIns="91440" bIns="45720" anchor="t" compatLnSpc="1"/>
                    </wps:wsp>
                    <wpg:grpSp>
                      <wpg:cNvPr id="50" name="Group 50"/>
                      <wpg:cNvGrpSpPr/>
                      <wpg:grpSpPr>
                        <a:xfrm>
                          <a:off x="0" y="209552"/>
                          <a:ext cx="9180548" cy="649224"/>
                          <a:chOff x="0" y="209552"/>
                          <a:chExt cx="9180548" cy="649224"/>
                        </a:xfrm>
                      </wpg:grpSpPr>
                      <wps:wsp>
                        <wps:cNvPr id="51" name="Freeform 51"/>
                        <wps:cNvSpPr>
                          <a:spLocks/>
                        </wps:cNvSpPr>
                        <wps:spPr bwMode="auto">
                          <a:xfrm rot="21435692">
                            <a:off x="0" y="209552"/>
                            <a:ext cx="9163050" cy="649224"/>
                          </a:xfrm>
                          <a:custGeom>
                            <a:avLst>
                              <a:gd name="A1" fmla="val 0"/>
                              <a:gd name="A2" fmla="val 0"/>
                              <a:gd name="A3" fmla="val 0"/>
                              <a:gd name="A4" fmla="val 0"/>
                              <a:gd name="A5" fmla="val 0"/>
                              <a:gd name="A6" fmla="val 0"/>
                              <a:gd name="A7" fmla="val 0"/>
                              <a:gd name="A8" fmla="val 0"/>
                            </a:avLst>
                            <a:gdLst/>
                            <a:ahLst/>
                            <a:cxnLst>
                              <a:cxn ang="0">
                                <a:pos x="0" y="966"/>
                              </a:cxn>
                              <a:cxn ang="0">
                                <a:pos x="1608" y="282"/>
                              </a:cxn>
                              <a:cxn ang="0">
                                <a:pos x="4110" y="1008"/>
                              </a:cxn>
                              <a:cxn ang="0">
                                <a:pos x="5772" y="0"/>
                              </a:cxn>
                            </a:cxnLst>
                            <a:rect l="0" t="0" r="0" b="0"/>
                            <a:pathLst>
                              <a:path w="5772" h="1055">
                                <a:moveTo>
                                  <a:pt x="0" y="966"/>
                                </a:moveTo>
                                <a:cubicBezTo>
                                  <a:pt x="282" y="738"/>
                                  <a:pt x="923" y="275"/>
                                  <a:pt x="1608" y="282"/>
                                </a:cubicBezTo>
                                <a:cubicBezTo>
                                  <a:pt x="2293" y="289"/>
                                  <a:pt x="3416" y="1055"/>
                                  <a:pt x="4110" y="1008"/>
                                </a:cubicBezTo>
                                <a:cubicBezTo>
                                  <a:pt x="4804" y="961"/>
                                  <a:pt x="5426" y="210"/>
                                  <a:pt x="5772" y="0"/>
                                </a:cubicBezTo>
                              </a:path>
                            </a:pathLst>
                          </a:custGeom>
                          <a:noFill/>
                          <a:ln w="10795" cap="flat" cmpd="sng" algn="ctr">
                            <a:gradFill>
                              <a:gsLst>
                                <a:gs pos="74000">
                                  <a:srgbClr val="004F9F">
                                    <a:shade val="75000"/>
                                  </a:srgbClr>
                                </a:gs>
                                <a:gs pos="86000">
                                  <a:sysClr val="windowText" lastClr="000000">
                                    <a:alpha val="29000"/>
                                  </a:sysClr>
                                </a:gs>
                                <a:gs pos="16000">
                                  <a:srgbClr val="0064C9">
                                    <a:shade val="75000"/>
                                    <a:alpha val="56000"/>
                                  </a:srgbClr>
                                </a:gs>
                              </a:gsLst>
                              <a:lin ang="5400000" scaled="1"/>
                            </a:gradFill>
                            <a:prstDash val="solid"/>
                            <a:round/>
                            <a:headEnd type="none" w="med" len="med"/>
                            <a:tailEnd type="none" w="med" len="med"/>
                          </a:ln>
                          <a:effectLst/>
                        </wps:spPr>
                        <wps:bodyPr vert="horz" wrap="square" lIns="91440" tIns="45720" rIns="91440" bIns="45720" anchor="t" compatLnSpc="1"/>
                      </wps:wsp>
                      <wps:wsp>
                        <wps:cNvPr id="52" name="Freeform 52"/>
                        <wps:cNvSpPr>
                          <a:spLocks/>
                        </wps:cNvSpPr>
                        <wps:spPr bwMode="auto">
                          <a:xfrm rot="21435692">
                            <a:off x="4736" y="283005"/>
                            <a:ext cx="9175812" cy="530352"/>
                          </a:xfrm>
                          <a:custGeom>
                            <a:avLst>
                              <a:gd name="A1" fmla="val 0"/>
                              <a:gd name="A2" fmla="val 0"/>
                              <a:gd name="A3" fmla="val 0"/>
                              <a:gd name="A4" fmla="val 0"/>
                              <a:gd name="A5" fmla="val 0"/>
                              <a:gd name="A6" fmla="val 0"/>
                              <a:gd name="A7" fmla="val 0"/>
                              <a:gd name="A8" fmla="val 0"/>
                            </a:avLst>
                            <a:gdLst/>
                            <a:ahLst/>
                            <a:cxnLst>
                              <a:cxn ang="0">
                                <a:pos x="0" y="732"/>
                              </a:cxn>
                              <a:cxn ang="0">
                                <a:pos x="1638" y="228"/>
                              </a:cxn>
                              <a:cxn ang="0">
                                <a:pos x="4122" y="816"/>
                              </a:cxn>
                              <a:cxn ang="0">
                                <a:pos x="5766" y="0"/>
                              </a:cxn>
                            </a:cxnLst>
                            <a:rect l="0" t="0" r="0" b="0"/>
                            <a:pathLst>
                              <a:path w="5766" h="854">
                                <a:moveTo>
                                  <a:pt x="0" y="732"/>
                                </a:moveTo>
                                <a:cubicBezTo>
                                  <a:pt x="273" y="647"/>
                                  <a:pt x="951" y="214"/>
                                  <a:pt x="1638" y="228"/>
                                </a:cubicBezTo>
                                <a:cubicBezTo>
                                  <a:pt x="2325" y="242"/>
                                  <a:pt x="3434" y="854"/>
                                  <a:pt x="4122" y="816"/>
                                </a:cubicBezTo>
                                <a:cubicBezTo>
                                  <a:pt x="4810" y="778"/>
                                  <a:pt x="5424" y="170"/>
                                  <a:pt x="5766" y="0"/>
                                </a:cubicBezTo>
                              </a:path>
                            </a:pathLst>
                          </a:custGeom>
                          <a:noFill/>
                          <a:ln w="9525" cap="flat" cmpd="sng" algn="ctr">
                            <a:gradFill>
                              <a:gsLst>
                                <a:gs pos="74000">
                                  <a:srgbClr val="0000CC"/>
                                </a:gs>
                                <a:gs pos="44000">
                                  <a:srgbClr val="083E6F"/>
                                </a:gs>
                                <a:gs pos="33000">
                                  <a:srgbClr val="0064C9">
                                    <a:alpha val="56000"/>
                                  </a:srgbClr>
                                </a:gs>
                              </a:gsLst>
                              <a:lin ang="5400000" scaled="1"/>
                            </a:gradFill>
                            <a:prstDash val="solid"/>
                            <a:round/>
                            <a:headEnd type="none" w="med" len="med"/>
                            <a:tailEnd type="none" w="med" len="med"/>
                          </a:ln>
                          <a:effectLst/>
                        </wps:spPr>
                        <wps:bodyPr vert="horz" wrap="square" lIns="91440" tIns="45720" rIns="91440" bIns="45720" anchor="t" compatLnSpc="1"/>
                      </wps:wsp>
                    </wpg:grpSp>
                  </wpg:wgp>
                </a:graphicData>
              </a:graphic>
              <wp14:sizeRelH relativeFrom="margin">
                <wp14:pctWidth>0</wp14:pctWidth>
              </wp14:sizeRelH>
              <wp14:sizeRelV relativeFrom="margin">
                <wp14:pctHeight>0</wp14:pctHeight>
              </wp14:sizeRelV>
            </wp:anchor>
          </w:drawing>
        </mc:Choice>
        <mc:Fallback xmlns:arto="http://schemas.microsoft.com/office/word/2006/arto">
          <w:pict>
            <v:group w14:anchorId="45547F91" id="Group 2" o:spid="_x0000_s1026" style="position:absolute;margin-left:-73.5pt;margin-top:817.35pt;width:595.3pt;height:67.6pt;z-index:251669504;mso-width-relative:margin;mso-height-relative:margin" coordsize="91805,8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">
              <v:shape id="Freeform 49" o:spid="_x0000_s1027" style="position:absolute;left:44005;width:47625;height:6381;visibility:visible;mso-wrap-style:square;v-text-anchor:top" coordsize="3000,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" path="m,c174,102,1168,533,1668,564,2168,595,2778,279,3000,186r,-180l,xe" fillcolor="#003785" stroked="f">
                <v:fill opacity="29491f" color2="#0057d4" o:opacity2="19660f" colors="0 #003785;52429f #0057d4" focus="100%" type="gradient"/>
                <v:path arrowok="t" o:connecttype="custom" o:connectlocs="0,0;1668,564;3000,186;3000,6;0,0" o:connectangles="0,0,0,0,0" textboxrect="0,0,3000,595"/>
              </v:shape>
              <v:group id="Group 50" o:spid="_x0000_s1028" style="position:absolute;top:2095;width:91805;height:6492" coordorigin=",2095" coordsize="91805,6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Freeform 51" o:spid="_x0000_s1029" style="position:absolute;top:2095;width:91630;height:6492;rotation:-179468fd;visibility:visible;mso-wrap-style:square;v-text-anchor:top" coordsize="5772,1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" path="m,966c282,738,923,275,1608,282v685,7,1808,773,2502,726c4804,961,5426,210,5772,e" filled="f" strokeweight=".85pt">
                  <v:path arrowok="t" o:connecttype="custom" o:connectlocs="0,966;1608,282;4110,1008;5772,0" o:connectangles="0,0,0,0" textboxrect="0,0,5772,1055"/>
                </v:shape>
                <v:shape id="Freeform 52" o:spid="_x0000_s1030" style="position:absolute;left:47;top:2830;width:91758;height:5303;rotation:-179468fd;visibility:visible;mso-wrap-style:square;v-text-anchor:top" coordsize="576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" path="m,732c273,647,951,214,1638,228v687,14,1796,626,2484,588c4810,778,5424,170,5766,e" filled="f">
                  <v:path arrowok="t" o:connecttype="custom" o:connectlocs="0,732;1638,228;4122,816;5766,0" o:connectangles="0,0,0,0" textboxrect="0,0,5766,854"/>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B725C6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F5E31B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6A06E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224FA8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C30197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C68B05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BEEA73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79441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6DC65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69E471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8546E"/>
    <w:multiLevelType w:val="multilevel"/>
    <w:tmpl w:val="54C45C58"/>
    <w:lvl w:ilvl="0">
      <w:start w:val="1"/>
      <w:numFmt w:val="bullet"/>
      <w:pStyle w:val="AnatecBullet"/>
      <w:lvlText w:val=""/>
      <w:lvlJc w:val="left"/>
      <w:pPr>
        <w:ind w:left="720" w:hanging="360"/>
      </w:pPr>
      <w:rPr>
        <w:rFonts w:ascii="Wingdings" w:hAnsi="Wingdings" w:hint="default"/>
        <w:color w:val="1F497D" w:themeColor="text2"/>
        <w:sz w:val="24"/>
      </w:rPr>
    </w:lvl>
    <w:lvl w:ilvl="1">
      <w:start w:val="1"/>
      <w:numFmt w:val="bullet"/>
      <w:lvlText w:val=""/>
      <w:lvlJc w:val="left"/>
      <w:pPr>
        <w:ind w:left="1440" w:hanging="360"/>
      </w:pPr>
      <w:rPr>
        <w:rFonts w:ascii="Wingdings" w:hAnsi="Wingdings" w:hint="default"/>
        <w:sz w:val="24"/>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BDD5FFC"/>
    <w:multiLevelType w:val="hybridMultilevel"/>
    <w:tmpl w:val="2DBA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CC6F97"/>
    <w:multiLevelType w:val="hybridMultilevel"/>
    <w:tmpl w:val="A2C86550"/>
    <w:lvl w:ilvl="0" w:tplc="93AEF474">
      <w:start w:val="1"/>
      <w:numFmt w:val="decimal"/>
      <w:lvlText w:val="Figure E.%1"/>
      <w:lvlJc w:val="left"/>
      <w:pPr>
        <w:ind w:left="720" w:hanging="360"/>
      </w:pPr>
      <w:rPr>
        <w:rFonts w:ascii="Calibri" w:hAnsi="Calibri" w:hint="default"/>
        <w:b/>
        <w:bCs/>
        <w:i w:val="0"/>
        <w:iCs w:val="0"/>
        <w:caps w:val="0"/>
        <w:strike w:val="0"/>
        <w:dstrike w:val="0"/>
        <w:outline w:val="0"/>
        <w:shadow w:val="0"/>
        <w:emboss w:val="0"/>
        <w:imprint w:val="0"/>
        <w:vanish w:val="0"/>
        <w:color w:val="1F497D" w:themeColor="text2"/>
        <w:spacing w:val="0"/>
        <w:kern w:val="0"/>
        <w:position w:val="0"/>
        <w:sz w:val="24"/>
        <w:u w:val="none"/>
        <w:effect w:val="none"/>
        <w:vertAlign w:val="baseline"/>
        <w:em w:v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665F4E"/>
    <w:multiLevelType w:val="multilevel"/>
    <w:tmpl w:val="48D68C7E"/>
    <w:lvl w:ilvl="0">
      <w:start w:val="1"/>
      <w:numFmt w:val="upperLetter"/>
      <w:lvlText w:val="Appendix %1"/>
      <w:lvlJc w:val="left"/>
      <w:pPr>
        <w:ind w:left="851" w:hanging="851"/>
      </w:pPr>
      <w:rPr>
        <w:rFonts w:ascii="Calibri" w:hAnsi="Calibri" w:hint="default"/>
        <w:b/>
        <w:i w:val="0"/>
        <w:color w:val="1F497D" w:themeColor="text2"/>
        <w:sz w:val="32"/>
      </w:rPr>
    </w:lvl>
    <w:lvl w:ilvl="1">
      <w:start w:val="1"/>
      <w:numFmt w:val="decimal"/>
      <w:lvlText w:val="%1.%2"/>
      <w:lvlJc w:val="left"/>
      <w:pPr>
        <w:ind w:left="851" w:hanging="851"/>
      </w:pPr>
      <w:rPr>
        <w:rFonts w:ascii="Calibri" w:hAnsi="Calibri" w:hint="default"/>
        <w:b/>
        <w:i w:val="0"/>
        <w:color w:val="1F497D" w:themeColor="text2"/>
        <w:sz w:val="28"/>
      </w:rPr>
    </w:lvl>
    <w:lvl w:ilvl="2">
      <w:start w:val="1"/>
      <w:numFmt w:val="decimal"/>
      <w:lvlText w:val="%1.%2.%3"/>
      <w:lvlJc w:val="left"/>
      <w:pPr>
        <w:ind w:left="851" w:hanging="851"/>
      </w:pPr>
      <w:rPr>
        <w:rFonts w:ascii="Calibri" w:hAnsi="Calibri" w:hint="default"/>
        <w:b/>
        <w:i w:val="0"/>
        <w:color w:val="1F497D" w:themeColor="text2"/>
        <w:sz w:val="24"/>
      </w:rPr>
    </w:lvl>
    <w:lvl w:ilvl="3">
      <w:start w:val="1"/>
      <w:numFmt w:val="decimal"/>
      <w:lvlText w:val="%1.%2.%3.%4"/>
      <w:lvlJc w:val="left"/>
      <w:pPr>
        <w:ind w:left="851" w:hanging="851"/>
      </w:pPr>
      <w:rPr>
        <w:rFonts w:ascii="Calibri" w:hAnsi="Calibri" w:hint="default"/>
        <w:b/>
        <w:i w:val="0"/>
        <w:color w:val="1F497D" w:themeColor="text2"/>
        <w:sz w:val="24"/>
      </w:rPr>
    </w:lvl>
    <w:lvl w:ilvl="4">
      <w:start w:val="1"/>
      <w:numFmt w:val="decimal"/>
      <w:lvlRestart w:val="1"/>
      <w:lvlText w:val="Figure %1.%5"/>
      <w:lvlJc w:val="left"/>
      <w:pPr>
        <w:ind w:left="851" w:hanging="851"/>
      </w:pPr>
      <w:rPr>
        <w:rFonts w:ascii="Calibri" w:hAnsi="Calibri" w:hint="default"/>
        <w:b/>
        <w:i w:val="0"/>
        <w:color w:val="1F497D" w:themeColor="text2"/>
        <w:sz w:val="24"/>
      </w:rPr>
    </w:lvl>
    <w:lvl w:ilvl="5">
      <w:start w:val="1"/>
      <w:numFmt w:val="decimal"/>
      <w:lvlRestart w:val="1"/>
      <w:lvlText w:val="Table %1.%6"/>
      <w:lvlJc w:val="left"/>
      <w:pPr>
        <w:ind w:left="851" w:hanging="851"/>
      </w:pPr>
      <w:rPr>
        <w:rFonts w:ascii="Calibri" w:hAnsi="Calibri" w:hint="default"/>
        <w:b/>
        <w:i w:val="0"/>
        <w:color w:val="1F497D" w:themeColor="text2"/>
        <w:sz w:val="24"/>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right"/>
      <w:pPr>
        <w:ind w:left="851" w:hanging="851"/>
      </w:pPr>
      <w:rPr>
        <w:rFonts w:hint="default"/>
      </w:rPr>
    </w:lvl>
  </w:abstractNum>
  <w:abstractNum w:abstractNumId="14" w15:restartNumberingAfterBreak="0">
    <w:nsid w:val="2F6A2574"/>
    <w:multiLevelType w:val="hybridMultilevel"/>
    <w:tmpl w:val="5E823FF0"/>
    <w:lvl w:ilvl="0" w:tplc="2CF4F7D0">
      <w:start w:val="1"/>
      <w:numFmt w:val="decimal"/>
      <w:lvlText w:val="Table A.%1"/>
      <w:lvlJc w:val="left"/>
      <w:pPr>
        <w:ind w:left="720" w:hanging="360"/>
      </w:pPr>
      <w:rPr>
        <w:rFonts w:ascii="Calibri" w:hAnsi="Calibri" w:hint="default"/>
        <w:b/>
        <w:i w:val="0"/>
        <w:color w:val="1F497D" w:themeColor="text2"/>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C566CD"/>
    <w:multiLevelType w:val="multilevel"/>
    <w:tmpl w:val="F3EEB9D0"/>
    <w:lvl w:ilvl="0">
      <w:start w:val="1"/>
      <w:numFmt w:val="upperLetter"/>
      <w:pStyle w:val="AnatecAppendixHeading1"/>
      <w:lvlText w:val="Appendix %1"/>
      <w:lvlJc w:val="left"/>
      <w:pPr>
        <w:ind w:left="851" w:hanging="851"/>
      </w:pPr>
      <w:rPr>
        <w:rFonts w:ascii="Calibri" w:hAnsi="Calibri" w:hint="default"/>
        <w:b/>
        <w:i w:val="0"/>
        <w:color w:val="1F497D" w:themeColor="text2"/>
        <w:sz w:val="32"/>
      </w:rPr>
    </w:lvl>
    <w:lvl w:ilvl="1">
      <w:start w:val="1"/>
      <w:numFmt w:val="decimal"/>
      <w:pStyle w:val="AnatecAppendixHeading2"/>
      <w:lvlText w:val="%1.%2"/>
      <w:lvlJc w:val="left"/>
      <w:pPr>
        <w:ind w:left="851" w:hanging="851"/>
      </w:pPr>
      <w:rPr>
        <w:rFonts w:ascii="Calibri" w:hAnsi="Calibri" w:hint="default"/>
        <w:b/>
        <w:i w:val="0"/>
        <w:color w:val="1F497D" w:themeColor="text2"/>
        <w:sz w:val="28"/>
      </w:rPr>
    </w:lvl>
    <w:lvl w:ilvl="2">
      <w:start w:val="1"/>
      <w:numFmt w:val="decimal"/>
      <w:pStyle w:val="AnatecAppendixHeading3"/>
      <w:lvlText w:val="%1.%2.%3"/>
      <w:lvlJc w:val="left"/>
      <w:pPr>
        <w:ind w:left="851" w:hanging="851"/>
      </w:pPr>
      <w:rPr>
        <w:rFonts w:ascii="Calibri" w:hAnsi="Calibri" w:hint="default"/>
        <w:b/>
        <w:i w:val="0"/>
        <w:color w:val="1F497D" w:themeColor="text2"/>
        <w:sz w:val="24"/>
      </w:rPr>
    </w:lvl>
    <w:lvl w:ilvl="3">
      <w:start w:val="1"/>
      <w:numFmt w:val="decimal"/>
      <w:pStyle w:val="AnatecAppendixHeading4"/>
      <w:lvlText w:val="%1.%2.%3.%4"/>
      <w:lvlJc w:val="left"/>
      <w:pPr>
        <w:ind w:left="851" w:hanging="851"/>
      </w:pPr>
      <w:rPr>
        <w:rFonts w:ascii="Calibri" w:hAnsi="Calibri" w:hint="default"/>
        <w:b/>
        <w:i w:val="0"/>
        <w:color w:val="1F497D" w:themeColor="text2"/>
        <w:sz w:val="24"/>
      </w:rPr>
    </w:lvl>
    <w:lvl w:ilvl="4">
      <w:start w:val="1"/>
      <w:numFmt w:val="decimal"/>
      <w:lvlRestart w:val="1"/>
      <w:pStyle w:val="AnatecAppendixFigureCaption"/>
      <w:lvlText w:val="Figure %1.%5"/>
      <w:lvlJc w:val="left"/>
      <w:pPr>
        <w:ind w:left="851" w:hanging="851"/>
      </w:pPr>
      <w:rPr>
        <w:rFonts w:ascii="Calibri" w:hAnsi="Calibri" w:hint="default"/>
        <w:b/>
        <w:i w:val="0"/>
        <w:color w:val="1F497D" w:themeColor="text2"/>
        <w:sz w:val="24"/>
      </w:rPr>
    </w:lvl>
    <w:lvl w:ilvl="5">
      <w:start w:val="1"/>
      <w:numFmt w:val="decimal"/>
      <w:lvlRestart w:val="1"/>
      <w:pStyle w:val="AnatecAppendixTableCaption"/>
      <w:lvlText w:val="Table %1.%6"/>
      <w:lvlJc w:val="left"/>
      <w:pPr>
        <w:ind w:left="851" w:hanging="851"/>
      </w:pPr>
      <w:rPr>
        <w:rFonts w:ascii="Calibri" w:hAnsi="Calibri" w:hint="default"/>
        <w:b/>
        <w:i w:val="0"/>
        <w:color w:val="1F497D" w:themeColor="text2"/>
        <w:sz w:val="24"/>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right"/>
      <w:pPr>
        <w:ind w:left="851" w:hanging="851"/>
      </w:pPr>
      <w:rPr>
        <w:rFonts w:hint="default"/>
      </w:rPr>
    </w:lvl>
  </w:abstractNum>
  <w:abstractNum w:abstractNumId="16" w15:restartNumberingAfterBreak="0">
    <w:nsid w:val="470016C0"/>
    <w:multiLevelType w:val="hybridMultilevel"/>
    <w:tmpl w:val="2D407C9E"/>
    <w:lvl w:ilvl="0" w:tplc="0D04956C">
      <w:start w:val="1"/>
      <w:numFmt w:val="decimal"/>
      <w:lvlText w:val="%1"/>
      <w:lvlJc w:val="left"/>
      <w:pPr>
        <w:ind w:left="720" w:hanging="360"/>
      </w:pPr>
      <w:rPr>
        <w:rFonts w:ascii="Calibri" w:hAnsi="Calibri" w:hint="default"/>
        <w:b/>
        <w:i w:val="0"/>
        <w:color w:val="548DD4" w:themeColor="text2" w:themeTint="99"/>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346414"/>
    <w:multiLevelType w:val="hybridMultilevel"/>
    <w:tmpl w:val="5BF2B1A4"/>
    <w:lvl w:ilvl="0" w:tplc="F3688D48">
      <w:start w:val="1"/>
      <w:numFmt w:val="decimal"/>
      <w:pStyle w:val="AnatecNormalNumbered"/>
      <w:lvlText w:val="%1."/>
      <w:lvlJc w:val="left"/>
      <w:pPr>
        <w:ind w:left="720" w:hanging="360"/>
      </w:pPr>
      <w:rPr>
        <w:rFonts w:ascii="Calibri" w:hAnsi="Calibri"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EC23B4"/>
    <w:multiLevelType w:val="multilevel"/>
    <w:tmpl w:val="48D68C7E"/>
    <w:lvl w:ilvl="0">
      <w:start w:val="1"/>
      <w:numFmt w:val="upperLetter"/>
      <w:lvlText w:val="Appendix %1"/>
      <w:lvlJc w:val="left"/>
      <w:pPr>
        <w:ind w:left="851" w:hanging="851"/>
      </w:pPr>
      <w:rPr>
        <w:rFonts w:ascii="Calibri" w:hAnsi="Calibri" w:hint="default"/>
        <w:b/>
        <w:i w:val="0"/>
        <w:color w:val="1F497D" w:themeColor="text2"/>
        <w:sz w:val="32"/>
      </w:rPr>
    </w:lvl>
    <w:lvl w:ilvl="1">
      <w:start w:val="1"/>
      <w:numFmt w:val="decimal"/>
      <w:lvlText w:val="%1.%2"/>
      <w:lvlJc w:val="left"/>
      <w:pPr>
        <w:ind w:left="851" w:hanging="851"/>
      </w:pPr>
      <w:rPr>
        <w:rFonts w:ascii="Calibri" w:hAnsi="Calibri" w:hint="default"/>
        <w:b/>
        <w:i w:val="0"/>
        <w:color w:val="1F497D" w:themeColor="text2"/>
        <w:sz w:val="28"/>
      </w:rPr>
    </w:lvl>
    <w:lvl w:ilvl="2">
      <w:start w:val="1"/>
      <w:numFmt w:val="decimal"/>
      <w:lvlText w:val="%1.%2.%3"/>
      <w:lvlJc w:val="left"/>
      <w:pPr>
        <w:ind w:left="851" w:hanging="851"/>
      </w:pPr>
      <w:rPr>
        <w:rFonts w:ascii="Calibri" w:hAnsi="Calibri" w:hint="default"/>
        <w:b/>
        <w:i w:val="0"/>
        <w:color w:val="1F497D" w:themeColor="text2"/>
        <w:sz w:val="24"/>
      </w:rPr>
    </w:lvl>
    <w:lvl w:ilvl="3">
      <w:start w:val="1"/>
      <w:numFmt w:val="decimal"/>
      <w:lvlText w:val="%1.%2.%3.%4"/>
      <w:lvlJc w:val="left"/>
      <w:pPr>
        <w:ind w:left="851" w:hanging="851"/>
      </w:pPr>
      <w:rPr>
        <w:rFonts w:ascii="Calibri" w:hAnsi="Calibri" w:hint="default"/>
        <w:b/>
        <w:i w:val="0"/>
        <w:color w:val="1F497D" w:themeColor="text2"/>
        <w:sz w:val="24"/>
      </w:rPr>
    </w:lvl>
    <w:lvl w:ilvl="4">
      <w:start w:val="1"/>
      <w:numFmt w:val="decimal"/>
      <w:lvlRestart w:val="1"/>
      <w:lvlText w:val="Figure %1.%5"/>
      <w:lvlJc w:val="left"/>
      <w:pPr>
        <w:ind w:left="851" w:hanging="851"/>
      </w:pPr>
      <w:rPr>
        <w:rFonts w:ascii="Calibri" w:hAnsi="Calibri" w:hint="default"/>
        <w:b/>
        <w:i w:val="0"/>
        <w:color w:val="1F497D" w:themeColor="text2"/>
        <w:sz w:val="24"/>
      </w:rPr>
    </w:lvl>
    <w:lvl w:ilvl="5">
      <w:start w:val="1"/>
      <w:numFmt w:val="decimal"/>
      <w:lvlRestart w:val="1"/>
      <w:lvlText w:val="Table %1.%6"/>
      <w:lvlJc w:val="left"/>
      <w:pPr>
        <w:ind w:left="851" w:hanging="851"/>
      </w:pPr>
      <w:rPr>
        <w:rFonts w:ascii="Calibri" w:hAnsi="Calibri" w:hint="default"/>
        <w:b/>
        <w:i w:val="0"/>
        <w:color w:val="1F497D" w:themeColor="text2"/>
        <w:sz w:val="24"/>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right"/>
      <w:pPr>
        <w:ind w:left="851" w:hanging="851"/>
      </w:pPr>
      <w:rPr>
        <w:rFonts w:hint="default"/>
      </w:rPr>
    </w:lvl>
  </w:abstractNum>
  <w:abstractNum w:abstractNumId="19" w15:restartNumberingAfterBreak="0">
    <w:nsid w:val="4ED803DF"/>
    <w:multiLevelType w:val="hybridMultilevel"/>
    <w:tmpl w:val="5BCC1732"/>
    <w:lvl w:ilvl="0" w:tplc="08D073D6">
      <w:start w:val="1"/>
      <w:numFmt w:val="bullet"/>
      <w:lvlText w:val=""/>
      <w:lvlJc w:val="left"/>
      <w:pPr>
        <w:ind w:left="720" w:hanging="360"/>
      </w:pPr>
      <w:rPr>
        <w:rFonts w:ascii="Wingdings" w:hAnsi="Wingdings" w:hint="default"/>
        <w:color w:val="1F497D" w:themeColor="text2"/>
      </w:rPr>
    </w:lvl>
    <w:lvl w:ilvl="1" w:tplc="08090005">
      <w:start w:val="1"/>
      <w:numFmt w:val="bullet"/>
      <w:lvlText w:val=""/>
      <w:lvlJc w:val="left"/>
      <w:pPr>
        <w:ind w:left="1440" w:hanging="360"/>
      </w:pPr>
      <w:rPr>
        <w:rFonts w:ascii="Wingdings" w:hAnsi="Wingdings" w:hint="default"/>
        <w:color w:val="000000" w:themeColor="tex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2E4797"/>
    <w:multiLevelType w:val="multilevel"/>
    <w:tmpl w:val="72A2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E801AED"/>
    <w:multiLevelType w:val="multilevel"/>
    <w:tmpl w:val="48D68C7E"/>
    <w:lvl w:ilvl="0">
      <w:start w:val="1"/>
      <w:numFmt w:val="upperLetter"/>
      <w:lvlText w:val="Appendix %1"/>
      <w:lvlJc w:val="left"/>
      <w:pPr>
        <w:ind w:left="851" w:hanging="851"/>
      </w:pPr>
      <w:rPr>
        <w:rFonts w:ascii="Calibri" w:hAnsi="Calibri" w:hint="default"/>
        <w:b/>
        <w:i w:val="0"/>
        <w:color w:val="1F497D" w:themeColor="text2"/>
        <w:sz w:val="32"/>
      </w:rPr>
    </w:lvl>
    <w:lvl w:ilvl="1">
      <w:start w:val="1"/>
      <w:numFmt w:val="decimal"/>
      <w:lvlText w:val="%1.%2"/>
      <w:lvlJc w:val="left"/>
      <w:pPr>
        <w:ind w:left="851" w:hanging="851"/>
      </w:pPr>
      <w:rPr>
        <w:rFonts w:ascii="Calibri" w:hAnsi="Calibri" w:hint="default"/>
        <w:b/>
        <w:i w:val="0"/>
        <w:color w:val="1F497D" w:themeColor="text2"/>
        <w:sz w:val="28"/>
      </w:rPr>
    </w:lvl>
    <w:lvl w:ilvl="2">
      <w:start w:val="1"/>
      <w:numFmt w:val="decimal"/>
      <w:lvlText w:val="%1.%2.%3"/>
      <w:lvlJc w:val="left"/>
      <w:pPr>
        <w:ind w:left="851" w:hanging="851"/>
      </w:pPr>
      <w:rPr>
        <w:rFonts w:ascii="Calibri" w:hAnsi="Calibri" w:hint="default"/>
        <w:b/>
        <w:i w:val="0"/>
        <w:color w:val="1F497D" w:themeColor="text2"/>
        <w:sz w:val="24"/>
      </w:rPr>
    </w:lvl>
    <w:lvl w:ilvl="3">
      <w:start w:val="1"/>
      <w:numFmt w:val="decimal"/>
      <w:lvlText w:val="%1.%2.%3.%4"/>
      <w:lvlJc w:val="left"/>
      <w:pPr>
        <w:ind w:left="851" w:hanging="851"/>
      </w:pPr>
      <w:rPr>
        <w:rFonts w:ascii="Calibri" w:hAnsi="Calibri" w:hint="default"/>
        <w:b/>
        <w:i w:val="0"/>
        <w:color w:val="1F497D" w:themeColor="text2"/>
        <w:sz w:val="24"/>
      </w:rPr>
    </w:lvl>
    <w:lvl w:ilvl="4">
      <w:start w:val="1"/>
      <w:numFmt w:val="decimal"/>
      <w:lvlRestart w:val="1"/>
      <w:lvlText w:val="Figure %1.%5"/>
      <w:lvlJc w:val="left"/>
      <w:pPr>
        <w:ind w:left="851" w:hanging="851"/>
      </w:pPr>
      <w:rPr>
        <w:rFonts w:ascii="Calibri" w:hAnsi="Calibri" w:hint="default"/>
        <w:b/>
        <w:i w:val="0"/>
        <w:color w:val="1F497D" w:themeColor="text2"/>
        <w:sz w:val="24"/>
      </w:rPr>
    </w:lvl>
    <w:lvl w:ilvl="5">
      <w:start w:val="1"/>
      <w:numFmt w:val="decimal"/>
      <w:lvlRestart w:val="1"/>
      <w:lvlText w:val="Table %1.%6"/>
      <w:lvlJc w:val="left"/>
      <w:pPr>
        <w:ind w:left="851" w:hanging="851"/>
      </w:pPr>
      <w:rPr>
        <w:rFonts w:ascii="Calibri" w:hAnsi="Calibri" w:hint="default"/>
        <w:b/>
        <w:i w:val="0"/>
        <w:color w:val="1F497D" w:themeColor="text2"/>
        <w:sz w:val="24"/>
      </w:rPr>
    </w:lvl>
    <w:lvl w:ilvl="6">
      <w:start w:val="1"/>
      <w:numFmt w:val="decimal"/>
      <w:lvlText w:val="%7."/>
      <w:lvlJc w:val="left"/>
      <w:pPr>
        <w:ind w:left="851" w:hanging="851"/>
      </w:pPr>
      <w:rPr>
        <w:rFonts w:hint="default"/>
      </w:rPr>
    </w:lvl>
    <w:lvl w:ilvl="7">
      <w:start w:val="1"/>
      <w:numFmt w:val="lowerLetter"/>
      <w:lvlText w:val="%8."/>
      <w:lvlJc w:val="left"/>
      <w:pPr>
        <w:ind w:left="851" w:hanging="851"/>
      </w:pPr>
      <w:rPr>
        <w:rFonts w:hint="default"/>
      </w:rPr>
    </w:lvl>
    <w:lvl w:ilvl="8">
      <w:start w:val="1"/>
      <w:numFmt w:val="lowerRoman"/>
      <w:lvlText w:val="%9."/>
      <w:lvlJc w:val="right"/>
      <w:pPr>
        <w:ind w:left="851" w:hanging="851"/>
      </w:pPr>
      <w:rPr>
        <w:rFonts w:hint="default"/>
      </w:rPr>
    </w:lvl>
  </w:abstractNum>
  <w:abstractNum w:abstractNumId="22" w15:restartNumberingAfterBreak="0">
    <w:nsid w:val="5EAC43B9"/>
    <w:multiLevelType w:val="multilevel"/>
    <w:tmpl w:val="1D42DAB2"/>
    <w:lvl w:ilvl="0">
      <w:start w:val="1"/>
      <w:numFmt w:val="decimal"/>
      <w:pStyle w:val="Heading1"/>
      <w:lvlText w:val="%1"/>
      <w:lvlJc w:val="left"/>
      <w:pPr>
        <w:ind w:left="360" w:hanging="360"/>
      </w:pPr>
      <w:rPr>
        <w:rFonts w:ascii="Calibri" w:hAnsi="Calibri" w:hint="default"/>
        <w:b/>
        <w:i w:val="0"/>
        <w:color w:val="1F497D" w:themeColor="text2"/>
        <w:sz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6CBD5AD3"/>
    <w:multiLevelType w:val="hybridMultilevel"/>
    <w:tmpl w:val="411E8572"/>
    <w:lvl w:ilvl="0" w:tplc="4278630A">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C5150B"/>
    <w:multiLevelType w:val="multilevel"/>
    <w:tmpl w:val="D6A0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47F01C0"/>
    <w:multiLevelType w:val="hybridMultilevel"/>
    <w:tmpl w:val="14AA0656"/>
    <w:lvl w:ilvl="0" w:tplc="EC32E44A">
      <w:start w:val="1"/>
      <w:numFmt w:val="upperLetter"/>
      <w:lvlText w:val="Appendix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9990443">
    <w:abstractNumId w:val="16"/>
  </w:num>
  <w:num w:numId="2" w16cid:durableId="1725060146">
    <w:abstractNumId w:val="16"/>
    <w:lvlOverride w:ilvl="0">
      <w:startOverride w:val="1"/>
    </w:lvlOverride>
  </w:num>
  <w:num w:numId="3" w16cid:durableId="949552694">
    <w:abstractNumId w:val="22"/>
  </w:num>
  <w:num w:numId="4" w16cid:durableId="10156159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2200142">
    <w:abstractNumId w:val="19"/>
  </w:num>
  <w:num w:numId="6" w16cid:durableId="448861971">
    <w:abstractNumId w:val="10"/>
  </w:num>
  <w:num w:numId="7" w16cid:durableId="1552810111">
    <w:abstractNumId w:val="23"/>
  </w:num>
  <w:num w:numId="8" w16cid:durableId="1578400401">
    <w:abstractNumId w:val="11"/>
  </w:num>
  <w:num w:numId="9" w16cid:durableId="810748626">
    <w:abstractNumId w:val="9"/>
  </w:num>
  <w:num w:numId="10" w16cid:durableId="1800344568">
    <w:abstractNumId w:val="7"/>
  </w:num>
  <w:num w:numId="11" w16cid:durableId="1554073912">
    <w:abstractNumId w:val="6"/>
  </w:num>
  <w:num w:numId="12" w16cid:durableId="1068528244">
    <w:abstractNumId w:val="5"/>
  </w:num>
  <w:num w:numId="13" w16cid:durableId="1785612029">
    <w:abstractNumId w:val="4"/>
  </w:num>
  <w:num w:numId="14" w16cid:durableId="306125937">
    <w:abstractNumId w:val="8"/>
  </w:num>
  <w:num w:numId="15" w16cid:durableId="240600887">
    <w:abstractNumId w:val="3"/>
  </w:num>
  <w:num w:numId="16" w16cid:durableId="1216355094">
    <w:abstractNumId w:val="2"/>
  </w:num>
  <w:num w:numId="17" w16cid:durableId="213321686">
    <w:abstractNumId w:val="1"/>
  </w:num>
  <w:num w:numId="18" w16cid:durableId="80103538">
    <w:abstractNumId w:val="0"/>
  </w:num>
  <w:num w:numId="19" w16cid:durableId="636761898">
    <w:abstractNumId w:val="25"/>
  </w:num>
  <w:num w:numId="20" w16cid:durableId="1217473959">
    <w:abstractNumId w:val="15"/>
  </w:num>
  <w:num w:numId="21" w16cid:durableId="9329759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75022405">
    <w:abstractNumId w:val="18"/>
  </w:num>
  <w:num w:numId="23" w16cid:durableId="1491601302">
    <w:abstractNumId w:val="17"/>
  </w:num>
  <w:num w:numId="24" w16cid:durableId="1551267311">
    <w:abstractNumId w:val="21"/>
  </w:num>
  <w:num w:numId="25" w16cid:durableId="196234218">
    <w:abstractNumId w:val="13"/>
  </w:num>
  <w:num w:numId="26" w16cid:durableId="1147016420">
    <w:abstractNumId w:val="12"/>
  </w:num>
  <w:num w:numId="27" w16cid:durableId="1043753338">
    <w:abstractNumId w:val="14"/>
  </w:num>
  <w:num w:numId="28" w16cid:durableId="15172296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0456956">
    <w:abstractNumId w:val="24"/>
  </w:num>
  <w:num w:numId="30" w16cid:durableId="1290747896">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mes Milne">
    <w15:presenceInfo w15:providerId="AD" w15:userId="S::james@anatec.com::b3e8b909-695c-4c40-892a-9e93ed5ec2d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68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EEA"/>
    <w:rsid w:val="0000058D"/>
    <w:rsid w:val="00000C42"/>
    <w:rsid w:val="00001261"/>
    <w:rsid w:val="00001502"/>
    <w:rsid w:val="0000269D"/>
    <w:rsid w:val="00003B05"/>
    <w:rsid w:val="0000574A"/>
    <w:rsid w:val="00006410"/>
    <w:rsid w:val="0000646A"/>
    <w:rsid w:val="00006C2D"/>
    <w:rsid w:val="00006D2D"/>
    <w:rsid w:val="00006E25"/>
    <w:rsid w:val="00007A12"/>
    <w:rsid w:val="00007D4E"/>
    <w:rsid w:val="000125CE"/>
    <w:rsid w:val="000137AB"/>
    <w:rsid w:val="000140EE"/>
    <w:rsid w:val="000142AA"/>
    <w:rsid w:val="0001487F"/>
    <w:rsid w:val="00016321"/>
    <w:rsid w:val="00016C8A"/>
    <w:rsid w:val="000207A5"/>
    <w:rsid w:val="000211BC"/>
    <w:rsid w:val="00021B44"/>
    <w:rsid w:val="00023784"/>
    <w:rsid w:val="00023FB5"/>
    <w:rsid w:val="00024720"/>
    <w:rsid w:val="000257FD"/>
    <w:rsid w:val="00026246"/>
    <w:rsid w:val="00026604"/>
    <w:rsid w:val="000270DA"/>
    <w:rsid w:val="0002738C"/>
    <w:rsid w:val="00030AA3"/>
    <w:rsid w:val="00031CF7"/>
    <w:rsid w:val="00032CCD"/>
    <w:rsid w:val="0003329A"/>
    <w:rsid w:val="00033CC6"/>
    <w:rsid w:val="00036B17"/>
    <w:rsid w:val="00037981"/>
    <w:rsid w:val="00037B4A"/>
    <w:rsid w:val="000400E4"/>
    <w:rsid w:val="00040D76"/>
    <w:rsid w:val="00041BB8"/>
    <w:rsid w:val="0004393B"/>
    <w:rsid w:val="0004600B"/>
    <w:rsid w:val="000475CC"/>
    <w:rsid w:val="00050CEE"/>
    <w:rsid w:val="00051FDE"/>
    <w:rsid w:val="00052046"/>
    <w:rsid w:val="000532CC"/>
    <w:rsid w:val="00053E99"/>
    <w:rsid w:val="00054714"/>
    <w:rsid w:val="00054B85"/>
    <w:rsid w:val="00055E1F"/>
    <w:rsid w:val="000563B0"/>
    <w:rsid w:val="00056CDE"/>
    <w:rsid w:val="00057079"/>
    <w:rsid w:val="00061242"/>
    <w:rsid w:val="00061A3A"/>
    <w:rsid w:val="00061E95"/>
    <w:rsid w:val="000620CE"/>
    <w:rsid w:val="00062160"/>
    <w:rsid w:val="00062B40"/>
    <w:rsid w:val="00062E8C"/>
    <w:rsid w:val="00063927"/>
    <w:rsid w:val="00064AC0"/>
    <w:rsid w:val="00064D05"/>
    <w:rsid w:val="00064D3E"/>
    <w:rsid w:val="00065CCF"/>
    <w:rsid w:val="00065D8F"/>
    <w:rsid w:val="00066F1E"/>
    <w:rsid w:val="000676D6"/>
    <w:rsid w:val="00067879"/>
    <w:rsid w:val="000679C2"/>
    <w:rsid w:val="000717FB"/>
    <w:rsid w:val="00074141"/>
    <w:rsid w:val="00074377"/>
    <w:rsid w:val="00074E67"/>
    <w:rsid w:val="00076B06"/>
    <w:rsid w:val="00076DA8"/>
    <w:rsid w:val="000771E0"/>
    <w:rsid w:val="0007737F"/>
    <w:rsid w:val="00080041"/>
    <w:rsid w:val="00080361"/>
    <w:rsid w:val="000807A1"/>
    <w:rsid w:val="00080E84"/>
    <w:rsid w:val="00081AB1"/>
    <w:rsid w:val="00082B69"/>
    <w:rsid w:val="00083315"/>
    <w:rsid w:val="00083BAE"/>
    <w:rsid w:val="00084040"/>
    <w:rsid w:val="000847D1"/>
    <w:rsid w:val="00085C49"/>
    <w:rsid w:val="000862CA"/>
    <w:rsid w:val="0008768C"/>
    <w:rsid w:val="000911CB"/>
    <w:rsid w:val="0009137E"/>
    <w:rsid w:val="000915B2"/>
    <w:rsid w:val="00092182"/>
    <w:rsid w:val="00092BEF"/>
    <w:rsid w:val="00092D80"/>
    <w:rsid w:val="000932D1"/>
    <w:rsid w:val="000932E3"/>
    <w:rsid w:val="000949F6"/>
    <w:rsid w:val="000960A8"/>
    <w:rsid w:val="000964B9"/>
    <w:rsid w:val="000A0CFD"/>
    <w:rsid w:val="000A1359"/>
    <w:rsid w:val="000A15AD"/>
    <w:rsid w:val="000A1BFC"/>
    <w:rsid w:val="000A3E89"/>
    <w:rsid w:val="000A423F"/>
    <w:rsid w:val="000A4DCF"/>
    <w:rsid w:val="000A50ED"/>
    <w:rsid w:val="000A682C"/>
    <w:rsid w:val="000A760F"/>
    <w:rsid w:val="000A7D25"/>
    <w:rsid w:val="000A7FAF"/>
    <w:rsid w:val="000B15FE"/>
    <w:rsid w:val="000B1744"/>
    <w:rsid w:val="000B1D9F"/>
    <w:rsid w:val="000B43C6"/>
    <w:rsid w:val="000B5987"/>
    <w:rsid w:val="000B5A52"/>
    <w:rsid w:val="000C0C03"/>
    <w:rsid w:val="000C1314"/>
    <w:rsid w:val="000C307A"/>
    <w:rsid w:val="000C33E0"/>
    <w:rsid w:val="000C3CD3"/>
    <w:rsid w:val="000C467E"/>
    <w:rsid w:val="000C48AB"/>
    <w:rsid w:val="000C6319"/>
    <w:rsid w:val="000C6E63"/>
    <w:rsid w:val="000C76DD"/>
    <w:rsid w:val="000D1A8C"/>
    <w:rsid w:val="000D29ED"/>
    <w:rsid w:val="000D2F9D"/>
    <w:rsid w:val="000D33B0"/>
    <w:rsid w:val="000D38BF"/>
    <w:rsid w:val="000D5537"/>
    <w:rsid w:val="000D65F6"/>
    <w:rsid w:val="000E10EF"/>
    <w:rsid w:val="000E153B"/>
    <w:rsid w:val="000E1706"/>
    <w:rsid w:val="000E1E15"/>
    <w:rsid w:val="000E233E"/>
    <w:rsid w:val="000E469B"/>
    <w:rsid w:val="000E66DE"/>
    <w:rsid w:val="000E6925"/>
    <w:rsid w:val="000E6AEA"/>
    <w:rsid w:val="000E6C28"/>
    <w:rsid w:val="000E7023"/>
    <w:rsid w:val="000E70D6"/>
    <w:rsid w:val="000F079D"/>
    <w:rsid w:val="000F11A1"/>
    <w:rsid w:val="000F1273"/>
    <w:rsid w:val="000F1346"/>
    <w:rsid w:val="000F1F4E"/>
    <w:rsid w:val="000F1F81"/>
    <w:rsid w:val="000F28AE"/>
    <w:rsid w:val="000F2DF9"/>
    <w:rsid w:val="000F2EFB"/>
    <w:rsid w:val="000F48F8"/>
    <w:rsid w:val="000F5676"/>
    <w:rsid w:val="000F6F61"/>
    <w:rsid w:val="00100302"/>
    <w:rsid w:val="00100463"/>
    <w:rsid w:val="0010277F"/>
    <w:rsid w:val="0010296B"/>
    <w:rsid w:val="001042BD"/>
    <w:rsid w:val="00104A92"/>
    <w:rsid w:val="00104DB7"/>
    <w:rsid w:val="00104E43"/>
    <w:rsid w:val="00104E59"/>
    <w:rsid w:val="0010624A"/>
    <w:rsid w:val="00107E00"/>
    <w:rsid w:val="00110143"/>
    <w:rsid w:val="00110164"/>
    <w:rsid w:val="00113C63"/>
    <w:rsid w:val="00113E50"/>
    <w:rsid w:val="001153FC"/>
    <w:rsid w:val="00115476"/>
    <w:rsid w:val="001173C1"/>
    <w:rsid w:val="001174F8"/>
    <w:rsid w:val="00117C8D"/>
    <w:rsid w:val="00120081"/>
    <w:rsid w:val="00121349"/>
    <w:rsid w:val="0012179D"/>
    <w:rsid w:val="00125625"/>
    <w:rsid w:val="00125638"/>
    <w:rsid w:val="001258A3"/>
    <w:rsid w:val="00126D08"/>
    <w:rsid w:val="00127777"/>
    <w:rsid w:val="00131527"/>
    <w:rsid w:val="001319B9"/>
    <w:rsid w:val="00131D44"/>
    <w:rsid w:val="0013267B"/>
    <w:rsid w:val="00132942"/>
    <w:rsid w:val="00132ED4"/>
    <w:rsid w:val="001330A2"/>
    <w:rsid w:val="00133344"/>
    <w:rsid w:val="001342F0"/>
    <w:rsid w:val="00136759"/>
    <w:rsid w:val="00137213"/>
    <w:rsid w:val="00140369"/>
    <w:rsid w:val="00141810"/>
    <w:rsid w:val="00141AE5"/>
    <w:rsid w:val="00143A27"/>
    <w:rsid w:val="001450FC"/>
    <w:rsid w:val="001452DD"/>
    <w:rsid w:val="001466E7"/>
    <w:rsid w:val="0014682A"/>
    <w:rsid w:val="0015002A"/>
    <w:rsid w:val="001529D8"/>
    <w:rsid w:val="00153957"/>
    <w:rsid w:val="0015650C"/>
    <w:rsid w:val="0015682D"/>
    <w:rsid w:val="00157CA9"/>
    <w:rsid w:val="00157E06"/>
    <w:rsid w:val="001605B2"/>
    <w:rsid w:val="00160EF4"/>
    <w:rsid w:val="00163055"/>
    <w:rsid w:val="00163164"/>
    <w:rsid w:val="00163B3F"/>
    <w:rsid w:val="00164177"/>
    <w:rsid w:val="00166089"/>
    <w:rsid w:val="00166462"/>
    <w:rsid w:val="00167046"/>
    <w:rsid w:val="00167E0F"/>
    <w:rsid w:val="0017031F"/>
    <w:rsid w:val="00170667"/>
    <w:rsid w:val="0017127B"/>
    <w:rsid w:val="00171D39"/>
    <w:rsid w:val="00172982"/>
    <w:rsid w:val="00173053"/>
    <w:rsid w:val="001732B6"/>
    <w:rsid w:val="001744E9"/>
    <w:rsid w:val="00174F10"/>
    <w:rsid w:val="00175791"/>
    <w:rsid w:val="0017591A"/>
    <w:rsid w:val="00175A8D"/>
    <w:rsid w:val="0017617D"/>
    <w:rsid w:val="00176C6E"/>
    <w:rsid w:val="001778C5"/>
    <w:rsid w:val="00183EFD"/>
    <w:rsid w:val="0018404E"/>
    <w:rsid w:val="001856D0"/>
    <w:rsid w:val="0018597A"/>
    <w:rsid w:val="00186614"/>
    <w:rsid w:val="001868E9"/>
    <w:rsid w:val="00190706"/>
    <w:rsid w:val="00192891"/>
    <w:rsid w:val="001932B3"/>
    <w:rsid w:val="00194961"/>
    <w:rsid w:val="00194F48"/>
    <w:rsid w:val="00196449"/>
    <w:rsid w:val="00197B5C"/>
    <w:rsid w:val="001A25FF"/>
    <w:rsid w:val="001A2625"/>
    <w:rsid w:val="001A29C5"/>
    <w:rsid w:val="001A3397"/>
    <w:rsid w:val="001A5CFD"/>
    <w:rsid w:val="001A6356"/>
    <w:rsid w:val="001A66DF"/>
    <w:rsid w:val="001B055E"/>
    <w:rsid w:val="001B08B0"/>
    <w:rsid w:val="001B09A9"/>
    <w:rsid w:val="001B0D3D"/>
    <w:rsid w:val="001B4740"/>
    <w:rsid w:val="001B6832"/>
    <w:rsid w:val="001B6F7A"/>
    <w:rsid w:val="001C067B"/>
    <w:rsid w:val="001C0926"/>
    <w:rsid w:val="001C1C9C"/>
    <w:rsid w:val="001C22F9"/>
    <w:rsid w:val="001C2684"/>
    <w:rsid w:val="001C2C63"/>
    <w:rsid w:val="001C2CA3"/>
    <w:rsid w:val="001C33D6"/>
    <w:rsid w:val="001C4A1E"/>
    <w:rsid w:val="001C4DA6"/>
    <w:rsid w:val="001C5E19"/>
    <w:rsid w:val="001C5EED"/>
    <w:rsid w:val="001C66A8"/>
    <w:rsid w:val="001C6AB7"/>
    <w:rsid w:val="001C79A4"/>
    <w:rsid w:val="001C79CE"/>
    <w:rsid w:val="001D1255"/>
    <w:rsid w:val="001D2A73"/>
    <w:rsid w:val="001D3746"/>
    <w:rsid w:val="001D515E"/>
    <w:rsid w:val="001D540F"/>
    <w:rsid w:val="001D56B1"/>
    <w:rsid w:val="001D5CDD"/>
    <w:rsid w:val="001D66A5"/>
    <w:rsid w:val="001D7F1F"/>
    <w:rsid w:val="001E077B"/>
    <w:rsid w:val="001E14C3"/>
    <w:rsid w:val="001E1CA5"/>
    <w:rsid w:val="001E1F1A"/>
    <w:rsid w:val="001E44F0"/>
    <w:rsid w:val="001E53F1"/>
    <w:rsid w:val="001E6E3E"/>
    <w:rsid w:val="001F29E4"/>
    <w:rsid w:val="001F2D4C"/>
    <w:rsid w:val="001F4B03"/>
    <w:rsid w:val="001F7F56"/>
    <w:rsid w:val="0020294B"/>
    <w:rsid w:val="00202F8E"/>
    <w:rsid w:val="0020307F"/>
    <w:rsid w:val="002038C0"/>
    <w:rsid w:val="00203B24"/>
    <w:rsid w:val="002043F6"/>
    <w:rsid w:val="002044F6"/>
    <w:rsid w:val="0020748B"/>
    <w:rsid w:val="00207C17"/>
    <w:rsid w:val="00211C77"/>
    <w:rsid w:val="00212D58"/>
    <w:rsid w:val="00213667"/>
    <w:rsid w:val="002144C9"/>
    <w:rsid w:val="00214B5F"/>
    <w:rsid w:val="00215328"/>
    <w:rsid w:val="00215D8F"/>
    <w:rsid w:val="00216C9C"/>
    <w:rsid w:val="002203E0"/>
    <w:rsid w:val="0022197C"/>
    <w:rsid w:val="002221D5"/>
    <w:rsid w:val="002231D9"/>
    <w:rsid w:val="00223CFD"/>
    <w:rsid w:val="0022604C"/>
    <w:rsid w:val="002302D8"/>
    <w:rsid w:val="00230907"/>
    <w:rsid w:val="00230B56"/>
    <w:rsid w:val="00230DA0"/>
    <w:rsid w:val="002322CC"/>
    <w:rsid w:val="00234249"/>
    <w:rsid w:val="00234FBB"/>
    <w:rsid w:val="00235B36"/>
    <w:rsid w:val="00236097"/>
    <w:rsid w:val="0023618E"/>
    <w:rsid w:val="00237504"/>
    <w:rsid w:val="00237965"/>
    <w:rsid w:val="00240409"/>
    <w:rsid w:val="00242E27"/>
    <w:rsid w:val="002434C9"/>
    <w:rsid w:val="00245034"/>
    <w:rsid w:val="00245D8C"/>
    <w:rsid w:val="002465F4"/>
    <w:rsid w:val="00246DF0"/>
    <w:rsid w:val="00246EF2"/>
    <w:rsid w:val="00246F8C"/>
    <w:rsid w:val="00247364"/>
    <w:rsid w:val="00247B84"/>
    <w:rsid w:val="00250217"/>
    <w:rsid w:val="00252692"/>
    <w:rsid w:val="00252C33"/>
    <w:rsid w:val="00252DED"/>
    <w:rsid w:val="00252E90"/>
    <w:rsid w:val="0025552D"/>
    <w:rsid w:val="0025576A"/>
    <w:rsid w:val="00255C4C"/>
    <w:rsid w:val="002563DC"/>
    <w:rsid w:val="00257146"/>
    <w:rsid w:val="002572AA"/>
    <w:rsid w:val="00257490"/>
    <w:rsid w:val="00260067"/>
    <w:rsid w:val="00260C81"/>
    <w:rsid w:val="0026201F"/>
    <w:rsid w:val="00263161"/>
    <w:rsid w:val="00267D5A"/>
    <w:rsid w:val="00271134"/>
    <w:rsid w:val="002729F1"/>
    <w:rsid w:val="00272C06"/>
    <w:rsid w:val="00274119"/>
    <w:rsid w:val="00274BB5"/>
    <w:rsid w:val="00274E79"/>
    <w:rsid w:val="00275144"/>
    <w:rsid w:val="00275296"/>
    <w:rsid w:val="002752ED"/>
    <w:rsid w:val="0027541D"/>
    <w:rsid w:val="00275D8E"/>
    <w:rsid w:val="00276DF0"/>
    <w:rsid w:val="00277292"/>
    <w:rsid w:val="002778CC"/>
    <w:rsid w:val="00281F8C"/>
    <w:rsid w:val="00282823"/>
    <w:rsid w:val="00282DD9"/>
    <w:rsid w:val="00283B5B"/>
    <w:rsid w:val="00284070"/>
    <w:rsid w:val="0028418A"/>
    <w:rsid w:val="00285054"/>
    <w:rsid w:val="002861AE"/>
    <w:rsid w:val="00286724"/>
    <w:rsid w:val="00286A1F"/>
    <w:rsid w:val="00286BF3"/>
    <w:rsid w:val="002872EE"/>
    <w:rsid w:val="002873EE"/>
    <w:rsid w:val="00291114"/>
    <w:rsid w:val="00291CC9"/>
    <w:rsid w:val="00292322"/>
    <w:rsid w:val="00292431"/>
    <w:rsid w:val="0029271C"/>
    <w:rsid w:val="00292A53"/>
    <w:rsid w:val="00293F27"/>
    <w:rsid w:val="0029426E"/>
    <w:rsid w:val="00294E55"/>
    <w:rsid w:val="00295E5F"/>
    <w:rsid w:val="002961AF"/>
    <w:rsid w:val="00296D16"/>
    <w:rsid w:val="0029792F"/>
    <w:rsid w:val="002A0191"/>
    <w:rsid w:val="002A08DB"/>
    <w:rsid w:val="002A139C"/>
    <w:rsid w:val="002A157A"/>
    <w:rsid w:val="002A1B72"/>
    <w:rsid w:val="002A1CED"/>
    <w:rsid w:val="002A362E"/>
    <w:rsid w:val="002A3D38"/>
    <w:rsid w:val="002A67AE"/>
    <w:rsid w:val="002A6935"/>
    <w:rsid w:val="002A6962"/>
    <w:rsid w:val="002A6DF7"/>
    <w:rsid w:val="002A6E36"/>
    <w:rsid w:val="002A70B3"/>
    <w:rsid w:val="002A7A73"/>
    <w:rsid w:val="002A7E55"/>
    <w:rsid w:val="002B2093"/>
    <w:rsid w:val="002B2559"/>
    <w:rsid w:val="002B2EC5"/>
    <w:rsid w:val="002B4243"/>
    <w:rsid w:val="002B5BE7"/>
    <w:rsid w:val="002B6259"/>
    <w:rsid w:val="002B68DC"/>
    <w:rsid w:val="002B696B"/>
    <w:rsid w:val="002B6A16"/>
    <w:rsid w:val="002B77CF"/>
    <w:rsid w:val="002B7E3F"/>
    <w:rsid w:val="002C0137"/>
    <w:rsid w:val="002C1042"/>
    <w:rsid w:val="002C27BC"/>
    <w:rsid w:val="002C2FC1"/>
    <w:rsid w:val="002C3DBA"/>
    <w:rsid w:val="002C3E81"/>
    <w:rsid w:val="002C48A3"/>
    <w:rsid w:val="002C4B1D"/>
    <w:rsid w:val="002C5466"/>
    <w:rsid w:val="002C7B96"/>
    <w:rsid w:val="002C7D4E"/>
    <w:rsid w:val="002D04D7"/>
    <w:rsid w:val="002D2AA3"/>
    <w:rsid w:val="002D355B"/>
    <w:rsid w:val="002D4021"/>
    <w:rsid w:val="002D5CEF"/>
    <w:rsid w:val="002D645D"/>
    <w:rsid w:val="002D6CCE"/>
    <w:rsid w:val="002D7920"/>
    <w:rsid w:val="002D7B4B"/>
    <w:rsid w:val="002D7B64"/>
    <w:rsid w:val="002E2EBE"/>
    <w:rsid w:val="002E659A"/>
    <w:rsid w:val="002E7316"/>
    <w:rsid w:val="002F01E5"/>
    <w:rsid w:val="002F1ECB"/>
    <w:rsid w:val="002F319B"/>
    <w:rsid w:val="002F3CA1"/>
    <w:rsid w:val="002F4032"/>
    <w:rsid w:val="002F42D6"/>
    <w:rsid w:val="002F6C91"/>
    <w:rsid w:val="002F7346"/>
    <w:rsid w:val="002F75BB"/>
    <w:rsid w:val="002F791A"/>
    <w:rsid w:val="00300596"/>
    <w:rsid w:val="00301A7C"/>
    <w:rsid w:val="00301BB1"/>
    <w:rsid w:val="00301EA4"/>
    <w:rsid w:val="00303B58"/>
    <w:rsid w:val="00303F17"/>
    <w:rsid w:val="00304046"/>
    <w:rsid w:val="0030482E"/>
    <w:rsid w:val="00306B6A"/>
    <w:rsid w:val="00307121"/>
    <w:rsid w:val="00307E44"/>
    <w:rsid w:val="003115AC"/>
    <w:rsid w:val="003126E4"/>
    <w:rsid w:val="003139A3"/>
    <w:rsid w:val="00313D43"/>
    <w:rsid w:val="003175D1"/>
    <w:rsid w:val="003175E5"/>
    <w:rsid w:val="0031762F"/>
    <w:rsid w:val="00320AC0"/>
    <w:rsid w:val="003219CA"/>
    <w:rsid w:val="00321BF9"/>
    <w:rsid w:val="00323475"/>
    <w:rsid w:val="00324202"/>
    <w:rsid w:val="00324604"/>
    <w:rsid w:val="00325E1D"/>
    <w:rsid w:val="00326482"/>
    <w:rsid w:val="003264D5"/>
    <w:rsid w:val="00326FCE"/>
    <w:rsid w:val="003308AB"/>
    <w:rsid w:val="00331156"/>
    <w:rsid w:val="0033256C"/>
    <w:rsid w:val="003327F2"/>
    <w:rsid w:val="003338C3"/>
    <w:rsid w:val="00333D36"/>
    <w:rsid w:val="00335675"/>
    <w:rsid w:val="00335CB0"/>
    <w:rsid w:val="00336A19"/>
    <w:rsid w:val="0033776F"/>
    <w:rsid w:val="00340CF4"/>
    <w:rsid w:val="00341022"/>
    <w:rsid w:val="0034128F"/>
    <w:rsid w:val="00342482"/>
    <w:rsid w:val="003433BE"/>
    <w:rsid w:val="0034369C"/>
    <w:rsid w:val="00343E32"/>
    <w:rsid w:val="003441DB"/>
    <w:rsid w:val="003447DA"/>
    <w:rsid w:val="003467A2"/>
    <w:rsid w:val="003468D3"/>
    <w:rsid w:val="00346C44"/>
    <w:rsid w:val="003479A0"/>
    <w:rsid w:val="00347AB9"/>
    <w:rsid w:val="00350BF1"/>
    <w:rsid w:val="0035316E"/>
    <w:rsid w:val="00353B2E"/>
    <w:rsid w:val="00355094"/>
    <w:rsid w:val="0035565D"/>
    <w:rsid w:val="00355E50"/>
    <w:rsid w:val="003560DF"/>
    <w:rsid w:val="00356A1B"/>
    <w:rsid w:val="00357B17"/>
    <w:rsid w:val="00360F72"/>
    <w:rsid w:val="003615A5"/>
    <w:rsid w:val="00361C62"/>
    <w:rsid w:val="00361D7E"/>
    <w:rsid w:val="00361EC9"/>
    <w:rsid w:val="00362157"/>
    <w:rsid w:val="003628C0"/>
    <w:rsid w:val="00362E50"/>
    <w:rsid w:val="003631CB"/>
    <w:rsid w:val="0036370E"/>
    <w:rsid w:val="003646FC"/>
    <w:rsid w:val="003704C0"/>
    <w:rsid w:val="0037099A"/>
    <w:rsid w:val="00373400"/>
    <w:rsid w:val="0037410B"/>
    <w:rsid w:val="003741ED"/>
    <w:rsid w:val="00374AC1"/>
    <w:rsid w:val="00374DE0"/>
    <w:rsid w:val="003761E5"/>
    <w:rsid w:val="00377306"/>
    <w:rsid w:val="00377E8E"/>
    <w:rsid w:val="003838FA"/>
    <w:rsid w:val="00383C96"/>
    <w:rsid w:val="00384E77"/>
    <w:rsid w:val="00385676"/>
    <w:rsid w:val="00385F93"/>
    <w:rsid w:val="00386083"/>
    <w:rsid w:val="0039013C"/>
    <w:rsid w:val="00392348"/>
    <w:rsid w:val="00392AE3"/>
    <w:rsid w:val="00392DBE"/>
    <w:rsid w:val="00393F3B"/>
    <w:rsid w:val="00394089"/>
    <w:rsid w:val="00396A1F"/>
    <w:rsid w:val="00397906"/>
    <w:rsid w:val="00397AC7"/>
    <w:rsid w:val="003A179C"/>
    <w:rsid w:val="003A17A0"/>
    <w:rsid w:val="003A2CCF"/>
    <w:rsid w:val="003A2F88"/>
    <w:rsid w:val="003A30D4"/>
    <w:rsid w:val="003A455F"/>
    <w:rsid w:val="003A5076"/>
    <w:rsid w:val="003B0404"/>
    <w:rsid w:val="003B04C0"/>
    <w:rsid w:val="003B0C6C"/>
    <w:rsid w:val="003B21CB"/>
    <w:rsid w:val="003B2BC5"/>
    <w:rsid w:val="003B3662"/>
    <w:rsid w:val="003B49F7"/>
    <w:rsid w:val="003B5BFE"/>
    <w:rsid w:val="003C31D1"/>
    <w:rsid w:val="003C42D1"/>
    <w:rsid w:val="003C507B"/>
    <w:rsid w:val="003C59C1"/>
    <w:rsid w:val="003C5A22"/>
    <w:rsid w:val="003C5E42"/>
    <w:rsid w:val="003C682A"/>
    <w:rsid w:val="003C6F27"/>
    <w:rsid w:val="003C7A73"/>
    <w:rsid w:val="003D18EE"/>
    <w:rsid w:val="003D23EE"/>
    <w:rsid w:val="003D31BA"/>
    <w:rsid w:val="003D3A3C"/>
    <w:rsid w:val="003D55A1"/>
    <w:rsid w:val="003D57F9"/>
    <w:rsid w:val="003D5BFF"/>
    <w:rsid w:val="003D5F0B"/>
    <w:rsid w:val="003E06DC"/>
    <w:rsid w:val="003E17FC"/>
    <w:rsid w:val="003E1D6B"/>
    <w:rsid w:val="003E1E13"/>
    <w:rsid w:val="003E200B"/>
    <w:rsid w:val="003E2121"/>
    <w:rsid w:val="003E26B1"/>
    <w:rsid w:val="003E325C"/>
    <w:rsid w:val="003E39FC"/>
    <w:rsid w:val="003E48BE"/>
    <w:rsid w:val="003E504F"/>
    <w:rsid w:val="003E5C14"/>
    <w:rsid w:val="003E6771"/>
    <w:rsid w:val="003E6911"/>
    <w:rsid w:val="003E757F"/>
    <w:rsid w:val="003E7F16"/>
    <w:rsid w:val="003F0593"/>
    <w:rsid w:val="003F1C7B"/>
    <w:rsid w:val="003F30FD"/>
    <w:rsid w:val="003F35B4"/>
    <w:rsid w:val="003F443E"/>
    <w:rsid w:val="00400610"/>
    <w:rsid w:val="00400BDD"/>
    <w:rsid w:val="00401592"/>
    <w:rsid w:val="00403F1B"/>
    <w:rsid w:val="00404724"/>
    <w:rsid w:val="0040485D"/>
    <w:rsid w:val="00404CCC"/>
    <w:rsid w:val="004050AC"/>
    <w:rsid w:val="004052CF"/>
    <w:rsid w:val="00406D10"/>
    <w:rsid w:val="0040783B"/>
    <w:rsid w:val="00411329"/>
    <w:rsid w:val="0041197A"/>
    <w:rsid w:val="00413775"/>
    <w:rsid w:val="00414841"/>
    <w:rsid w:val="00414ADE"/>
    <w:rsid w:val="004153D3"/>
    <w:rsid w:val="004167A1"/>
    <w:rsid w:val="00416DD3"/>
    <w:rsid w:val="00417A8F"/>
    <w:rsid w:val="00422425"/>
    <w:rsid w:val="0042298E"/>
    <w:rsid w:val="00422F86"/>
    <w:rsid w:val="0042312F"/>
    <w:rsid w:val="004233FF"/>
    <w:rsid w:val="00423C9C"/>
    <w:rsid w:val="004240B0"/>
    <w:rsid w:val="0042410E"/>
    <w:rsid w:val="004271E9"/>
    <w:rsid w:val="0042753B"/>
    <w:rsid w:val="0042765D"/>
    <w:rsid w:val="004276C8"/>
    <w:rsid w:val="00427CE1"/>
    <w:rsid w:val="0043008D"/>
    <w:rsid w:val="004314D6"/>
    <w:rsid w:val="00431528"/>
    <w:rsid w:val="00431AD8"/>
    <w:rsid w:val="00431BD1"/>
    <w:rsid w:val="00432304"/>
    <w:rsid w:val="00432BD2"/>
    <w:rsid w:val="004330CE"/>
    <w:rsid w:val="00433EBD"/>
    <w:rsid w:val="0043618E"/>
    <w:rsid w:val="00436446"/>
    <w:rsid w:val="00436903"/>
    <w:rsid w:val="004409A7"/>
    <w:rsid w:val="00440E0F"/>
    <w:rsid w:val="004413AC"/>
    <w:rsid w:val="004432B5"/>
    <w:rsid w:val="0044372C"/>
    <w:rsid w:val="0044438E"/>
    <w:rsid w:val="00444B95"/>
    <w:rsid w:val="00445025"/>
    <w:rsid w:val="004455EB"/>
    <w:rsid w:val="004463BF"/>
    <w:rsid w:val="00447054"/>
    <w:rsid w:val="00451923"/>
    <w:rsid w:val="00451EE6"/>
    <w:rsid w:val="00452082"/>
    <w:rsid w:val="00452D94"/>
    <w:rsid w:val="004532C4"/>
    <w:rsid w:val="0045547E"/>
    <w:rsid w:val="004555B8"/>
    <w:rsid w:val="00455997"/>
    <w:rsid w:val="00455B2D"/>
    <w:rsid w:val="0045647E"/>
    <w:rsid w:val="00456AA0"/>
    <w:rsid w:val="00456EC0"/>
    <w:rsid w:val="00460754"/>
    <w:rsid w:val="004609BC"/>
    <w:rsid w:val="004609CA"/>
    <w:rsid w:val="00461212"/>
    <w:rsid w:val="00461536"/>
    <w:rsid w:val="004617BE"/>
    <w:rsid w:val="00461A05"/>
    <w:rsid w:val="00462FA7"/>
    <w:rsid w:val="00464CD8"/>
    <w:rsid w:val="00465406"/>
    <w:rsid w:val="004664E5"/>
    <w:rsid w:val="00466BF5"/>
    <w:rsid w:val="00467090"/>
    <w:rsid w:val="00467C14"/>
    <w:rsid w:val="004706F5"/>
    <w:rsid w:val="004708E5"/>
    <w:rsid w:val="0047159D"/>
    <w:rsid w:val="00472D44"/>
    <w:rsid w:val="00473037"/>
    <w:rsid w:val="0047351A"/>
    <w:rsid w:val="004744EF"/>
    <w:rsid w:val="004749CB"/>
    <w:rsid w:val="00474FB8"/>
    <w:rsid w:val="00475335"/>
    <w:rsid w:val="00475606"/>
    <w:rsid w:val="0047711D"/>
    <w:rsid w:val="00477BD9"/>
    <w:rsid w:val="00481B87"/>
    <w:rsid w:val="004835A0"/>
    <w:rsid w:val="0048390F"/>
    <w:rsid w:val="0048507C"/>
    <w:rsid w:val="00485A40"/>
    <w:rsid w:val="00486780"/>
    <w:rsid w:val="00486886"/>
    <w:rsid w:val="004870CF"/>
    <w:rsid w:val="00487277"/>
    <w:rsid w:val="00491534"/>
    <w:rsid w:val="00491541"/>
    <w:rsid w:val="0049319A"/>
    <w:rsid w:val="00494B08"/>
    <w:rsid w:val="00494C7E"/>
    <w:rsid w:val="00497C88"/>
    <w:rsid w:val="00497EF1"/>
    <w:rsid w:val="004A032C"/>
    <w:rsid w:val="004A119F"/>
    <w:rsid w:val="004A19CA"/>
    <w:rsid w:val="004A1C0A"/>
    <w:rsid w:val="004A3B9E"/>
    <w:rsid w:val="004A5B59"/>
    <w:rsid w:val="004A6414"/>
    <w:rsid w:val="004A6E00"/>
    <w:rsid w:val="004A7E8B"/>
    <w:rsid w:val="004B0141"/>
    <w:rsid w:val="004B18A8"/>
    <w:rsid w:val="004B239D"/>
    <w:rsid w:val="004B3B35"/>
    <w:rsid w:val="004B3BBA"/>
    <w:rsid w:val="004B4368"/>
    <w:rsid w:val="004B48F0"/>
    <w:rsid w:val="004B55EA"/>
    <w:rsid w:val="004B5B8F"/>
    <w:rsid w:val="004B5DB3"/>
    <w:rsid w:val="004B79C3"/>
    <w:rsid w:val="004C27EB"/>
    <w:rsid w:val="004C3262"/>
    <w:rsid w:val="004C3DAD"/>
    <w:rsid w:val="004C4194"/>
    <w:rsid w:val="004C4293"/>
    <w:rsid w:val="004C4B38"/>
    <w:rsid w:val="004C5257"/>
    <w:rsid w:val="004C6A8E"/>
    <w:rsid w:val="004C6C60"/>
    <w:rsid w:val="004D00EF"/>
    <w:rsid w:val="004D0FE4"/>
    <w:rsid w:val="004D230A"/>
    <w:rsid w:val="004D36F9"/>
    <w:rsid w:val="004D5B1A"/>
    <w:rsid w:val="004D7B8B"/>
    <w:rsid w:val="004E025B"/>
    <w:rsid w:val="004E044B"/>
    <w:rsid w:val="004E09FA"/>
    <w:rsid w:val="004E11AE"/>
    <w:rsid w:val="004E1C44"/>
    <w:rsid w:val="004E2E9C"/>
    <w:rsid w:val="004E2FC5"/>
    <w:rsid w:val="004E38FD"/>
    <w:rsid w:val="004E3F73"/>
    <w:rsid w:val="004E5832"/>
    <w:rsid w:val="004E67F7"/>
    <w:rsid w:val="004E6962"/>
    <w:rsid w:val="004E6EE4"/>
    <w:rsid w:val="004F03B4"/>
    <w:rsid w:val="004F093A"/>
    <w:rsid w:val="004F19E5"/>
    <w:rsid w:val="004F23AD"/>
    <w:rsid w:val="004F2BFC"/>
    <w:rsid w:val="004F3886"/>
    <w:rsid w:val="004F4B3A"/>
    <w:rsid w:val="004F63C5"/>
    <w:rsid w:val="00500388"/>
    <w:rsid w:val="00500DDE"/>
    <w:rsid w:val="005013CB"/>
    <w:rsid w:val="0050384F"/>
    <w:rsid w:val="00503F62"/>
    <w:rsid w:val="00504639"/>
    <w:rsid w:val="0050488B"/>
    <w:rsid w:val="00506C8F"/>
    <w:rsid w:val="00506CFF"/>
    <w:rsid w:val="00506F6D"/>
    <w:rsid w:val="00507E3D"/>
    <w:rsid w:val="00510563"/>
    <w:rsid w:val="00510D73"/>
    <w:rsid w:val="005111D4"/>
    <w:rsid w:val="00511AA8"/>
    <w:rsid w:val="005125F1"/>
    <w:rsid w:val="005132F0"/>
    <w:rsid w:val="00513B62"/>
    <w:rsid w:val="00513CCD"/>
    <w:rsid w:val="00514538"/>
    <w:rsid w:val="0051457B"/>
    <w:rsid w:val="00514858"/>
    <w:rsid w:val="00514FDD"/>
    <w:rsid w:val="00515005"/>
    <w:rsid w:val="005153B6"/>
    <w:rsid w:val="00515584"/>
    <w:rsid w:val="00517311"/>
    <w:rsid w:val="0051741C"/>
    <w:rsid w:val="00521DE4"/>
    <w:rsid w:val="005235FF"/>
    <w:rsid w:val="00523EEC"/>
    <w:rsid w:val="00524E70"/>
    <w:rsid w:val="00526164"/>
    <w:rsid w:val="005265CF"/>
    <w:rsid w:val="00526D4C"/>
    <w:rsid w:val="00526D53"/>
    <w:rsid w:val="005275E1"/>
    <w:rsid w:val="00527967"/>
    <w:rsid w:val="00527A49"/>
    <w:rsid w:val="00527C21"/>
    <w:rsid w:val="005305BC"/>
    <w:rsid w:val="0053088D"/>
    <w:rsid w:val="005311EE"/>
    <w:rsid w:val="00531EA5"/>
    <w:rsid w:val="0053234F"/>
    <w:rsid w:val="005325E0"/>
    <w:rsid w:val="00533991"/>
    <w:rsid w:val="00534398"/>
    <w:rsid w:val="0053666B"/>
    <w:rsid w:val="005367FF"/>
    <w:rsid w:val="00536EE0"/>
    <w:rsid w:val="0054081F"/>
    <w:rsid w:val="00542433"/>
    <w:rsid w:val="00542E63"/>
    <w:rsid w:val="005436A0"/>
    <w:rsid w:val="00544CB6"/>
    <w:rsid w:val="00544D70"/>
    <w:rsid w:val="005478A5"/>
    <w:rsid w:val="005500CE"/>
    <w:rsid w:val="005500D9"/>
    <w:rsid w:val="00550456"/>
    <w:rsid w:val="00550DFC"/>
    <w:rsid w:val="00551058"/>
    <w:rsid w:val="0055326D"/>
    <w:rsid w:val="00554229"/>
    <w:rsid w:val="00554305"/>
    <w:rsid w:val="00555E9C"/>
    <w:rsid w:val="00555F07"/>
    <w:rsid w:val="00556F7F"/>
    <w:rsid w:val="00557629"/>
    <w:rsid w:val="005577FF"/>
    <w:rsid w:val="0056258D"/>
    <w:rsid w:val="00563175"/>
    <w:rsid w:val="005641C8"/>
    <w:rsid w:val="005642C6"/>
    <w:rsid w:val="005651D9"/>
    <w:rsid w:val="00565D65"/>
    <w:rsid w:val="00565E40"/>
    <w:rsid w:val="005668BF"/>
    <w:rsid w:val="0056758A"/>
    <w:rsid w:val="00567641"/>
    <w:rsid w:val="005678E7"/>
    <w:rsid w:val="00570F6E"/>
    <w:rsid w:val="00571607"/>
    <w:rsid w:val="005716F0"/>
    <w:rsid w:val="00571FB1"/>
    <w:rsid w:val="005721D7"/>
    <w:rsid w:val="0057253E"/>
    <w:rsid w:val="005736D5"/>
    <w:rsid w:val="005756CF"/>
    <w:rsid w:val="00575B14"/>
    <w:rsid w:val="00575FF1"/>
    <w:rsid w:val="005764A2"/>
    <w:rsid w:val="00576DD4"/>
    <w:rsid w:val="0057744E"/>
    <w:rsid w:val="0058005F"/>
    <w:rsid w:val="005803D2"/>
    <w:rsid w:val="005816EF"/>
    <w:rsid w:val="00582982"/>
    <w:rsid w:val="00584281"/>
    <w:rsid w:val="005850C0"/>
    <w:rsid w:val="00586568"/>
    <w:rsid w:val="00587647"/>
    <w:rsid w:val="005876DA"/>
    <w:rsid w:val="00587FE3"/>
    <w:rsid w:val="00591C6C"/>
    <w:rsid w:val="00592717"/>
    <w:rsid w:val="00592E97"/>
    <w:rsid w:val="0059330B"/>
    <w:rsid w:val="00593AAB"/>
    <w:rsid w:val="0059603C"/>
    <w:rsid w:val="005966C2"/>
    <w:rsid w:val="005968EC"/>
    <w:rsid w:val="00597524"/>
    <w:rsid w:val="005A15A9"/>
    <w:rsid w:val="005A1A7C"/>
    <w:rsid w:val="005A34D0"/>
    <w:rsid w:val="005A7BE0"/>
    <w:rsid w:val="005B1D7A"/>
    <w:rsid w:val="005B1FE9"/>
    <w:rsid w:val="005B2336"/>
    <w:rsid w:val="005B2803"/>
    <w:rsid w:val="005B2BD0"/>
    <w:rsid w:val="005B61FE"/>
    <w:rsid w:val="005B74AB"/>
    <w:rsid w:val="005B7BF5"/>
    <w:rsid w:val="005C1590"/>
    <w:rsid w:val="005C172A"/>
    <w:rsid w:val="005C23E6"/>
    <w:rsid w:val="005C41DB"/>
    <w:rsid w:val="005C4DB5"/>
    <w:rsid w:val="005C77DB"/>
    <w:rsid w:val="005D028A"/>
    <w:rsid w:val="005D256E"/>
    <w:rsid w:val="005D29F1"/>
    <w:rsid w:val="005D3B28"/>
    <w:rsid w:val="005D460D"/>
    <w:rsid w:val="005D4897"/>
    <w:rsid w:val="005D79C7"/>
    <w:rsid w:val="005D7A40"/>
    <w:rsid w:val="005E0974"/>
    <w:rsid w:val="005E12BF"/>
    <w:rsid w:val="005E17DA"/>
    <w:rsid w:val="005E1AE2"/>
    <w:rsid w:val="005E2B85"/>
    <w:rsid w:val="005E3059"/>
    <w:rsid w:val="005E4D91"/>
    <w:rsid w:val="005E566E"/>
    <w:rsid w:val="005E6CE9"/>
    <w:rsid w:val="005E7D6A"/>
    <w:rsid w:val="005F039B"/>
    <w:rsid w:val="005F03CE"/>
    <w:rsid w:val="005F1277"/>
    <w:rsid w:val="005F1E68"/>
    <w:rsid w:val="005F2036"/>
    <w:rsid w:val="005F3819"/>
    <w:rsid w:val="005F395B"/>
    <w:rsid w:val="005F47B1"/>
    <w:rsid w:val="005F48B2"/>
    <w:rsid w:val="005F50B6"/>
    <w:rsid w:val="00600AAB"/>
    <w:rsid w:val="0060139D"/>
    <w:rsid w:val="00604AFC"/>
    <w:rsid w:val="00604FBD"/>
    <w:rsid w:val="00604FC1"/>
    <w:rsid w:val="0060536E"/>
    <w:rsid w:val="006055EF"/>
    <w:rsid w:val="006056D3"/>
    <w:rsid w:val="00611603"/>
    <w:rsid w:val="00611BF8"/>
    <w:rsid w:val="00614829"/>
    <w:rsid w:val="00614C9A"/>
    <w:rsid w:val="0061556B"/>
    <w:rsid w:val="00615C99"/>
    <w:rsid w:val="006164F1"/>
    <w:rsid w:val="00616979"/>
    <w:rsid w:val="00617380"/>
    <w:rsid w:val="00617BD8"/>
    <w:rsid w:val="00621782"/>
    <w:rsid w:val="00623B9C"/>
    <w:rsid w:val="00623D32"/>
    <w:rsid w:val="006240C8"/>
    <w:rsid w:val="006240F1"/>
    <w:rsid w:val="00626032"/>
    <w:rsid w:val="00626D44"/>
    <w:rsid w:val="00627700"/>
    <w:rsid w:val="006277E5"/>
    <w:rsid w:val="00631189"/>
    <w:rsid w:val="00631D69"/>
    <w:rsid w:val="0063497D"/>
    <w:rsid w:val="006365D5"/>
    <w:rsid w:val="00636BD5"/>
    <w:rsid w:val="006372DE"/>
    <w:rsid w:val="00637B13"/>
    <w:rsid w:val="00640197"/>
    <w:rsid w:val="00640284"/>
    <w:rsid w:val="00640A0E"/>
    <w:rsid w:val="006434AF"/>
    <w:rsid w:val="00643C4B"/>
    <w:rsid w:val="00643E47"/>
    <w:rsid w:val="00644409"/>
    <w:rsid w:val="0064635E"/>
    <w:rsid w:val="0065022B"/>
    <w:rsid w:val="00650DBF"/>
    <w:rsid w:val="00651670"/>
    <w:rsid w:val="00651A2E"/>
    <w:rsid w:val="006520C9"/>
    <w:rsid w:val="00653FEF"/>
    <w:rsid w:val="00656BFD"/>
    <w:rsid w:val="00660B0E"/>
    <w:rsid w:val="00660B84"/>
    <w:rsid w:val="006612E1"/>
    <w:rsid w:val="00661644"/>
    <w:rsid w:val="006620CA"/>
    <w:rsid w:val="00662272"/>
    <w:rsid w:val="006627A4"/>
    <w:rsid w:val="00663F5A"/>
    <w:rsid w:val="00665C58"/>
    <w:rsid w:val="0066603A"/>
    <w:rsid w:val="006669F5"/>
    <w:rsid w:val="006679D3"/>
    <w:rsid w:val="00671478"/>
    <w:rsid w:val="00671B67"/>
    <w:rsid w:val="00672788"/>
    <w:rsid w:val="0067345B"/>
    <w:rsid w:val="006738DD"/>
    <w:rsid w:val="00674710"/>
    <w:rsid w:val="006750E3"/>
    <w:rsid w:val="00675311"/>
    <w:rsid w:val="00676224"/>
    <w:rsid w:val="006766AA"/>
    <w:rsid w:val="0067754C"/>
    <w:rsid w:val="00680108"/>
    <w:rsid w:val="00680499"/>
    <w:rsid w:val="00680ADA"/>
    <w:rsid w:val="00681A8F"/>
    <w:rsid w:val="00683611"/>
    <w:rsid w:val="00683771"/>
    <w:rsid w:val="006852DB"/>
    <w:rsid w:val="0068781D"/>
    <w:rsid w:val="00687E15"/>
    <w:rsid w:val="006906BD"/>
    <w:rsid w:val="006907CD"/>
    <w:rsid w:val="00691943"/>
    <w:rsid w:val="006926D0"/>
    <w:rsid w:val="00692A7F"/>
    <w:rsid w:val="00692EEC"/>
    <w:rsid w:val="00694291"/>
    <w:rsid w:val="00695391"/>
    <w:rsid w:val="00696FF5"/>
    <w:rsid w:val="0069746A"/>
    <w:rsid w:val="006A061C"/>
    <w:rsid w:val="006A15B8"/>
    <w:rsid w:val="006A22B9"/>
    <w:rsid w:val="006A236D"/>
    <w:rsid w:val="006A3853"/>
    <w:rsid w:val="006A4AD9"/>
    <w:rsid w:val="006A6F02"/>
    <w:rsid w:val="006A74C6"/>
    <w:rsid w:val="006A76AE"/>
    <w:rsid w:val="006B055D"/>
    <w:rsid w:val="006B0BA2"/>
    <w:rsid w:val="006B0BD4"/>
    <w:rsid w:val="006B26AF"/>
    <w:rsid w:val="006B28FC"/>
    <w:rsid w:val="006B4229"/>
    <w:rsid w:val="006B424F"/>
    <w:rsid w:val="006B51CD"/>
    <w:rsid w:val="006B53B3"/>
    <w:rsid w:val="006B6EBA"/>
    <w:rsid w:val="006B77A4"/>
    <w:rsid w:val="006C1367"/>
    <w:rsid w:val="006C14EC"/>
    <w:rsid w:val="006C1702"/>
    <w:rsid w:val="006C1B06"/>
    <w:rsid w:val="006C2947"/>
    <w:rsid w:val="006C2D14"/>
    <w:rsid w:val="006C544A"/>
    <w:rsid w:val="006C5F42"/>
    <w:rsid w:val="006C6EC4"/>
    <w:rsid w:val="006D26A5"/>
    <w:rsid w:val="006D2D57"/>
    <w:rsid w:val="006D5F68"/>
    <w:rsid w:val="006D7D28"/>
    <w:rsid w:val="006E0EA5"/>
    <w:rsid w:val="006E332D"/>
    <w:rsid w:val="006E3C3B"/>
    <w:rsid w:val="006E3D82"/>
    <w:rsid w:val="006E56E2"/>
    <w:rsid w:val="006E7533"/>
    <w:rsid w:val="006E7D21"/>
    <w:rsid w:val="006F06E1"/>
    <w:rsid w:val="006F181D"/>
    <w:rsid w:val="006F1933"/>
    <w:rsid w:val="006F25C7"/>
    <w:rsid w:val="006F2796"/>
    <w:rsid w:val="006F2ADD"/>
    <w:rsid w:val="006F2E96"/>
    <w:rsid w:val="006F3BF9"/>
    <w:rsid w:val="006F4E92"/>
    <w:rsid w:val="006F4F51"/>
    <w:rsid w:val="006F6DD6"/>
    <w:rsid w:val="006F7287"/>
    <w:rsid w:val="00700993"/>
    <w:rsid w:val="0070376A"/>
    <w:rsid w:val="0070390B"/>
    <w:rsid w:val="007041C7"/>
    <w:rsid w:val="00704EFC"/>
    <w:rsid w:val="00706D95"/>
    <w:rsid w:val="007075FD"/>
    <w:rsid w:val="00707B8D"/>
    <w:rsid w:val="00710309"/>
    <w:rsid w:val="00710318"/>
    <w:rsid w:val="00710592"/>
    <w:rsid w:val="00711B09"/>
    <w:rsid w:val="00711BE3"/>
    <w:rsid w:val="00711FC6"/>
    <w:rsid w:val="007129B1"/>
    <w:rsid w:val="00712AE0"/>
    <w:rsid w:val="00713A34"/>
    <w:rsid w:val="00715159"/>
    <w:rsid w:val="007169AF"/>
    <w:rsid w:val="00717D6E"/>
    <w:rsid w:val="00717D8C"/>
    <w:rsid w:val="00720099"/>
    <w:rsid w:val="0072417A"/>
    <w:rsid w:val="00724D01"/>
    <w:rsid w:val="007251CC"/>
    <w:rsid w:val="00725F83"/>
    <w:rsid w:val="0072653E"/>
    <w:rsid w:val="007309BD"/>
    <w:rsid w:val="00730A52"/>
    <w:rsid w:val="00732EE6"/>
    <w:rsid w:val="00733F7C"/>
    <w:rsid w:val="00734815"/>
    <w:rsid w:val="007352E6"/>
    <w:rsid w:val="007360E2"/>
    <w:rsid w:val="0073612B"/>
    <w:rsid w:val="00736360"/>
    <w:rsid w:val="0073747E"/>
    <w:rsid w:val="007409DE"/>
    <w:rsid w:val="00740B31"/>
    <w:rsid w:val="00740F7C"/>
    <w:rsid w:val="0074244F"/>
    <w:rsid w:val="0074384A"/>
    <w:rsid w:val="00744CF5"/>
    <w:rsid w:val="007460AC"/>
    <w:rsid w:val="007463C5"/>
    <w:rsid w:val="0074711F"/>
    <w:rsid w:val="00747187"/>
    <w:rsid w:val="0075062B"/>
    <w:rsid w:val="007529FA"/>
    <w:rsid w:val="00752D66"/>
    <w:rsid w:val="00754464"/>
    <w:rsid w:val="0075496C"/>
    <w:rsid w:val="00755E17"/>
    <w:rsid w:val="007578C2"/>
    <w:rsid w:val="00757F0C"/>
    <w:rsid w:val="007602B3"/>
    <w:rsid w:val="00761116"/>
    <w:rsid w:val="00761BEF"/>
    <w:rsid w:val="00762DE0"/>
    <w:rsid w:val="00764A5D"/>
    <w:rsid w:val="0076687F"/>
    <w:rsid w:val="00767D93"/>
    <w:rsid w:val="00770E6C"/>
    <w:rsid w:val="007722A4"/>
    <w:rsid w:val="00773337"/>
    <w:rsid w:val="00775096"/>
    <w:rsid w:val="00776382"/>
    <w:rsid w:val="00780E7F"/>
    <w:rsid w:val="00782864"/>
    <w:rsid w:val="00784929"/>
    <w:rsid w:val="007855EB"/>
    <w:rsid w:val="0078587E"/>
    <w:rsid w:val="00786E02"/>
    <w:rsid w:val="007871E7"/>
    <w:rsid w:val="00787BCB"/>
    <w:rsid w:val="00790592"/>
    <w:rsid w:val="007918CE"/>
    <w:rsid w:val="0079191D"/>
    <w:rsid w:val="00791CBA"/>
    <w:rsid w:val="0079293D"/>
    <w:rsid w:val="00792E5F"/>
    <w:rsid w:val="00793330"/>
    <w:rsid w:val="00793CA6"/>
    <w:rsid w:val="007942DF"/>
    <w:rsid w:val="007950EA"/>
    <w:rsid w:val="00796C59"/>
    <w:rsid w:val="007971B2"/>
    <w:rsid w:val="007971CC"/>
    <w:rsid w:val="00797213"/>
    <w:rsid w:val="00797284"/>
    <w:rsid w:val="007A1CAF"/>
    <w:rsid w:val="007A205D"/>
    <w:rsid w:val="007A3215"/>
    <w:rsid w:val="007A3F87"/>
    <w:rsid w:val="007A4CCD"/>
    <w:rsid w:val="007A4E33"/>
    <w:rsid w:val="007A4EE8"/>
    <w:rsid w:val="007A5427"/>
    <w:rsid w:val="007B1F46"/>
    <w:rsid w:val="007B2384"/>
    <w:rsid w:val="007B23B5"/>
    <w:rsid w:val="007B2E02"/>
    <w:rsid w:val="007B2F4C"/>
    <w:rsid w:val="007B3972"/>
    <w:rsid w:val="007B3B7A"/>
    <w:rsid w:val="007B3DC7"/>
    <w:rsid w:val="007B4193"/>
    <w:rsid w:val="007B4A8B"/>
    <w:rsid w:val="007B4E49"/>
    <w:rsid w:val="007B5D33"/>
    <w:rsid w:val="007B6539"/>
    <w:rsid w:val="007B7921"/>
    <w:rsid w:val="007B7974"/>
    <w:rsid w:val="007C00C4"/>
    <w:rsid w:val="007C10A8"/>
    <w:rsid w:val="007C1286"/>
    <w:rsid w:val="007C131B"/>
    <w:rsid w:val="007C1F08"/>
    <w:rsid w:val="007C1F79"/>
    <w:rsid w:val="007C22EB"/>
    <w:rsid w:val="007C2C8E"/>
    <w:rsid w:val="007C38F9"/>
    <w:rsid w:val="007C3B46"/>
    <w:rsid w:val="007C5345"/>
    <w:rsid w:val="007C7795"/>
    <w:rsid w:val="007C7893"/>
    <w:rsid w:val="007D2626"/>
    <w:rsid w:val="007D523D"/>
    <w:rsid w:val="007E02FA"/>
    <w:rsid w:val="007E1F78"/>
    <w:rsid w:val="007E2EEB"/>
    <w:rsid w:val="007E4B22"/>
    <w:rsid w:val="007E526F"/>
    <w:rsid w:val="007E52C4"/>
    <w:rsid w:val="007E5AA5"/>
    <w:rsid w:val="007E5B22"/>
    <w:rsid w:val="007E6589"/>
    <w:rsid w:val="007F0C52"/>
    <w:rsid w:val="007F196D"/>
    <w:rsid w:val="007F2123"/>
    <w:rsid w:val="007F26C3"/>
    <w:rsid w:val="007F2931"/>
    <w:rsid w:val="007F2B49"/>
    <w:rsid w:val="007F446B"/>
    <w:rsid w:val="007F4840"/>
    <w:rsid w:val="007F5CB4"/>
    <w:rsid w:val="007F64F0"/>
    <w:rsid w:val="007F6C80"/>
    <w:rsid w:val="008004C9"/>
    <w:rsid w:val="00801A99"/>
    <w:rsid w:val="00801F8E"/>
    <w:rsid w:val="0080318C"/>
    <w:rsid w:val="0080596D"/>
    <w:rsid w:val="00805ADB"/>
    <w:rsid w:val="008064A2"/>
    <w:rsid w:val="00806995"/>
    <w:rsid w:val="0080733F"/>
    <w:rsid w:val="00810861"/>
    <w:rsid w:val="008128EE"/>
    <w:rsid w:val="00813028"/>
    <w:rsid w:val="0081320D"/>
    <w:rsid w:val="00814D94"/>
    <w:rsid w:val="008175EC"/>
    <w:rsid w:val="008202DB"/>
    <w:rsid w:val="0082082D"/>
    <w:rsid w:val="00821E71"/>
    <w:rsid w:val="00822142"/>
    <w:rsid w:val="00822637"/>
    <w:rsid w:val="0082387F"/>
    <w:rsid w:val="00823FBC"/>
    <w:rsid w:val="00824867"/>
    <w:rsid w:val="00825631"/>
    <w:rsid w:val="00825C8D"/>
    <w:rsid w:val="00826F86"/>
    <w:rsid w:val="00827442"/>
    <w:rsid w:val="00832124"/>
    <w:rsid w:val="00832177"/>
    <w:rsid w:val="008336FF"/>
    <w:rsid w:val="00834002"/>
    <w:rsid w:val="0083510F"/>
    <w:rsid w:val="0083528A"/>
    <w:rsid w:val="00835BA4"/>
    <w:rsid w:val="00842D5C"/>
    <w:rsid w:val="00843652"/>
    <w:rsid w:val="008445F8"/>
    <w:rsid w:val="008449EA"/>
    <w:rsid w:val="00845081"/>
    <w:rsid w:val="00846925"/>
    <w:rsid w:val="0084752B"/>
    <w:rsid w:val="00847871"/>
    <w:rsid w:val="00850E3A"/>
    <w:rsid w:val="0085139A"/>
    <w:rsid w:val="008521F2"/>
    <w:rsid w:val="0085336E"/>
    <w:rsid w:val="00853929"/>
    <w:rsid w:val="008557F8"/>
    <w:rsid w:val="008569CB"/>
    <w:rsid w:val="00856E27"/>
    <w:rsid w:val="00856F65"/>
    <w:rsid w:val="008609D3"/>
    <w:rsid w:val="00861187"/>
    <w:rsid w:val="00862118"/>
    <w:rsid w:val="00862345"/>
    <w:rsid w:val="0086342D"/>
    <w:rsid w:val="00863B29"/>
    <w:rsid w:val="0086487F"/>
    <w:rsid w:val="00865069"/>
    <w:rsid w:val="008668CA"/>
    <w:rsid w:val="00867424"/>
    <w:rsid w:val="00871FFD"/>
    <w:rsid w:val="0087205A"/>
    <w:rsid w:val="0087430D"/>
    <w:rsid w:val="0087482C"/>
    <w:rsid w:val="00874971"/>
    <w:rsid w:val="00874E6E"/>
    <w:rsid w:val="00875C0B"/>
    <w:rsid w:val="0087625B"/>
    <w:rsid w:val="008763C3"/>
    <w:rsid w:val="00876811"/>
    <w:rsid w:val="0088058C"/>
    <w:rsid w:val="00880AD8"/>
    <w:rsid w:val="00881313"/>
    <w:rsid w:val="008813DE"/>
    <w:rsid w:val="00881596"/>
    <w:rsid w:val="00882570"/>
    <w:rsid w:val="00884132"/>
    <w:rsid w:val="00885DFC"/>
    <w:rsid w:val="00886FCD"/>
    <w:rsid w:val="00887731"/>
    <w:rsid w:val="00890D4F"/>
    <w:rsid w:val="00892F8B"/>
    <w:rsid w:val="00893DCA"/>
    <w:rsid w:val="0089436B"/>
    <w:rsid w:val="00894A80"/>
    <w:rsid w:val="008952F4"/>
    <w:rsid w:val="00896226"/>
    <w:rsid w:val="008A0F7C"/>
    <w:rsid w:val="008A190F"/>
    <w:rsid w:val="008A1B69"/>
    <w:rsid w:val="008A1CBD"/>
    <w:rsid w:val="008A23F5"/>
    <w:rsid w:val="008A2954"/>
    <w:rsid w:val="008A3568"/>
    <w:rsid w:val="008A35A7"/>
    <w:rsid w:val="008A48A7"/>
    <w:rsid w:val="008A49D0"/>
    <w:rsid w:val="008A49E7"/>
    <w:rsid w:val="008A4ABA"/>
    <w:rsid w:val="008A5037"/>
    <w:rsid w:val="008A6BA3"/>
    <w:rsid w:val="008A70AA"/>
    <w:rsid w:val="008A749B"/>
    <w:rsid w:val="008A79F0"/>
    <w:rsid w:val="008B0248"/>
    <w:rsid w:val="008B0C11"/>
    <w:rsid w:val="008B1065"/>
    <w:rsid w:val="008B14F2"/>
    <w:rsid w:val="008B1C30"/>
    <w:rsid w:val="008B3F7F"/>
    <w:rsid w:val="008B7863"/>
    <w:rsid w:val="008C1412"/>
    <w:rsid w:val="008C14B5"/>
    <w:rsid w:val="008C188A"/>
    <w:rsid w:val="008C19D7"/>
    <w:rsid w:val="008C2873"/>
    <w:rsid w:val="008C31F0"/>
    <w:rsid w:val="008C5738"/>
    <w:rsid w:val="008C70E0"/>
    <w:rsid w:val="008C7F0C"/>
    <w:rsid w:val="008D00A9"/>
    <w:rsid w:val="008D1078"/>
    <w:rsid w:val="008D1155"/>
    <w:rsid w:val="008D15A8"/>
    <w:rsid w:val="008D1CE7"/>
    <w:rsid w:val="008D28A6"/>
    <w:rsid w:val="008D68DC"/>
    <w:rsid w:val="008D6BA3"/>
    <w:rsid w:val="008E0384"/>
    <w:rsid w:val="008E05B4"/>
    <w:rsid w:val="008E0F0D"/>
    <w:rsid w:val="008E20F4"/>
    <w:rsid w:val="008E2B9E"/>
    <w:rsid w:val="008E2C5C"/>
    <w:rsid w:val="008E528F"/>
    <w:rsid w:val="008E5A04"/>
    <w:rsid w:val="008E5A3B"/>
    <w:rsid w:val="008E6680"/>
    <w:rsid w:val="008E67C0"/>
    <w:rsid w:val="008E7B2D"/>
    <w:rsid w:val="008F140A"/>
    <w:rsid w:val="008F2636"/>
    <w:rsid w:val="008F37F8"/>
    <w:rsid w:val="008F4760"/>
    <w:rsid w:val="008F5059"/>
    <w:rsid w:val="008F52BC"/>
    <w:rsid w:val="008F545F"/>
    <w:rsid w:val="008F5AA8"/>
    <w:rsid w:val="008F62C9"/>
    <w:rsid w:val="008F69D2"/>
    <w:rsid w:val="008F6F17"/>
    <w:rsid w:val="00900EC8"/>
    <w:rsid w:val="00901F47"/>
    <w:rsid w:val="00903960"/>
    <w:rsid w:val="00903D45"/>
    <w:rsid w:val="00904A12"/>
    <w:rsid w:val="00904C03"/>
    <w:rsid w:val="00906960"/>
    <w:rsid w:val="00907E1C"/>
    <w:rsid w:val="00907E58"/>
    <w:rsid w:val="009102A5"/>
    <w:rsid w:val="00910B3F"/>
    <w:rsid w:val="0091146B"/>
    <w:rsid w:val="00912F51"/>
    <w:rsid w:val="0091543C"/>
    <w:rsid w:val="0091652D"/>
    <w:rsid w:val="0091699E"/>
    <w:rsid w:val="00917870"/>
    <w:rsid w:val="00917940"/>
    <w:rsid w:val="00917BA4"/>
    <w:rsid w:val="00920DDD"/>
    <w:rsid w:val="00921450"/>
    <w:rsid w:val="00921809"/>
    <w:rsid w:val="00922224"/>
    <w:rsid w:val="0092268B"/>
    <w:rsid w:val="009227F4"/>
    <w:rsid w:val="00922B8B"/>
    <w:rsid w:val="0092432F"/>
    <w:rsid w:val="00926568"/>
    <w:rsid w:val="00926D5D"/>
    <w:rsid w:val="00927739"/>
    <w:rsid w:val="00927B5E"/>
    <w:rsid w:val="00930864"/>
    <w:rsid w:val="00930CD4"/>
    <w:rsid w:val="00930F14"/>
    <w:rsid w:val="00934036"/>
    <w:rsid w:val="0093564E"/>
    <w:rsid w:val="00936C33"/>
    <w:rsid w:val="009408AE"/>
    <w:rsid w:val="00943C19"/>
    <w:rsid w:val="00946489"/>
    <w:rsid w:val="0094663A"/>
    <w:rsid w:val="00947716"/>
    <w:rsid w:val="009500E6"/>
    <w:rsid w:val="00953F10"/>
    <w:rsid w:val="00953F67"/>
    <w:rsid w:val="009546F9"/>
    <w:rsid w:val="009548D7"/>
    <w:rsid w:val="009558F6"/>
    <w:rsid w:val="00956A3C"/>
    <w:rsid w:val="00957250"/>
    <w:rsid w:val="00957426"/>
    <w:rsid w:val="00957928"/>
    <w:rsid w:val="00962067"/>
    <w:rsid w:val="00964559"/>
    <w:rsid w:val="0096719E"/>
    <w:rsid w:val="00967CF6"/>
    <w:rsid w:val="00970138"/>
    <w:rsid w:val="00970E57"/>
    <w:rsid w:val="0097134E"/>
    <w:rsid w:val="00974543"/>
    <w:rsid w:val="009755FF"/>
    <w:rsid w:val="00976CD0"/>
    <w:rsid w:val="0097725F"/>
    <w:rsid w:val="00977D9D"/>
    <w:rsid w:val="009800CD"/>
    <w:rsid w:val="00980675"/>
    <w:rsid w:val="00980862"/>
    <w:rsid w:val="00980E67"/>
    <w:rsid w:val="0098179D"/>
    <w:rsid w:val="00983CA0"/>
    <w:rsid w:val="00985040"/>
    <w:rsid w:val="009853A1"/>
    <w:rsid w:val="00985EA4"/>
    <w:rsid w:val="00986220"/>
    <w:rsid w:val="0099060B"/>
    <w:rsid w:val="00990EE9"/>
    <w:rsid w:val="00993C11"/>
    <w:rsid w:val="00994D80"/>
    <w:rsid w:val="00994E53"/>
    <w:rsid w:val="0099516B"/>
    <w:rsid w:val="00996ED2"/>
    <w:rsid w:val="009A02C2"/>
    <w:rsid w:val="009A1543"/>
    <w:rsid w:val="009A1AB3"/>
    <w:rsid w:val="009A3ECC"/>
    <w:rsid w:val="009A42F7"/>
    <w:rsid w:val="009A482A"/>
    <w:rsid w:val="009A4993"/>
    <w:rsid w:val="009A5D74"/>
    <w:rsid w:val="009A6563"/>
    <w:rsid w:val="009A6DC6"/>
    <w:rsid w:val="009A78D1"/>
    <w:rsid w:val="009A7E18"/>
    <w:rsid w:val="009A7EC2"/>
    <w:rsid w:val="009B0AB9"/>
    <w:rsid w:val="009B16D0"/>
    <w:rsid w:val="009B181E"/>
    <w:rsid w:val="009B1CCC"/>
    <w:rsid w:val="009B1E83"/>
    <w:rsid w:val="009B39B5"/>
    <w:rsid w:val="009B47D2"/>
    <w:rsid w:val="009B68BF"/>
    <w:rsid w:val="009B7517"/>
    <w:rsid w:val="009C47AA"/>
    <w:rsid w:val="009C4D97"/>
    <w:rsid w:val="009C4E22"/>
    <w:rsid w:val="009C56C0"/>
    <w:rsid w:val="009C5AEF"/>
    <w:rsid w:val="009C6E5C"/>
    <w:rsid w:val="009C72D6"/>
    <w:rsid w:val="009C73D2"/>
    <w:rsid w:val="009C7916"/>
    <w:rsid w:val="009C7A12"/>
    <w:rsid w:val="009D0416"/>
    <w:rsid w:val="009D0B10"/>
    <w:rsid w:val="009D0B4B"/>
    <w:rsid w:val="009D11A1"/>
    <w:rsid w:val="009D1B1A"/>
    <w:rsid w:val="009D204C"/>
    <w:rsid w:val="009D3467"/>
    <w:rsid w:val="009D4A48"/>
    <w:rsid w:val="009D4AB7"/>
    <w:rsid w:val="009D67EC"/>
    <w:rsid w:val="009E03B5"/>
    <w:rsid w:val="009E24F7"/>
    <w:rsid w:val="009E2F32"/>
    <w:rsid w:val="009E3086"/>
    <w:rsid w:val="009E3267"/>
    <w:rsid w:val="009E484B"/>
    <w:rsid w:val="009E4C2F"/>
    <w:rsid w:val="009E5A2D"/>
    <w:rsid w:val="009E5BCF"/>
    <w:rsid w:val="009E688E"/>
    <w:rsid w:val="009F0C6E"/>
    <w:rsid w:val="009F1086"/>
    <w:rsid w:val="009F1FC1"/>
    <w:rsid w:val="009F26E3"/>
    <w:rsid w:val="009F2AE7"/>
    <w:rsid w:val="009F3E80"/>
    <w:rsid w:val="009F6082"/>
    <w:rsid w:val="009F613D"/>
    <w:rsid w:val="009F6385"/>
    <w:rsid w:val="009F6C95"/>
    <w:rsid w:val="009F70B8"/>
    <w:rsid w:val="009F7229"/>
    <w:rsid w:val="00A010C1"/>
    <w:rsid w:val="00A0146D"/>
    <w:rsid w:val="00A01A68"/>
    <w:rsid w:val="00A01C80"/>
    <w:rsid w:val="00A036EC"/>
    <w:rsid w:val="00A038B9"/>
    <w:rsid w:val="00A0415B"/>
    <w:rsid w:val="00A067AF"/>
    <w:rsid w:val="00A07350"/>
    <w:rsid w:val="00A11916"/>
    <w:rsid w:val="00A125BA"/>
    <w:rsid w:val="00A12CA8"/>
    <w:rsid w:val="00A13B04"/>
    <w:rsid w:val="00A14A1D"/>
    <w:rsid w:val="00A15D32"/>
    <w:rsid w:val="00A16369"/>
    <w:rsid w:val="00A17053"/>
    <w:rsid w:val="00A20506"/>
    <w:rsid w:val="00A206E5"/>
    <w:rsid w:val="00A21262"/>
    <w:rsid w:val="00A21DC5"/>
    <w:rsid w:val="00A22AD5"/>
    <w:rsid w:val="00A22E73"/>
    <w:rsid w:val="00A24092"/>
    <w:rsid w:val="00A26477"/>
    <w:rsid w:val="00A276E5"/>
    <w:rsid w:val="00A27AD2"/>
    <w:rsid w:val="00A27F14"/>
    <w:rsid w:val="00A30845"/>
    <w:rsid w:val="00A30A3B"/>
    <w:rsid w:val="00A325DB"/>
    <w:rsid w:val="00A3267D"/>
    <w:rsid w:val="00A33292"/>
    <w:rsid w:val="00A34664"/>
    <w:rsid w:val="00A36663"/>
    <w:rsid w:val="00A37101"/>
    <w:rsid w:val="00A404D6"/>
    <w:rsid w:val="00A40524"/>
    <w:rsid w:val="00A42959"/>
    <w:rsid w:val="00A462DC"/>
    <w:rsid w:val="00A470C5"/>
    <w:rsid w:val="00A477EE"/>
    <w:rsid w:val="00A479C6"/>
    <w:rsid w:val="00A501C3"/>
    <w:rsid w:val="00A501F4"/>
    <w:rsid w:val="00A50762"/>
    <w:rsid w:val="00A51D22"/>
    <w:rsid w:val="00A527EE"/>
    <w:rsid w:val="00A533A3"/>
    <w:rsid w:val="00A547B8"/>
    <w:rsid w:val="00A54B66"/>
    <w:rsid w:val="00A54DB9"/>
    <w:rsid w:val="00A54EF9"/>
    <w:rsid w:val="00A5548D"/>
    <w:rsid w:val="00A555FB"/>
    <w:rsid w:val="00A5583E"/>
    <w:rsid w:val="00A55A68"/>
    <w:rsid w:val="00A55E30"/>
    <w:rsid w:val="00A5776C"/>
    <w:rsid w:val="00A6002B"/>
    <w:rsid w:val="00A60C7F"/>
    <w:rsid w:val="00A61347"/>
    <w:rsid w:val="00A61EEF"/>
    <w:rsid w:val="00A637DD"/>
    <w:rsid w:val="00A64C1D"/>
    <w:rsid w:val="00A6553F"/>
    <w:rsid w:val="00A65675"/>
    <w:rsid w:val="00A65ECD"/>
    <w:rsid w:val="00A66188"/>
    <w:rsid w:val="00A6650E"/>
    <w:rsid w:val="00A6725D"/>
    <w:rsid w:val="00A708F4"/>
    <w:rsid w:val="00A714E6"/>
    <w:rsid w:val="00A71B2B"/>
    <w:rsid w:val="00A73910"/>
    <w:rsid w:val="00A74736"/>
    <w:rsid w:val="00A7486F"/>
    <w:rsid w:val="00A7494E"/>
    <w:rsid w:val="00A75B4B"/>
    <w:rsid w:val="00A76B08"/>
    <w:rsid w:val="00A76ED9"/>
    <w:rsid w:val="00A77B8F"/>
    <w:rsid w:val="00A8109E"/>
    <w:rsid w:val="00A828FB"/>
    <w:rsid w:val="00A829C3"/>
    <w:rsid w:val="00A830F9"/>
    <w:rsid w:val="00A84FEA"/>
    <w:rsid w:val="00A85162"/>
    <w:rsid w:val="00A87D6D"/>
    <w:rsid w:val="00A908F1"/>
    <w:rsid w:val="00A91578"/>
    <w:rsid w:val="00A917A4"/>
    <w:rsid w:val="00A923EF"/>
    <w:rsid w:val="00A926D4"/>
    <w:rsid w:val="00A927F1"/>
    <w:rsid w:val="00A92A6B"/>
    <w:rsid w:val="00A93526"/>
    <w:rsid w:val="00A93EDC"/>
    <w:rsid w:val="00A94287"/>
    <w:rsid w:val="00A9590C"/>
    <w:rsid w:val="00A964F3"/>
    <w:rsid w:val="00A97DBC"/>
    <w:rsid w:val="00AA0508"/>
    <w:rsid w:val="00AA0AC8"/>
    <w:rsid w:val="00AA0C61"/>
    <w:rsid w:val="00AA1532"/>
    <w:rsid w:val="00AA1774"/>
    <w:rsid w:val="00AA1A21"/>
    <w:rsid w:val="00AA1C87"/>
    <w:rsid w:val="00AA2999"/>
    <w:rsid w:val="00AA340B"/>
    <w:rsid w:val="00AA3B86"/>
    <w:rsid w:val="00AA4EEC"/>
    <w:rsid w:val="00AA755E"/>
    <w:rsid w:val="00AB1173"/>
    <w:rsid w:val="00AB1559"/>
    <w:rsid w:val="00AB1A2B"/>
    <w:rsid w:val="00AB22AE"/>
    <w:rsid w:val="00AB2515"/>
    <w:rsid w:val="00AB274A"/>
    <w:rsid w:val="00AB290B"/>
    <w:rsid w:val="00AB31B5"/>
    <w:rsid w:val="00AB3939"/>
    <w:rsid w:val="00AB3FCA"/>
    <w:rsid w:val="00AB4A42"/>
    <w:rsid w:val="00AB592E"/>
    <w:rsid w:val="00AB6150"/>
    <w:rsid w:val="00AB692A"/>
    <w:rsid w:val="00AB7147"/>
    <w:rsid w:val="00AC001F"/>
    <w:rsid w:val="00AC0833"/>
    <w:rsid w:val="00AC2268"/>
    <w:rsid w:val="00AC25AD"/>
    <w:rsid w:val="00AC2693"/>
    <w:rsid w:val="00AC2FF6"/>
    <w:rsid w:val="00AC4516"/>
    <w:rsid w:val="00AC4B76"/>
    <w:rsid w:val="00AC4F90"/>
    <w:rsid w:val="00AC5826"/>
    <w:rsid w:val="00AC67AF"/>
    <w:rsid w:val="00AC6AE2"/>
    <w:rsid w:val="00AD1336"/>
    <w:rsid w:val="00AD1FAA"/>
    <w:rsid w:val="00AD21EB"/>
    <w:rsid w:val="00AD2B01"/>
    <w:rsid w:val="00AD3379"/>
    <w:rsid w:val="00AD39AA"/>
    <w:rsid w:val="00AD498E"/>
    <w:rsid w:val="00AD532F"/>
    <w:rsid w:val="00AD585C"/>
    <w:rsid w:val="00AD6C0B"/>
    <w:rsid w:val="00AD7346"/>
    <w:rsid w:val="00AD79FE"/>
    <w:rsid w:val="00AD7A53"/>
    <w:rsid w:val="00AD7A76"/>
    <w:rsid w:val="00AD7E15"/>
    <w:rsid w:val="00AE1545"/>
    <w:rsid w:val="00AE1801"/>
    <w:rsid w:val="00AE35DF"/>
    <w:rsid w:val="00AE438E"/>
    <w:rsid w:val="00AE6233"/>
    <w:rsid w:val="00AE7D83"/>
    <w:rsid w:val="00AF11E9"/>
    <w:rsid w:val="00AF2111"/>
    <w:rsid w:val="00AF3915"/>
    <w:rsid w:val="00AF3E56"/>
    <w:rsid w:val="00AF63DF"/>
    <w:rsid w:val="00AF659D"/>
    <w:rsid w:val="00AF6927"/>
    <w:rsid w:val="00AF6AEF"/>
    <w:rsid w:val="00B00285"/>
    <w:rsid w:val="00B00EA2"/>
    <w:rsid w:val="00B012CB"/>
    <w:rsid w:val="00B021AE"/>
    <w:rsid w:val="00B02F6F"/>
    <w:rsid w:val="00B03786"/>
    <w:rsid w:val="00B03993"/>
    <w:rsid w:val="00B0558D"/>
    <w:rsid w:val="00B06570"/>
    <w:rsid w:val="00B079F8"/>
    <w:rsid w:val="00B10F27"/>
    <w:rsid w:val="00B12224"/>
    <w:rsid w:val="00B137EC"/>
    <w:rsid w:val="00B163CE"/>
    <w:rsid w:val="00B16DC7"/>
    <w:rsid w:val="00B179B5"/>
    <w:rsid w:val="00B225A9"/>
    <w:rsid w:val="00B2366C"/>
    <w:rsid w:val="00B26B52"/>
    <w:rsid w:val="00B26E44"/>
    <w:rsid w:val="00B2772D"/>
    <w:rsid w:val="00B27834"/>
    <w:rsid w:val="00B27B74"/>
    <w:rsid w:val="00B27FFE"/>
    <w:rsid w:val="00B33852"/>
    <w:rsid w:val="00B33DCE"/>
    <w:rsid w:val="00B354C9"/>
    <w:rsid w:val="00B35812"/>
    <w:rsid w:val="00B35DE8"/>
    <w:rsid w:val="00B37FA0"/>
    <w:rsid w:val="00B404CB"/>
    <w:rsid w:val="00B409EB"/>
    <w:rsid w:val="00B41902"/>
    <w:rsid w:val="00B41D6E"/>
    <w:rsid w:val="00B44FFB"/>
    <w:rsid w:val="00B454E1"/>
    <w:rsid w:val="00B476FD"/>
    <w:rsid w:val="00B47BD4"/>
    <w:rsid w:val="00B47D02"/>
    <w:rsid w:val="00B500EB"/>
    <w:rsid w:val="00B50D32"/>
    <w:rsid w:val="00B50D70"/>
    <w:rsid w:val="00B512F4"/>
    <w:rsid w:val="00B52471"/>
    <w:rsid w:val="00B52B57"/>
    <w:rsid w:val="00B52D28"/>
    <w:rsid w:val="00B52D8F"/>
    <w:rsid w:val="00B530A2"/>
    <w:rsid w:val="00B53BE8"/>
    <w:rsid w:val="00B549C4"/>
    <w:rsid w:val="00B54A53"/>
    <w:rsid w:val="00B56522"/>
    <w:rsid w:val="00B56BEF"/>
    <w:rsid w:val="00B57048"/>
    <w:rsid w:val="00B57BF8"/>
    <w:rsid w:val="00B606DD"/>
    <w:rsid w:val="00B60C1B"/>
    <w:rsid w:val="00B61647"/>
    <w:rsid w:val="00B61AAA"/>
    <w:rsid w:val="00B631F2"/>
    <w:rsid w:val="00B650AE"/>
    <w:rsid w:val="00B65970"/>
    <w:rsid w:val="00B660EC"/>
    <w:rsid w:val="00B6620C"/>
    <w:rsid w:val="00B6774D"/>
    <w:rsid w:val="00B7040E"/>
    <w:rsid w:val="00B709F5"/>
    <w:rsid w:val="00B737D7"/>
    <w:rsid w:val="00B74190"/>
    <w:rsid w:val="00B74B5B"/>
    <w:rsid w:val="00B77170"/>
    <w:rsid w:val="00B77C6A"/>
    <w:rsid w:val="00B77FC2"/>
    <w:rsid w:val="00B80665"/>
    <w:rsid w:val="00B81EC6"/>
    <w:rsid w:val="00B8228D"/>
    <w:rsid w:val="00B8350E"/>
    <w:rsid w:val="00B8406F"/>
    <w:rsid w:val="00B85232"/>
    <w:rsid w:val="00B85CC7"/>
    <w:rsid w:val="00B8601D"/>
    <w:rsid w:val="00B8603E"/>
    <w:rsid w:val="00B8617C"/>
    <w:rsid w:val="00B917BA"/>
    <w:rsid w:val="00B92390"/>
    <w:rsid w:val="00B92CA3"/>
    <w:rsid w:val="00B92DE8"/>
    <w:rsid w:val="00B9323F"/>
    <w:rsid w:val="00B94621"/>
    <w:rsid w:val="00B94E39"/>
    <w:rsid w:val="00B96DF6"/>
    <w:rsid w:val="00BA02C3"/>
    <w:rsid w:val="00BA0524"/>
    <w:rsid w:val="00BA0C0F"/>
    <w:rsid w:val="00BA0F9E"/>
    <w:rsid w:val="00BA1094"/>
    <w:rsid w:val="00BA13D3"/>
    <w:rsid w:val="00BA34EC"/>
    <w:rsid w:val="00BA3A51"/>
    <w:rsid w:val="00BA4791"/>
    <w:rsid w:val="00BA47CF"/>
    <w:rsid w:val="00BA4B83"/>
    <w:rsid w:val="00BA7319"/>
    <w:rsid w:val="00BA76B3"/>
    <w:rsid w:val="00BA7C1A"/>
    <w:rsid w:val="00BB0452"/>
    <w:rsid w:val="00BB31A4"/>
    <w:rsid w:val="00BB32FC"/>
    <w:rsid w:val="00BB53A3"/>
    <w:rsid w:val="00BB6EF8"/>
    <w:rsid w:val="00BC0BC0"/>
    <w:rsid w:val="00BC0F19"/>
    <w:rsid w:val="00BC186D"/>
    <w:rsid w:val="00BC19BA"/>
    <w:rsid w:val="00BC1BE3"/>
    <w:rsid w:val="00BC232C"/>
    <w:rsid w:val="00BC2A48"/>
    <w:rsid w:val="00BC2B5F"/>
    <w:rsid w:val="00BC31F8"/>
    <w:rsid w:val="00BC32B0"/>
    <w:rsid w:val="00BC3392"/>
    <w:rsid w:val="00BC376C"/>
    <w:rsid w:val="00BC4AF6"/>
    <w:rsid w:val="00BC4F22"/>
    <w:rsid w:val="00BC6849"/>
    <w:rsid w:val="00BC6B0E"/>
    <w:rsid w:val="00BC6EA5"/>
    <w:rsid w:val="00BC7466"/>
    <w:rsid w:val="00BC74E7"/>
    <w:rsid w:val="00BC778E"/>
    <w:rsid w:val="00BC7B7A"/>
    <w:rsid w:val="00BD083B"/>
    <w:rsid w:val="00BD0ABF"/>
    <w:rsid w:val="00BD0FAB"/>
    <w:rsid w:val="00BD2F0C"/>
    <w:rsid w:val="00BD2F5A"/>
    <w:rsid w:val="00BD4ADD"/>
    <w:rsid w:val="00BD4EE9"/>
    <w:rsid w:val="00BD61C6"/>
    <w:rsid w:val="00BD623E"/>
    <w:rsid w:val="00BE0C95"/>
    <w:rsid w:val="00BE2C4F"/>
    <w:rsid w:val="00BE3A4D"/>
    <w:rsid w:val="00BE54AC"/>
    <w:rsid w:val="00BE5A11"/>
    <w:rsid w:val="00BE6ABE"/>
    <w:rsid w:val="00BE6F11"/>
    <w:rsid w:val="00BF123D"/>
    <w:rsid w:val="00BF14B1"/>
    <w:rsid w:val="00BF1767"/>
    <w:rsid w:val="00BF1E32"/>
    <w:rsid w:val="00BF2576"/>
    <w:rsid w:val="00BF3B20"/>
    <w:rsid w:val="00BF3F0E"/>
    <w:rsid w:val="00BF4AFC"/>
    <w:rsid w:val="00BF5163"/>
    <w:rsid w:val="00BF625E"/>
    <w:rsid w:val="00BF63BB"/>
    <w:rsid w:val="00BF7D57"/>
    <w:rsid w:val="00C00477"/>
    <w:rsid w:val="00C0088E"/>
    <w:rsid w:val="00C01B40"/>
    <w:rsid w:val="00C01C22"/>
    <w:rsid w:val="00C02EC1"/>
    <w:rsid w:val="00C0305D"/>
    <w:rsid w:val="00C0328C"/>
    <w:rsid w:val="00C042B4"/>
    <w:rsid w:val="00C0548F"/>
    <w:rsid w:val="00C06922"/>
    <w:rsid w:val="00C07627"/>
    <w:rsid w:val="00C07A7B"/>
    <w:rsid w:val="00C10945"/>
    <w:rsid w:val="00C11079"/>
    <w:rsid w:val="00C120BA"/>
    <w:rsid w:val="00C14C9F"/>
    <w:rsid w:val="00C14D96"/>
    <w:rsid w:val="00C15225"/>
    <w:rsid w:val="00C156DD"/>
    <w:rsid w:val="00C158A7"/>
    <w:rsid w:val="00C15F32"/>
    <w:rsid w:val="00C16151"/>
    <w:rsid w:val="00C1747C"/>
    <w:rsid w:val="00C21946"/>
    <w:rsid w:val="00C21F3F"/>
    <w:rsid w:val="00C23F3F"/>
    <w:rsid w:val="00C24587"/>
    <w:rsid w:val="00C2471A"/>
    <w:rsid w:val="00C2594D"/>
    <w:rsid w:val="00C25E4F"/>
    <w:rsid w:val="00C26B91"/>
    <w:rsid w:val="00C30A89"/>
    <w:rsid w:val="00C30C44"/>
    <w:rsid w:val="00C31356"/>
    <w:rsid w:val="00C31C32"/>
    <w:rsid w:val="00C32740"/>
    <w:rsid w:val="00C332A5"/>
    <w:rsid w:val="00C33BE5"/>
    <w:rsid w:val="00C33EEF"/>
    <w:rsid w:val="00C36D9B"/>
    <w:rsid w:val="00C36F62"/>
    <w:rsid w:val="00C37921"/>
    <w:rsid w:val="00C42706"/>
    <w:rsid w:val="00C4291F"/>
    <w:rsid w:val="00C438F2"/>
    <w:rsid w:val="00C452AA"/>
    <w:rsid w:val="00C477B5"/>
    <w:rsid w:val="00C5006F"/>
    <w:rsid w:val="00C5067D"/>
    <w:rsid w:val="00C50EA7"/>
    <w:rsid w:val="00C52FBE"/>
    <w:rsid w:val="00C546CA"/>
    <w:rsid w:val="00C54791"/>
    <w:rsid w:val="00C54AF4"/>
    <w:rsid w:val="00C55A8F"/>
    <w:rsid w:val="00C578CD"/>
    <w:rsid w:val="00C57E69"/>
    <w:rsid w:val="00C60D0E"/>
    <w:rsid w:val="00C61415"/>
    <w:rsid w:val="00C620E9"/>
    <w:rsid w:val="00C65F86"/>
    <w:rsid w:val="00C666E3"/>
    <w:rsid w:val="00C71D54"/>
    <w:rsid w:val="00C73AA3"/>
    <w:rsid w:val="00C74396"/>
    <w:rsid w:val="00C7454B"/>
    <w:rsid w:val="00C74697"/>
    <w:rsid w:val="00C76103"/>
    <w:rsid w:val="00C77992"/>
    <w:rsid w:val="00C779A2"/>
    <w:rsid w:val="00C80866"/>
    <w:rsid w:val="00C81218"/>
    <w:rsid w:val="00C81E3F"/>
    <w:rsid w:val="00C820FE"/>
    <w:rsid w:val="00C83104"/>
    <w:rsid w:val="00C84FF2"/>
    <w:rsid w:val="00C85FEC"/>
    <w:rsid w:val="00C86192"/>
    <w:rsid w:val="00C86E81"/>
    <w:rsid w:val="00C8798F"/>
    <w:rsid w:val="00C901F2"/>
    <w:rsid w:val="00C91353"/>
    <w:rsid w:val="00C917E8"/>
    <w:rsid w:val="00C91FF4"/>
    <w:rsid w:val="00C92AE2"/>
    <w:rsid w:val="00C93200"/>
    <w:rsid w:val="00C938B1"/>
    <w:rsid w:val="00C93A91"/>
    <w:rsid w:val="00C95114"/>
    <w:rsid w:val="00C954DC"/>
    <w:rsid w:val="00C96D72"/>
    <w:rsid w:val="00C97697"/>
    <w:rsid w:val="00C9798C"/>
    <w:rsid w:val="00CA08B2"/>
    <w:rsid w:val="00CA0B0E"/>
    <w:rsid w:val="00CA0C91"/>
    <w:rsid w:val="00CA0D89"/>
    <w:rsid w:val="00CA0FA6"/>
    <w:rsid w:val="00CA13DC"/>
    <w:rsid w:val="00CA15D8"/>
    <w:rsid w:val="00CA4B00"/>
    <w:rsid w:val="00CA6358"/>
    <w:rsid w:val="00CA65AE"/>
    <w:rsid w:val="00CA68AE"/>
    <w:rsid w:val="00CA6BE2"/>
    <w:rsid w:val="00CA7389"/>
    <w:rsid w:val="00CB01AA"/>
    <w:rsid w:val="00CB037F"/>
    <w:rsid w:val="00CB254E"/>
    <w:rsid w:val="00CB32C1"/>
    <w:rsid w:val="00CB3702"/>
    <w:rsid w:val="00CB3E7D"/>
    <w:rsid w:val="00CB4B4C"/>
    <w:rsid w:val="00CB7171"/>
    <w:rsid w:val="00CB76FB"/>
    <w:rsid w:val="00CC03E2"/>
    <w:rsid w:val="00CC1606"/>
    <w:rsid w:val="00CC294E"/>
    <w:rsid w:val="00CC2D46"/>
    <w:rsid w:val="00CC34D2"/>
    <w:rsid w:val="00CC3D71"/>
    <w:rsid w:val="00CC4DC0"/>
    <w:rsid w:val="00CC54D0"/>
    <w:rsid w:val="00CC55B8"/>
    <w:rsid w:val="00CC5938"/>
    <w:rsid w:val="00CC5B69"/>
    <w:rsid w:val="00CC67CD"/>
    <w:rsid w:val="00CD13EC"/>
    <w:rsid w:val="00CD1475"/>
    <w:rsid w:val="00CD1E72"/>
    <w:rsid w:val="00CD1EBC"/>
    <w:rsid w:val="00CD2B4B"/>
    <w:rsid w:val="00CD2D78"/>
    <w:rsid w:val="00CD3B7C"/>
    <w:rsid w:val="00CD4028"/>
    <w:rsid w:val="00CD536D"/>
    <w:rsid w:val="00CD5391"/>
    <w:rsid w:val="00CD75A1"/>
    <w:rsid w:val="00CD7C92"/>
    <w:rsid w:val="00CE00EB"/>
    <w:rsid w:val="00CE0694"/>
    <w:rsid w:val="00CE07FD"/>
    <w:rsid w:val="00CE1492"/>
    <w:rsid w:val="00CE1B17"/>
    <w:rsid w:val="00CE28A3"/>
    <w:rsid w:val="00CE4305"/>
    <w:rsid w:val="00CE539A"/>
    <w:rsid w:val="00CE569F"/>
    <w:rsid w:val="00CE57D9"/>
    <w:rsid w:val="00CE5C61"/>
    <w:rsid w:val="00CE671B"/>
    <w:rsid w:val="00CE710D"/>
    <w:rsid w:val="00CF0F0D"/>
    <w:rsid w:val="00CF0F38"/>
    <w:rsid w:val="00CF134F"/>
    <w:rsid w:val="00CF1907"/>
    <w:rsid w:val="00CF28BE"/>
    <w:rsid w:val="00CF4523"/>
    <w:rsid w:val="00CF4ED1"/>
    <w:rsid w:val="00CF71E6"/>
    <w:rsid w:val="00CF7296"/>
    <w:rsid w:val="00CF78FA"/>
    <w:rsid w:val="00D003C7"/>
    <w:rsid w:val="00D01619"/>
    <w:rsid w:val="00D018BA"/>
    <w:rsid w:val="00D02631"/>
    <w:rsid w:val="00D02938"/>
    <w:rsid w:val="00D037BB"/>
    <w:rsid w:val="00D040F6"/>
    <w:rsid w:val="00D044D0"/>
    <w:rsid w:val="00D07567"/>
    <w:rsid w:val="00D07F2A"/>
    <w:rsid w:val="00D10028"/>
    <w:rsid w:val="00D105EA"/>
    <w:rsid w:val="00D106C0"/>
    <w:rsid w:val="00D10B9C"/>
    <w:rsid w:val="00D111F9"/>
    <w:rsid w:val="00D14973"/>
    <w:rsid w:val="00D151DA"/>
    <w:rsid w:val="00D15371"/>
    <w:rsid w:val="00D21A6A"/>
    <w:rsid w:val="00D227E4"/>
    <w:rsid w:val="00D22FDD"/>
    <w:rsid w:val="00D25094"/>
    <w:rsid w:val="00D25C92"/>
    <w:rsid w:val="00D26FC4"/>
    <w:rsid w:val="00D27432"/>
    <w:rsid w:val="00D30337"/>
    <w:rsid w:val="00D30DDE"/>
    <w:rsid w:val="00D3311F"/>
    <w:rsid w:val="00D33452"/>
    <w:rsid w:val="00D33A17"/>
    <w:rsid w:val="00D33A1A"/>
    <w:rsid w:val="00D34519"/>
    <w:rsid w:val="00D3522F"/>
    <w:rsid w:val="00D35829"/>
    <w:rsid w:val="00D36362"/>
    <w:rsid w:val="00D368BD"/>
    <w:rsid w:val="00D371B9"/>
    <w:rsid w:val="00D4052A"/>
    <w:rsid w:val="00D40D10"/>
    <w:rsid w:val="00D411BD"/>
    <w:rsid w:val="00D41CD4"/>
    <w:rsid w:val="00D42263"/>
    <w:rsid w:val="00D42A17"/>
    <w:rsid w:val="00D43FC6"/>
    <w:rsid w:val="00D4449F"/>
    <w:rsid w:val="00D46829"/>
    <w:rsid w:val="00D47771"/>
    <w:rsid w:val="00D5050C"/>
    <w:rsid w:val="00D509A2"/>
    <w:rsid w:val="00D50B9E"/>
    <w:rsid w:val="00D516D3"/>
    <w:rsid w:val="00D51A0B"/>
    <w:rsid w:val="00D52567"/>
    <w:rsid w:val="00D525F8"/>
    <w:rsid w:val="00D53739"/>
    <w:rsid w:val="00D53BFA"/>
    <w:rsid w:val="00D55611"/>
    <w:rsid w:val="00D55906"/>
    <w:rsid w:val="00D55ADD"/>
    <w:rsid w:val="00D567F1"/>
    <w:rsid w:val="00D56EC4"/>
    <w:rsid w:val="00D57554"/>
    <w:rsid w:val="00D603BB"/>
    <w:rsid w:val="00D60C27"/>
    <w:rsid w:val="00D60D3F"/>
    <w:rsid w:val="00D60E11"/>
    <w:rsid w:val="00D6191A"/>
    <w:rsid w:val="00D619C4"/>
    <w:rsid w:val="00D61E50"/>
    <w:rsid w:val="00D61EA8"/>
    <w:rsid w:val="00D6216D"/>
    <w:rsid w:val="00D63241"/>
    <w:rsid w:val="00D64734"/>
    <w:rsid w:val="00D648D5"/>
    <w:rsid w:val="00D66C2D"/>
    <w:rsid w:val="00D67C52"/>
    <w:rsid w:val="00D67F85"/>
    <w:rsid w:val="00D71D1E"/>
    <w:rsid w:val="00D73A56"/>
    <w:rsid w:val="00D75D4C"/>
    <w:rsid w:val="00D76321"/>
    <w:rsid w:val="00D770B9"/>
    <w:rsid w:val="00D77242"/>
    <w:rsid w:val="00D774D5"/>
    <w:rsid w:val="00D77547"/>
    <w:rsid w:val="00D803C4"/>
    <w:rsid w:val="00D80424"/>
    <w:rsid w:val="00D80666"/>
    <w:rsid w:val="00D81A7F"/>
    <w:rsid w:val="00D828DB"/>
    <w:rsid w:val="00D82953"/>
    <w:rsid w:val="00D82AD5"/>
    <w:rsid w:val="00D83735"/>
    <w:rsid w:val="00D83BFB"/>
    <w:rsid w:val="00D83F6E"/>
    <w:rsid w:val="00D9141A"/>
    <w:rsid w:val="00D923C2"/>
    <w:rsid w:val="00D9248E"/>
    <w:rsid w:val="00D926BF"/>
    <w:rsid w:val="00D95FB1"/>
    <w:rsid w:val="00D9740A"/>
    <w:rsid w:val="00DA12F5"/>
    <w:rsid w:val="00DA1F23"/>
    <w:rsid w:val="00DA207C"/>
    <w:rsid w:val="00DA2141"/>
    <w:rsid w:val="00DA2391"/>
    <w:rsid w:val="00DA2F66"/>
    <w:rsid w:val="00DA3D3C"/>
    <w:rsid w:val="00DA502B"/>
    <w:rsid w:val="00DA517E"/>
    <w:rsid w:val="00DA5293"/>
    <w:rsid w:val="00DA7182"/>
    <w:rsid w:val="00DA7492"/>
    <w:rsid w:val="00DA78C7"/>
    <w:rsid w:val="00DB1DC8"/>
    <w:rsid w:val="00DB3563"/>
    <w:rsid w:val="00DB3899"/>
    <w:rsid w:val="00DB459F"/>
    <w:rsid w:val="00DB4F16"/>
    <w:rsid w:val="00DB4F75"/>
    <w:rsid w:val="00DB5629"/>
    <w:rsid w:val="00DB5A98"/>
    <w:rsid w:val="00DB6FF7"/>
    <w:rsid w:val="00DB706D"/>
    <w:rsid w:val="00DB75E9"/>
    <w:rsid w:val="00DC0A4E"/>
    <w:rsid w:val="00DC2391"/>
    <w:rsid w:val="00DC2ED2"/>
    <w:rsid w:val="00DC573F"/>
    <w:rsid w:val="00DC6674"/>
    <w:rsid w:val="00DC67B7"/>
    <w:rsid w:val="00DC6B63"/>
    <w:rsid w:val="00DC6C3D"/>
    <w:rsid w:val="00DC707B"/>
    <w:rsid w:val="00DC735F"/>
    <w:rsid w:val="00DC7B4D"/>
    <w:rsid w:val="00DD119F"/>
    <w:rsid w:val="00DD2D7C"/>
    <w:rsid w:val="00DD38FB"/>
    <w:rsid w:val="00DD39E1"/>
    <w:rsid w:val="00DD4A24"/>
    <w:rsid w:val="00DD6208"/>
    <w:rsid w:val="00DD67C9"/>
    <w:rsid w:val="00DD69D5"/>
    <w:rsid w:val="00DE0105"/>
    <w:rsid w:val="00DE4120"/>
    <w:rsid w:val="00DE4732"/>
    <w:rsid w:val="00DE485B"/>
    <w:rsid w:val="00DE488E"/>
    <w:rsid w:val="00DE537E"/>
    <w:rsid w:val="00DE5819"/>
    <w:rsid w:val="00DE5E96"/>
    <w:rsid w:val="00DE6332"/>
    <w:rsid w:val="00DE6493"/>
    <w:rsid w:val="00DE6B3C"/>
    <w:rsid w:val="00DF0B84"/>
    <w:rsid w:val="00DF0F6F"/>
    <w:rsid w:val="00DF1D0B"/>
    <w:rsid w:val="00DF33FE"/>
    <w:rsid w:val="00DF346C"/>
    <w:rsid w:val="00DF3747"/>
    <w:rsid w:val="00DF394D"/>
    <w:rsid w:val="00DF4174"/>
    <w:rsid w:val="00DF446D"/>
    <w:rsid w:val="00DF5332"/>
    <w:rsid w:val="00DF6D78"/>
    <w:rsid w:val="00DF7777"/>
    <w:rsid w:val="00E003B1"/>
    <w:rsid w:val="00E0105F"/>
    <w:rsid w:val="00E02088"/>
    <w:rsid w:val="00E02C8C"/>
    <w:rsid w:val="00E03483"/>
    <w:rsid w:val="00E03B50"/>
    <w:rsid w:val="00E03BBC"/>
    <w:rsid w:val="00E03E91"/>
    <w:rsid w:val="00E070AC"/>
    <w:rsid w:val="00E10033"/>
    <w:rsid w:val="00E11E7D"/>
    <w:rsid w:val="00E1245E"/>
    <w:rsid w:val="00E12CC3"/>
    <w:rsid w:val="00E16407"/>
    <w:rsid w:val="00E167F2"/>
    <w:rsid w:val="00E171A1"/>
    <w:rsid w:val="00E20869"/>
    <w:rsid w:val="00E2185A"/>
    <w:rsid w:val="00E243C0"/>
    <w:rsid w:val="00E250C6"/>
    <w:rsid w:val="00E308A4"/>
    <w:rsid w:val="00E30A9A"/>
    <w:rsid w:val="00E30D20"/>
    <w:rsid w:val="00E31455"/>
    <w:rsid w:val="00E318B4"/>
    <w:rsid w:val="00E31FCC"/>
    <w:rsid w:val="00E329B7"/>
    <w:rsid w:val="00E32A26"/>
    <w:rsid w:val="00E35B4B"/>
    <w:rsid w:val="00E365F7"/>
    <w:rsid w:val="00E36F47"/>
    <w:rsid w:val="00E376E5"/>
    <w:rsid w:val="00E409D4"/>
    <w:rsid w:val="00E419F3"/>
    <w:rsid w:val="00E41C55"/>
    <w:rsid w:val="00E420C4"/>
    <w:rsid w:val="00E426D4"/>
    <w:rsid w:val="00E428EB"/>
    <w:rsid w:val="00E42BCE"/>
    <w:rsid w:val="00E42F98"/>
    <w:rsid w:val="00E462BC"/>
    <w:rsid w:val="00E5116F"/>
    <w:rsid w:val="00E515B1"/>
    <w:rsid w:val="00E51D5E"/>
    <w:rsid w:val="00E52390"/>
    <w:rsid w:val="00E54525"/>
    <w:rsid w:val="00E55234"/>
    <w:rsid w:val="00E56099"/>
    <w:rsid w:val="00E5715F"/>
    <w:rsid w:val="00E60E48"/>
    <w:rsid w:val="00E62CBF"/>
    <w:rsid w:val="00E63166"/>
    <w:rsid w:val="00E63BF6"/>
    <w:rsid w:val="00E64066"/>
    <w:rsid w:val="00E642A0"/>
    <w:rsid w:val="00E66187"/>
    <w:rsid w:val="00E66770"/>
    <w:rsid w:val="00E66F57"/>
    <w:rsid w:val="00E66F5A"/>
    <w:rsid w:val="00E671BF"/>
    <w:rsid w:val="00E7177F"/>
    <w:rsid w:val="00E71EFA"/>
    <w:rsid w:val="00E72447"/>
    <w:rsid w:val="00E7245D"/>
    <w:rsid w:val="00E74122"/>
    <w:rsid w:val="00E74C54"/>
    <w:rsid w:val="00E75B8F"/>
    <w:rsid w:val="00E772E1"/>
    <w:rsid w:val="00E777AF"/>
    <w:rsid w:val="00E80D37"/>
    <w:rsid w:val="00E81487"/>
    <w:rsid w:val="00E81797"/>
    <w:rsid w:val="00E817D1"/>
    <w:rsid w:val="00E828D7"/>
    <w:rsid w:val="00E83D7F"/>
    <w:rsid w:val="00E855D2"/>
    <w:rsid w:val="00E8575B"/>
    <w:rsid w:val="00E85EFD"/>
    <w:rsid w:val="00E86CC9"/>
    <w:rsid w:val="00E870C4"/>
    <w:rsid w:val="00E90C7E"/>
    <w:rsid w:val="00E91953"/>
    <w:rsid w:val="00E9254A"/>
    <w:rsid w:val="00E93B70"/>
    <w:rsid w:val="00E93C24"/>
    <w:rsid w:val="00E94B98"/>
    <w:rsid w:val="00E96EEA"/>
    <w:rsid w:val="00E97971"/>
    <w:rsid w:val="00E9798F"/>
    <w:rsid w:val="00E97EC8"/>
    <w:rsid w:val="00EA00DF"/>
    <w:rsid w:val="00EA03C5"/>
    <w:rsid w:val="00EA1E98"/>
    <w:rsid w:val="00EA312A"/>
    <w:rsid w:val="00EA3357"/>
    <w:rsid w:val="00EA4E74"/>
    <w:rsid w:val="00EA5F58"/>
    <w:rsid w:val="00EA6077"/>
    <w:rsid w:val="00EA669B"/>
    <w:rsid w:val="00EA6F06"/>
    <w:rsid w:val="00EA746D"/>
    <w:rsid w:val="00EB0021"/>
    <w:rsid w:val="00EB0B6C"/>
    <w:rsid w:val="00EB196E"/>
    <w:rsid w:val="00EB4F2F"/>
    <w:rsid w:val="00EB5517"/>
    <w:rsid w:val="00EB65B4"/>
    <w:rsid w:val="00EC0742"/>
    <w:rsid w:val="00EC1281"/>
    <w:rsid w:val="00EC143A"/>
    <w:rsid w:val="00EC5794"/>
    <w:rsid w:val="00EC5A0B"/>
    <w:rsid w:val="00EC68F3"/>
    <w:rsid w:val="00EC6C89"/>
    <w:rsid w:val="00ED112C"/>
    <w:rsid w:val="00ED1B64"/>
    <w:rsid w:val="00ED2143"/>
    <w:rsid w:val="00ED26AC"/>
    <w:rsid w:val="00ED2A10"/>
    <w:rsid w:val="00ED2A78"/>
    <w:rsid w:val="00ED2C45"/>
    <w:rsid w:val="00ED334E"/>
    <w:rsid w:val="00ED569B"/>
    <w:rsid w:val="00ED5BCA"/>
    <w:rsid w:val="00ED61F5"/>
    <w:rsid w:val="00ED6BC1"/>
    <w:rsid w:val="00EE1460"/>
    <w:rsid w:val="00EE1CAE"/>
    <w:rsid w:val="00EE43BA"/>
    <w:rsid w:val="00EE5ED5"/>
    <w:rsid w:val="00EE6268"/>
    <w:rsid w:val="00EE6F01"/>
    <w:rsid w:val="00EF2921"/>
    <w:rsid w:val="00EF3B34"/>
    <w:rsid w:val="00EF426A"/>
    <w:rsid w:val="00EF468F"/>
    <w:rsid w:val="00EF4A0F"/>
    <w:rsid w:val="00EF4C4D"/>
    <w:rsid w:val="00EF551F"/>
    <w:rsid w:val="00EF5A04"/>
    <w:rsid w:val="00EF6926"/>
    <w:rsid w:val="00EF7E4F"/>
    <w:rsid w:val="00F004F6"/>
    <w:rsid w:val="00F00732"/>
    <w:rsid w:val="00F01B2E"/>
    <w:rsid w:val="00F02D0F"/>
    <w:rsid w:val="00F02FA2"/>
    <w:rsid w:val="00F03117"/>
    <w:rsid w:val="00F03423"/>
    <w:rsid w:val="00F04C33"/>
    <w:rsid w:val="00F056ED"/>
    <w:rsid w:val="00F05EA5"/>
    <w:rsid w:val="00F07A9F"/>
    <w:rsid w:val="00F10828"/>
    <w:rsid w:val="00F10C10"/>
    <w:rsid w:val="00F11651"/>
    <w:rsid w:val="00F11723"/>
    <w:rsid w:val="00F11E2B"/>
    <w:rsid w:val="00F132AC"/>
    <w:rsid w:val="00F139E6"/>
    <w:rsid w:val="00F14FCA"/>
    <w:rsid w:val="00F165C8"/>
    <w:rsid w:val="00F21766"/>
    <w:rsid w:val="00F218AC"/>
    <w:rsid w:val="00F24DC1"/>
    <w:rsid w:val="00F2501A"/>
    <w:rsid w:val="00F25537"/>
    <w:rsid w:val="00F266C0"/>
    <w:rsid w:val="00F26B0C"/>
    <w:rsid w:val="00F26C0D"/>
    <w:rsid w:val="00F300C0"/>
    <w:rsid w:val="00F3011F"/>
    <w:rsid w:val="00F30CFD"/>
    <w:rsid w:val="00F3140D"/>
    <w:rsid w:val="00F31A5B"/>
    <w:rsid w:val="00F31D21"/>
    <w:rsid w:val="00F3257F"/>
    <w:rsid w:val="00F32916"/>
    <w:rsid w:val="00F33F59"/>
    <w:rsid w:val="00F346EC"/>
    <w:rsid w:val="00F356A2"/>
    <w:rsid w:val="00F37774"/>
    <w:rsid w:val="00F400A2"/>
    <w:rsid w:val="00F405BF"/>
    <w:rsid w:val="00F40F02"/>
    <w:rsid w:val="00F41774"/>
    <w:rsid w:val="00F42372"/>
    <w:rsid w:val="00F4389A"/>
    <w:rsid w:val="00F43B21"/>
    <w:rsid w:val="00F44B31"/>
    <w:rsid w:val="00F4548D"/>
    <w:rsid w:val="00F455EE"/>
    <w:rsid w:val="00F45CEE"/>
    <w:rsid w:val="00F46194"/>
    <w:rsid w:val="00F4780C"/>
    <w:rsid w:val="00F52DAD"/>
    <w:rsid w:val="00F54D4A"/>
    <w:rsid w:val="00F554FA"/>
    <w:rsid w:val="00F55C3E"/>
    <w:rsid w:val="00F56B6C"/>
    <w:rsid w:val="00F56F5D"/>
    <w:rsid w:val="00F6015D"/>
    <w:rsid w:val="00F6018B"/>
    <w:rsid w:val="00F627EB"/>
    <w:rsid w:val="00F63BD3"/>
    <w:rsid w:val="00F640AF"/>
    <w:rsid w:val="00F6696A"/>
    <w:rsid w:val="00F67209"/>
    <w:rsid w:val="00F67FB6"/>
    <w:rsid w:val="00F71194"/>
    <w:rsid w:val="00F72508"/>
    <w:rsid w:val="00F74404"/>
    <w:rsid w:val="00F744D7"/>
    <w:rsid w:val="00F74955"/>
    <w:rsid w:val="00F74C07"/>
    <w:rsid w:val="00F76027"/>
    <w:rsid w:val="00F76743"/>
    <w:rsid w:val="00F7737E"/>
    <w:rsid w:val="00F800D7"/>
    <w:rsid w:val="00F82426"/>
    <w:rsid w:val="00F826CD"/>
    <w:rsid w:val="00F82CC6"/>
    <w:rsid w:val="00F84227"/>
    <w:rsid w:val="00F846D3"/>
    <w:rsid w:val="00F859D3"/>
    <w:rsid w:val="00F85FBD"/>
    <w:rsid w:val="00F866FE"/>
    <w:rsid w:val="00F868FB"/>
    <w:rsid w:val="00F87058"/>
    <w:rsid w:val="00F8728F"/>
    <w:rsid w:val="00F90089"/>
    <w:rsid w:val="00F905D1"/>
    <w:rsid w:val="00F91BD4"/>
    <w:rsid w:val="00F93428"/>
    <w:rsid w:val="00F93BF4"/>
    <w:rsid w:val="00F940E2"/>
    <w:rsid w:val="00F94FB3"/>
    <w:rsid w:val="00F954AB"/>
    <w:rsid w:val="00F97008"/>
    <w:rsid w:val="00F970B0"/>
    <w:rsid w:val="00F97E31"/>
    <w:rsid w:val="00FA01D1"/>
    <w:rsid w:val="00FA19F0"/>
    <w:rsid w:val="00FA2E91"/>
    <w:rsid w:val="00FA314B"/>
    <w:rsid w:val="00FA3A21"/>
    <w:rsid w:val="00FA43CF"/>
    <w:rsid w:val="00FA556D"/>
    <w:rsid w:val="00FA5A38"/>
    <w:rsid w:val="00FA6D8E"/>
    <w:rsid w:val="00FA6E1E"/>
    <w:rsid w:val="00FA7291"/>
    <w:rsid w:val="00FB1F2F"/>
    <w:rsid w:val="00FB22F8"/>
    <w:rsid w:val="00FB2AF6"/>
    <w:rsid w:val="00FB2C8D"/>
    <w:rsid w:val="00FB4016"/>
    <w:rsid w:val="00FB6709"/>
    <w:rsid w:val="00FB71CC"/>
    <w:rsid w:val="00FB74C8"/>
    <w:rsid w:val="00FB787A"/>
    <w:rsid w:val="00FB7BBF"/>
    <w:rsid w:val="00FC0C68"/>
    <w:rsid w:val="00FC0F32"/>
    <w:rsid w:val="00FC1AB7"/>
    <w:rsid w:val="00FC47D2"/>
    <w:rsid w:val="00FC62E3"/>
    <w:rsid w:val="00FC6926"/>
    <w:rsid w:val="00FC729D"/>
    <w:rsid w:val="00FC7610"/>
    <w:rsid w:val="00FD010A"/>
    <w:rsid w:val="00FD064D"/>
    <w:rsid w:val="00FD08D7"/>
    <w:rsid w:val="00FD14A8"/>
    <w:rsid w:val="00FD2009"/>
    <w:rsid w:val="00FD3861"/>
    <w:rsid w:val="00FD41F0"/>
    <w:rsid w:val="00FD4502"/>
    <w:rsid w:val="00FD6FA8"/>
    <w:rsid w:val="00FE0280"/>
    <w:rsid w:val="00FE2061"/>
    <w:rsid w:val="00FE2916"/>
    <w:rsid w:val="00FE2954"/>
    <w:rsid w:val="00FE2EAD"/>
    <w:rsid w:val="00FE534A"/>
    <w:rsid w:val="00FE5F1A"/>
    <w:rsid w:val="00FE67F6"/>
    <w:rsid w:val="00FE7154"/>
    <w:rsid w:val="00FE77B0"/>
    <w:rsid w:val="00FF0CCE"/>
    <w:rsid w:val="00FF1C46"/>
    <w:rsid w:val="00FF2B13"/>
    <w:rsid w:val="00FF2C46"/>
    <w:rsid w:val="00FF330C"/>
    <w:rsid w:val="00FF4635"/>
    <w:rsid w:val="00FF52AB"/>
    <w:rsid w:val="00FF5815"/>
    <w:rsid w:val="00FF5C06"/>
    <w:rsid w:val="00FF6254"/>
    <w:rsid w:val="00FF6FF0"/>
    <w:rsid w:val="00FF7991"/>
    <w:rsid w:val="00FF7F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FFB788E"/>
  <w15:docId w15:val="{D4B2CD87-C03B-4191-9220-A0B6038EB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natec Normal"/>
    <w:qFormat/>
    <w:rsid w:val="00586568"/>
    <w:pPr>
      <w:spacing w:line="240" w:lineRule="auto"/>
      <w:jc w:val="both"/>
    </w:pPr>
    <w:rPr>
      <w:sz w:val="24"/>
    </w:rPr>
  </w:style>
  <w:style w:type="paragraph" w:styleId="Heading1">
    <w:name w:val="heading 1"/>
    <w:aliases w:val="Anatec Heading 1"/>
    <w:basedOn w:val="Normal"/>
    <w:next w:val="Normal"/>
    <w:link w:val="Heading1Char"/>
    <w:uiPriority w:val="2"/>
    <w:qFormat/>
    <w:rsid w:val="003C682A"/>
    <w:pPr>
      <w:keepNext/>
      <w:keepLines/>
      <w:pageBreakBefore/>
      <w:numPr>
        <w:numId w:val="3"/>
      </w:numPr>
      <w:ind w:left="851" w:hanging="851"/>
      <w:outlineLvl w:val="0"/>
    </w:pPr>
    <w:rPr>
      <w:rFonts w:eastAsiaTheme="majorEastAsia" w:cstheme="majorBidi"/>
      <w:b/>
      <w:bCs/>
      <w:color w:val="1F497D" w:themeColor="text2"/>
      <w:sz w:val="32"/>
      <w:szCs w:val="28"/>
    </w:rPr>
  </w:style>
  <w:style w:type="paragraph" w:styleId="Heading2">
    <w:name w:val="heading 2"/>
    <w:aliases w:val="Anatec Heading 2"/>
    <w:basedOn w:val="Normal"/>
    <w:next w:val="Normal"/>
    <w:link w:val="Heading2Char"/>
    <w:uiPriority w:val="2"/>
    <w:qFormat/>
    <w:rsid w:val="003C682A"/>
    <w:pPr>
      <w:keepNext/>
      <w:keepLines/>
      <w:numPr>
        <w:ilvl w:val="1"/>
        <w:numId w:val="3"/>
      </w:numPr>
      <w:ind w:left="851" w:hanging="851"/>
      <w:outlineLvl w:val="1"/>
    </w:pPr>
    <w:rPr>
      <w:rFonts w:eastAsiaTheme="majorEastAsia" w:cstheme="majorBidi"/>
      <w:b/>
      <w:bCs/>
      <w:color w:val="1F497D" w:themeColor="text2"/>
      <w:sz w:val="28"/>
      <w:szCs w:val="26"/>
    </w:rPr>
  </w:style>
  <w:style w:type="paragraph" w:styleId="Heading3">
    <w:name w:val="heading 3"/>
    <w:aliases w:val="Anatec Heading 3"/>
    <w:basedOn w:val="Normal"/>
    <w:next w:val="Normal"/>
    <w:link w:val="Heading3Char"/>
    <w:uiPriority w:val="2"/>
    <w:qFormat/>
    <w:rsid w:val="003C682A"/>
    <w:pPr>
      <w:keepNext/>
      <w:keepLines/>
      <w:numPr>
        <w:ilvl w:val="2"/>
        <w:numId w:val="3"/>
      </w:numPr>
      <w:ind w:left="851" w:hanging="851"/>
      <w:outlineLvl w:val="2"/>
    </w:pPr>
    <w:rPr>
      <w:rFonts w:eastAsiaTheme="majorEastAsia" w:cstheme="majorBidi"/>
      <w:b/>
      <w:bCs/>
      <w:color w:val="1F497D" w:themeColor="text2"/>
    </w:rPr>
  </w:style>
  <w:style w:type="paragraph" w:styleId="Heading4">
    <w:name w:val="heading 4"/>
    <w:aliases w:val="Anatec Heading 4"/>
    <w:basedOn w:val="Normal"/>
    <w:next w:val="Normal"/>
    <w:link w:val="Heading4Char"/>
    <w:uiPriority w:val="2"/>
    <w:qFormat/>
    <w:rsid w:val="003C682A"/>
    <w:pPr>
      <w:keepNext/>
      <w:keepLines/>
      <w:numPr>
        <w:ilvl w:val="3"/>
        <w:numId w:val="3"/>
      </w:numPr>
      <w:ind w:left="851" w:hanging="851"/>
      <w:outlineLvl w:val="3"/>
    </w:pPr>
    <w:rPr>
      <w:rFonts w:eastAsiaTheme="majorEastAsia" w:cstheme="majorBidi"/>
      <w:b/>
      <w:bCs/>
      <w:iCs/>
      <w:color w:val="1F497D" w:themeColor="text2"/>
    </w:rPr>
  </w:style>
  <w:style w:type="paragraph" w:styleId="Heading5">
    <w:name w:val="heading 5"/>
    <w:aliases w:val="Anatec Heading 5"/>
    <w:basedOn w:val="Normal"/>
    <w:next w:val="Normal"/>
    <w:link w:val="Heading5Char"/>
    <w:uiPriority w:val="9"/>
    <w:unhideWhenUsed/>
    <w:rsid w:val="007722A4"/>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7722A4"/>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7722A4"/>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722A4"/>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722A4"/>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484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4841"/>
    <w:rPr>
      <w:rFonts w:ascii="Tahoma" w:hAnsi="Tahoma" w:cs="Tahoma"/>
      <w:sz w:val="16"/>
      <w:szCs w:val="16"/>
    </w:rPr>
  </w:style>
  <w:style w:type="table" w:styleId="TableGrid">
    <w:name w:val="Table Grid"/>
    <w:basedOn w:val="TableNormal"/>
    <w:uiPriority w:val="59"/>
    <w:rsid w:val="00414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841"/>
    <w:pPr>
      <w:tabs>
        <w:tab w:val="center" w:pos="4513"/>
        <w:tab w:val="right" w:pos="9026"/>
      </w:tabs>
      <w:spacing w:after="0"/>
    </w:pPr>
  </w:style>
  <w:style w:type="character" w:customStyle="1" w:styleId="HeaderChar">
    <w:name w:val="Header Char"/>
    <w:basedOn w:val="DefaultParagraphFont"/>
    <w:link w:val="Header"/>
    <w:uiPriority w:val="99"/>
    <w:rsid w:val="00414841"/>
  </w:style>
  <w:style w:type="paragraph" w:styleId="Footer">
    <w:name w:val="footer"/>
    <w:basedOn w:val="Normal"/>
    <w:link w:val="FooterChar"/>
    <w:uiPriority w:val="99"/>
    <w:unhideWhenUsed/>
    <w:rsid w:val="00414841"/>
    <w:pPr>
      <w:tabs>
        <w:tab w:val="center" w:pos="4513"/>
        <w:tab w:val="right" w:pos="9026"/>
      </w:tabs>
      <w:spacing w:after="0"/>
    </w:pPr>
  </w:style>
  <w:style w:type="character" w:customStyle="1" w:styleId="FooterChar">
    <w:name w:val="Footer Char"/>
    <w:basedOn w:val="DefaultParagraphFont"/>
    <w:link w:val="Footer"/>
    <w:uiPriority w:val="99"/>
    <w:rsid w:val="00414841"/>
  </w:style>
  <w:style w:type="character" w:customStyle="1" w:styleId="Heading1Char">
    <w:name w:val="Heading 1 Char"/>
    <w:aliases w:val="Anatec Heading 1 Char"/>
    <w:basedOn w:val="DefaultParagraphFont"/>
    <w:link w:val="Heading1"/>
    <w:uiPriority w:val="2"/>
    <w:rsid w:val="005111D4"/>
    <w:rPr>
      <w:rFonts w:eastAsiaTheme="majorEastAsia" w:cstheme="majorBidi"/>
      <w:b/>
      <w:bCs/>
      <w:color w:val="1F497D" w:themeColor="text2"/>
      <w:sz w:val="32"/>
      <w:szCs w:val="28"/>
    </w:rPr>
  </w:style>
  <w:style w:type="character" w:customStyle="1" w:styleId="Heading2Char">
    <w:name w:val="Heading 2 Char"/>
    <w:aliases w:val="Anatec Heading 2 Char"/>
    <w:basedOn w:val="DefaultParagraphFont"/>
    <w:link w:val="Heading2"/>
    <w:uiPriority w:val="2"/>
    <w:rsid w:val="005111D4"/>
    <w:rPr>
      <w:rFonts w:eastAsiaTheme="majorEastAsia" w:cstheme="majorBidi"/>
      <w:b/>
      <w:bCs/>
      <w:color w:val="1F497D" w:themeColor="text2"/>
      <w:sz w:val="28"/>
      <w:szCs w:val="26"/>
    </w:rPr>
  </w:style>
  <w:style w:type="character" w:customStyle="1" w:styleId="Heading3Char">
    <w:name w:val="Heading 3 Char"/>
    <w:aliases w:val="Anatec Heading 3 Char"/>
    <w:basedOn w:val="DefaultParagraphFont"/>
    <w:link w:val="Heading3"/>
    <w:uiPriority w:val="2"/>
    <w:rsid w:val="005111D4"/>
    <w:rPr>
      <w:rFonts w:eastAsiaTheme="majorEastAsia" w:cstheme="majorBidi"/>
      <w:b/>
      <w:bCs/>
      <w:color w:val="1F497D" w:themeColor="text2"/>
      <w:sz w:val="24"/>
    </w:rPr>
  </w:style>
  <w:style w:type="character" w:customStyle="1" w:styleId="Heading4Char">
    <w:name w:val="Heading 4 Char"/>
    <w:aliases w:val="Anatec Heading 4 Char"/>
    <w:basedOn w:val="DefaultParagraphFont"/>
    <w:link w:val="Heading4"/>
    <w:uiPriority w:val="2"/>
    <w:rsid w:val="005111D4"/>
    <w:rPr>
      <w:rFonts w:eastAsiaTheme="majorEastAsia" w:cstheme="majorBidi"/>
      <w:b/>
      <w:bCs/>
      <w:iCs/>
      <w:color w:val="1F497D" w:themeColor="text2"/>
      <w:sz w:val="24"/>
    </w:rPr>
  </w:style>
  <w:style w:type="character" w:customStyle="1" w:styleId="Heading5Char">
    <w:name w:val="Heading 5 Char"/>
    <w:aliases w:val="Anatec Heading 5 Char"/>
    <w:basedOn w:val="DefaultParagraphFont"/>
    <w:link w:val="Heading5"/>
    <w:uiPriority w:val="9"/>
    <w:rsid w:val="005111D4"/>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7722A4"/>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7722A4"/>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722A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722A4"/>
    <w:rPr>
      <w:rFonts w:asciiTheme="majorHAnsi" w:eastAsiaTheme="majorEastAsia" w:hAnsiTheme="majorHAnsi" w:cstheme="majorBidi"/>
      <w:i/>
      <w:iCs/>
      <w:color w:val="404040" w:themeColor="text1" w:themeTint="BF"/>
      <w:sz w:val="20"/>
      <w:szCs w:val="20"/>
    </w:rPr>
  </w:style>
  <w:style w:type="paragraph" w:styleId="BodyText">
    <w:name w:val="Body Text"/>
    <w:basedOn w:val="Normal"/>
    <w:link w:val="BodyTextChar"/>
    <w:uiPriority w:val="99"/>
    <w:semiHidden/>
    <w:unhideWhenUsed/>
    <w:rsid w:val="007722A4"/>
  </w:style>
  <w:style w:type="character" w:customStyle="1" w:styleId="BodyTextChar">
    <w:name w:val="Body Text Char"/>
    <w:basedOn w:val="DefaultParagraphFont"/>
    <w:link w:val="BodyText"/>
    <w:uiPriority w:val="99"/>
    <w:semiHidden/>
    <w:rsid w:val="007722A4"/>
    <w:rPr>
      <w:sz w:val="24"/>
    </w:rPr>
  </w:style>
  <w:style w:type="character" w:styleId="CommentReference">
    <w:name w:val="annotation reference"/>
    <w:uiPriority w:val="99"/>
    <w:rsid w:val="007722A4"/>
    <w:rPr>
      <w:sz w:val="16"/>
      <w:szCs w:val="16"/>
    </w:rPr>
  </w:style>
  <w:style w:type="paragraph" w:styleId="CommentText">
    <w:name w:val="annotation text"/>
    <w:basedOn w:val="Normal"/>
    <w:link w:val="CommentTextChar"/>
    <w:uiPriority w:val="99"/>
    <w:rsid w:val="00D27432"/>
    <w:pPr>
      <w:spacing w:after="0"/>
    </w:pPr>
    <w:rPr>
      <w:rFonts w:eastAsia="Times New Roman" w:cs="Times New Roman"/>
      <w:sz w:val="20"/>
      <w:szCs w:val="20"/>
    </w:rPr>
  </w:style>
  <w:style w:type="character" w:customStyle="1" w:styleId="CommentTextChar">
    <w:name w:val="Comment Text Char"/>
    <w:basedOn w:val="DefaultParagraphFont"/>
    <w:link w:val="CommentText"/>
    <w:uiPriority w:val="99"/>
    <w:rsid w:val="00D27432"/>
    <w:rPr>
      <w:rFonts w:eastAsia="Times New Roman" w:cs="Times New Roman"/>
      <w:sz w:val="20"/>
      <w:szCs w:val="20"/>
    </w:rPr>
  </w:style>
  <w:style w:type="paragraph" w:styleId="Caption">
    <w:name w:val="caption"/>
    <w:aliases w:val="Anatec Caption"/>
    <w:basedOn w:val="Normal"/>
    <w:next w:val="Normal"/>
    <w:uiPriority w:val="4"/>
    <w:unhideWhenUsed/>
    <w:qFormat/>
    <w:rsid w:val="002A139C"/>
    <w:pPr>
      <w:spacing w:after="120"/>
      <w:ind w:left="1418" w:hanging="1418"/>
      <w:jc w:val="left"/>
    </w:pPr>
    <w:rPr>
      <w:b/>
      <w:bCs/>
      <w:color w:val="1F497D" w:themeColor="text2"/>
      <w:szCs w:val="18"/>
    </w:rPr>
  </w:style>
  <w:style w:type="character" w:styleId="Hyperlink">
    <w:name w:val="Hyperlink"/>
    <w:basedOn w:val="DefaultParagraphFont"/>
    <w:uiPriority w:val="99"/>
    <w:unhideWhenUsed/>
    <w:rsid w:val="003560DF"/>
    <w:rPr>
      <w:color w:val="0000FF" w:themeColor="hyperlink"/>
      <w:u w:val="single"/>
    </w:rPr>
  </w:style>
  <w:style w:type="paragraph" w:styleId="TOC3">
    <w:name w:val="toc 3"/>
    <w:basedOn w:val="Normal"/>
    <w:next w:val="Normal"/>
    <w:autoRedefine/>
    <w:uiPriority w:val="39"/>
    <w:unhideWhenUsed/>
    <w:rsid w:val="00636BD5"/>
    <w:pPr>
      <w:tabs>
        <w:tab w:val="left" w:pos="28"/>
        <w:tab w:val="left" w:pos="1320"/>
        <w:tab w:val="right" w:leader="dot" w:pos="9015"/>
      </w:tabs>
      <w:spacing w:after="0"/>
      <w:ind w:left="1939" w:hanging="839"/>
      <w:jc w:val="left"/>
    </w:pPr>
  </w:style>
  <w:style w:type="paragraph" w:styleId="TOC1">
    <w:name w:val="toc 1"/>
    <w:basedOn w:val="Normal"/>
    <w:next w:val="Normal"/>
    <w:autoRedefine/>
    <w:uiPriority w:val="39"/>
    <w:unhideWhenUsed/>
    <w:rsid w:val="00284070"/>
    <w:pPr>
      <w:tabs>
        <w:tab w:val="left" w:pos="480"/>
        <w:tab w:val="right" w:leader="dot" w:pos="9016"/>
      </w:tabs>
      <w:spacing w:before="100" w:after="100"/>
      <w:ind w:left="482" w:hanging="482"/>
    </w:pPr>
    <w:rPr>
      <w:rFonts w:ascii="Calibri" w:hAnsi="Calibri"/>
      <w:b/>
      <w:noProof/>
      <w:color w:val="1F497D" w:themeColor="text2"/>
      <w:sz w:val="28"/>
    </w:rPr>
  </w:style>
  <w:style w:type="paragraph" w:styleId="TOC2">
    <w:name w:val="toc 2"/>
    <w:basedOn w:val="Normal"/>
    <w:next w:val="Normal"/>
    <w:autoRedefine/>
    <w:uiPriority w:val="39"/>
    <w:unhideWhenUsed/>
    <w:rsid w:val="00284070"/>
    <w:pPr>
      <w:tabs>
        <w:tab w:val="left" w:pos="28"/>
        <w:tab w:val="left" w:pos="1100"/>
        <w:tab w:val="right" w:leader="dot" w:pos="9016"/>
      </w:tabs>
      <w:spacing w:after="0"/>
      <w:ind w:left="1100" w:hanging="618"/>
      <w:jc w:val="left"/>
    </w:pPr>
    <w:rPr>
      <w:color w:val="000000" w:themeColor="text1"/>
    </w:rPr>
  </w:style>
  <w:style w:type="paragraph" w:customStyle="1" w:styleId="AnatecHeading">
    <w:name w:val="Anatec Heading"/>
    <w:basedOn w:val="Heading1"/>
    <w:next w:val="Normal"/>
    <w:link w:val="AnatecHeadingChar"/>
    <w:uiPriority w:val="1"/>
    <w:rsid w:val="004B4368"/>
    <w:pPr>
      <w:pageBreakBefore w:val="0"/>
      <w:numPr>
        <w:numId w:val="0"/>
      </w:numPr>
      <w:ind w:left="851" w:hanging="851"/>
    </w:pPr>
  </w:style>
  <w:style w:type="character" w:customStyle="1" w:styleId="AnatecHeadingChar">
    <w:name w:val="Anatec Heading Char"/>
    <w:basedOn w:val="Heading1Char"/>
    <w:link w:val="AnatecHeading"/>
    <w:uiPriority w:val="1"/>
    <w:rsid w:val="005111D4"/>
    <w:rPr>
      <w:rFonts w:eastAsiaTheme="majorEastAsia" w:cstheme="majorBidi"/>
      <w:b/>
      <w:bCs/>
      <w:color w:val="1F497D" w:themeColor="text2"/>
      <w:sz w:val="32"/>
      <w:szCs w:val="28"/>
    </w:rPr>
  </w:style>
  <w:style w:type="paragraph" w:styleId="TableofFigures">
    <w:name w:val="table of figures"/>
    <w:basedOn w:val="Normal"/>
    <w:next w:val="Normal"/>
    <w:uiPriority w:val="99"/>
    <w:unhideWhenUsed/>
    <w:rsid w:val="00284070"/>
    <w:pPr>
      <w:spacing w:after="0"/>
      <w:ind w:left="1321" w:hanging="1321"/>
      <w:jc w:val="left"/>
    </w:pPr>
    <w:rPr>
      <w:color w:val="000000" w:themeColor="text1"/>
    </w:rPr>
  </w:style>
  <w:style w:type="paragraph" w:styleId="CommentSubject">
    <w:name w:val="annotation subject"/>
    <w:basedOn w:val="CommentText"/>
    <w:next w:val="CommentText"/>
    <w:link w:val="CommentSubjectChar"/>
    <w:uiPriority w:val="99"/>
    <w:semiHidden/>
    <w:unhideWhenUsed/>
    <w:rsid w:val="006738DD"/>
    <w:pPr>
      <w:spacing w:after="200"/>
    </w:pPr>
    <w:rPr>
      <w:rFonts w:eastAsiaTheme="minorHAnsi" w:cstheme="minorBidi"/>
      <w:b/>
      <w:bCs/>
    </w:rPr>
  </w:style>
  <w:style w:type="character" w:customStyle="1" w:styleId="CommentSubjectChar">
    <w:name w:val="Comment Subject Char"/>
    <w:basedOn w:val="CommentTextChar"/>
    <w:link w:val="CommentSubject"/>
    <w:uiPriority w:val="99"/>
    <w:semiHidden/>
    <w:rsid w:val="006738DD"/>
    <w:rPr>
      <w:rFonts w:ascii="Times New Roman" w:eastAsia="Times New Roman" w:hAnsi="Times New Roman" w:cs="Times New Roman"/>
      <w:b/>
      <w:bCs/>
      <w:sz w:val="20"/>
      <w:szCs w:val="20"/>
    </w:rPr>
  </w:style>
  <w:style w:type="paragraph" w:customStyle="1" w:styleId="AnatecNonContentsHeading">
    <w:name w:val="Anatec Non Contents Heading"/>
    <w:basedOn w:val="AnatecHeading"/>
    <w:link w:val="AnatecNonContentsHeadingChar"/>
    <w:uiPriority w:val="1"/>
    <w:rsid w:val="00692A7F"/>
    <w:pPr>
      <w:jc w:val="center"/>
    </w:pPr>
  </w:style>
  <w:style w:type="character" w:customStyle="1" w:styleId="AnatecNonContentsHeadingChar">
    <w:name w:val="Anatec Non Contents Heading Char"/>
    <w:basedOn w:val="AnatecHeadingChar"/>
    <w:link w:val="AnatecNonContentsHeading"/>
    <w:uiPriority w:val="1"/>
    <w:rsid w:val="005111D4"/>
    <w:rPr>
      <w:rFonts w:eastAsiaTheme="majorEastAsia" w:cstheme="majorBidi"/>
      <w:b/>
      <w:bCs/>
      <w:color w:val="1F497D" w:themeColor="text2"/>
      <w:sz w:val="32"/>
      <w:szCs w:val="28"/>
    </w:rPr>
  </w:style>
  <w:style w:type="paragraph" w:customStyle="1" w:styleId="AnatecBullet">
    <w:name w:val="Anatec Bullet"/>
    <w:basedOn w:val="Normal"/>
    <w:link w:val="AnatecBulletChar"/>
    <w:uiPriority w:val="99"/>
    <w:qFormat/>
    <w:rsid w:val="00153957"/>
    <w:pPr>
      <w:numPr>
        <w:numId w:val="6"/>
      </w:numPr>
      <w:contextualSpacing/>
    </w:pPr>
  </w:style>
  <w:style w:type="character" w:customStyle="1" w:styleId="AnatecBulletChar">
    <w:name w:val="Anatec Bullet Char"/>
    <w:basedOn w:val="DefaultParagraphFont"/>
    <w:link w:val="AnatecBullet"/>
    <w:uiPriority w:val="99"/>
    <w:rsid w:val="00153957"/>
    <w:rPr>
      <w:sz w:val="24"/>
    </w:rPr>
  </w:style>
  <w:style w:type="paragraph" w:styleId="NormalWeb">
    <w:name w:val="Normal (Web)"/>
    <w:basedOn w:val="Normal"/>
    <w:uiPriority w:val="99"/>
    <w:semiHidden/>
    <w:unhideWhenUsed/>
    <w:rsid w:val="007F4840"/>
    <w:pPr>
      <w:spacing w:before="100" w:beforeAutospacing="1" w:after="100" w:afterAutospacing="1"/>
      <w:jc w:val="left"/>
    </w:pPr>
    <w:rPr>
      <w:rFonts w:ascii="Times New Roman" w:eastAsia="Times New Roman" w:hAnsi="Times New Roman" w:cs="Times New Roman"/>
      <w:szCs w:val="24"/>
      <w:lang w:eastAsia="en-GB"/>
    </w:rPr>
  </w:style>
  <w:style w:type="paragraph" w:styleId="EndnoteText">
    <w:name w:val="endnote text"/>
    <w:basedOn w:val="Normal"/>
    <w:link w:val="EndnoteTextChar"/>
    <w:uiPriority w:val="99"/>
    <w:unhideWhenUsed/>
    <w:rsid w:val="005F1277"/>
    <w:pPr>
      <w:spacing w:after="0"/>
    </w:pPr>
    <w:rPr>
      <w:szCs w:val="20"/>
    </w:rPr>
  </w:style>
  <w:style w:type="character" w:customStyle="1" w:styleId="EndnoteTextChar">
    <w:name w:val="Endnote Text Char"/>
    <w:basedOn w:val="DefaultParagraphFont"/>
    <w:link w:val="EndnoteText"/>
    <w:uiPriority w:val="99"/>
    <w:rsid w:val="005F1277"/>
    <w:rPr>
      <w:sz w:val="24"/>
      <w:szCs w:val="20"/>
    </w:rPr>
  </w:style>
  <w:style w:type="character" w:styleId="EndnoteReference">
    <w:name w:val="endnote reference"/>
    <w:basedOn w:val="DefaultParagraphFont"/>
    <w:uiPriority w:val="99"/>
    <w:semiHidden/>
    <w:unhideWhenUsed/>
    <w:rsid w:val="005F1277"/>
    <w:rPr>
      <w:rFonts w:ascii="Calibri" w:hAnsi="Calibri"/>
      <w:strike w:val="0"/>
      <w:dstrike w:val="0"/>
      <w:color w:val="auto"/>
      <w:sz w:val="24"/>
      <w:vertAlign w:val="baseline"/>
    </w:rPr>
  </w:style>
  <w:style w:type="table" w:styleId="LightGrid-Accent1">
    <w:name w:val="Light Grid Accent 1"/>
    <w:basedOn w:val="TableNormal"/>
    <w:uiPriority w:val="62"/>
    <w:rsid w:val="0033115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Revision">
    <w:name w:val="Revision"/>
    <w:hidden/>
    <w:uiPriority w:val="99"/>
    <w:semiHidden/>
    <w:rsid w:val="009E03B5"/>
    <w:pPr>
      <w:spacing w:after="0" w:line="240" w:lineRule="auto"/>
    </w:pPr>
    <w:rPr>
      <w:sz w:val="24"/>
    </w:rPr>
  </w:style>
  <w:style w:type="paragraph" w:customStyle="1" w:styleId="AnatecTableBullet">
    <w:name w:val="Anatec Table Bullet"/>
    <w:basedOn w:val="AnatecBullet"/>
    <w:link w:val="AnatecTableBulletChar"/>
    <w:uiPriority w:val="99"/>
    <w:qFormat/>
    <w:rsid w:val="0012179D"/>
    <w:pPr>
      <w:spacing w:after="0"/>
      <w:ind w:left="509"/>
    </w:pPr>
    <w:rPr>
      <w:color w:val="000000" w:themeColor="text1"/>
    </w:rPr>
  </w:style>
  <w:style w:type="character" w:customStyle="1" w:styleId="AnatecTableBulletChar">
    <w:name w:val="Anatec Table Bullet Char"/>
    <w:basedOn w:val="AnatecBulletChar"/>
    <w:link w:val="AnatecTableBullet"/>
    <w:uiPriority w:val="99"/>
    <w:rsid w:val="005111D4"/>
    <w:rPr>
      <w:color w:val="000000" w:themeColor="text1"/>
      <w:sz w:val="24"/>
    </w:rPr>
  </w:style>
  <w:style w:type="table" w:styleId="ListTable4-Accent5">
    <w:name w:val="List Table 4 Accent 5"/>
    <w:basedOn w:val="TableNormal"/>
    <w:uiPriority w:val="49"/>
    <w:rsid w:val="00C917E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C917E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2">
    <w:name w:val="List Table 3 Accent 2"/>
    <w:basedOn w:val="TableNormal"/>
    <w:uiPriority w:val="48"/>
    <w:rsid w:val="006F3BF9"/>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AnatecTable">
    <w:name w:val="Anatec_Table"/>
    <w:basedOn w:val="TableNormal"/>
    <w:uiPriority w:val="99"/>
    <w:rsid w:val="00234249"/>
    <w:pPr>
      <w:spacing w:after="0" w:line="240" w:lineRule="auto"/>
    </w:pPr>
    <w:rPr>
      <w:color w:val="000000" w:themeColor="text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Pr>
    <w:tcPr>
      <w:vAlign w:val="center"/>
    </w:tcPr>
    <w:tblStylePr w:type="firstRow">
      <w:rPr>
        <w:b/>
      </w:rPr>
      <w:tblPr/>
      <w:trPr>
        <w:tblHeader/>
      </w:trPr>
      <w:tcPr>
        <w:shd w:val="clear" w:color="auto" w:fill="95B3D7" w:themeFill="accent1" w:themeFillTint="99"/>
      </w:tcPr>
    </w:tblStylePr>
    <w:tblStylePr w:type="lastRow">
      <w:rPr>
        <w:b/>
      </w:rPr>
    </w:tblStylePr>
  </w:style>
  <w:style w:type="paragraph" w:customStyle="1" w:styleId="AnatecAppendixHeading1">
    <w:name w:val="Anatec Appendix Heading 1"/>
    <w:basedOn w:val="Normal"/>
    <w:next w:val="Normal"/>
    <w:link w:val="AnatecAppendixHeading1Char"/>
    <w:uiPriority w:val="5"/>
    <w:qFormat/>
    <w:rsid w:val="00BA4B83"/>
    <w:pPr>
      <w:keepNext/>
      <w:keepLines/>
      <w:pageBreakBefore/>
      <w:numPr>
        <w:numId w:val="20"/>
      </w:numPr>
      <w:outlineLvl w:val="0"/>
    </w:pPr>
    <w:rPr>
      <w:b/>
      <w:color w:val="1F497D" w:themeColor="text2"/>
      <w:sz w:val="32"/>
    </w:rPr>
  </w:style>
  <w:style w:type="paragraph" w:customStyle="1" w:styleId="AnatecAppendixHeading2">
    <w:name w:val="Anatec Appendix Heading 2"/>
    <w:basedOn w:val="Normal"/>
    <w:next w:val="Normal"/>
    <w:uiPriority w:val="5"/>
    <w:qFormat/>
    <w:rsid w:val="006056D3"/>
    <w:pPr>
      <w:keepNext/>
      <w:keepLines/>
      <w:numPr>
        <w:ilvl w:val="1"/>
        <w:numId w:val="20"/>
      </w:numPr>
      <w:outlineLvl w:val="1"/>
    </w:pPr>
    <w:rPr>
      <w:b/>
      <w:color w:val="1F497D" w:themeColor="text2"/>
      <w:sz w:val="28"/>
    </w:rPr>
  </w:style>
  <w:style w:type="paragraph" w:customStyle="1" w:styleId="AnatecAppendixHeading3">
    <w:name w:val="Anatec Appendix Heading 3"/>
    <w:basedOn w:val="AnatecAppendixHeading2"/>
    <w:uiPriority w:val="5"/>
    <w:qFormat/>
    <w:rsid w:val="006056D3"/>
    <w:pPr>
      <w:numPr>
        <w:ilvl w:val="2"/>
      </w:numPr>
      <w:outlineLvl w:val="2"/>
    </w:pPr>
    <w:rPr>
      <w:sz w:val="24"/>
    </w:rPr>
  </w:style>
  <w:style w:type="paragraph" w:customStyle="1" w:styleId="AnatecAppendixHeading4">
    <w:name w:val="Anatec Appendix Heading 4"/>
    <w:basedOn w:val="Normal"/>
    <w:next w:val="Normal"/>
    <w:uiPriority w:val="5"/>
    <w:qFormat/>
    <w:rsid w:val="006056D3"/>
    <w:pPr>
      <w:keepNext/>
      <w:keepLines/>
      <w:numPr>
        <w:ilvl w:val="3"/>
        <w:numId w:val="20"/>
      </w:numPr>
      <w:outlineLvl w:val="3"/>
    </w:pPr>
    <w:rPr>
      <w:b/>
      <w:color w:val="1F497D" w:themeColor="text2"/>
    </w:rPr>
  </w:style>
  <w:style w:type="paragraph" w:customStyle="1" w:styleId="AnatecAppendixFigureCaption">
    <w:name w:val="Anatec Appendix Figure Caption"/>
    <w:basedOn w:val="Normal"/>
    <w:next w:val="Normal"/>
    <w:uiPriority w:val="6"/>
    <w:qFormat/>
    <w:rsid w:val="002A139C"/>
    <w:pPr>
      <w:numPr>
        <w:ilvl w:val="4"/>
        <w:numId w:val="20"/>
      </w:numPr>
      <w:spacing w:after="120"/>
      <w:ind w:left="1418" w:hanging="1418"/>
    </w:pPr>
    <w:rPr>
      <w:b/>
      <w:color w:val="1F497D" w:themeColor="text2"/>
    </w:rPr>
  </w:style>
  <w:style w:type="paragraph" w:customStyle="1" w:styleId="AnatecAppendixTableCaption">
    <w:name w:val="Anatec Appendix Table Caption"/>
    <w:basedOn w:val="Normal"/>
    <w:next w:val="Normal"/>
    <w:uiPriority w:val="6"/>
    <w:qFormat/>
    <w:rsid w:val="002A139C"/>
    <w:pPr>
      <w:numPr>
        <w:ilvl w:val="5"/>
        <w:numId w:val="20"/>
      </w:numPr>
      <w:spacing w:after="120"/>
      <w:ind w:left="1418" w:hanging="1418"/>
    </w:pPr>
    <w:rPr>
      <w:b/>
      <w:color w:val="1F497D" w:themeColor="text2"/>
    </w:rPr>
  </w:style>
  <w:style w:type="paragraph" w:customStyle="1" w:styleId="AnatecNormalNumbered">
    <w:name w:val="Anatec Normal Numbered"/>
    <w:basedOn w:val="Normal"/>
    <w:uiPriority w:val="1"/>
    <w:qFormat/>
    <w:rsid w:val="00E97EC8"/>
    <w:pPr>
      <w:numPr>
        <w:numId w:val="23"/>
      </w:numPr>
      <w:ind w:left="851" w:hanging="851"/>
    </w:pPr>
  </w:style>
  <w:style w:type="character" w:customStyle="1" w:styleId="AnatecAppendixHeading1Char">
    <w:name w:val="Anatec Appendix Heading 1 Char"/>
    <w:basedOn w:val="DefaultParagraphFont"/>
    <w:link w:val="AnatecAppendixHeading1"/>
    <w:uiPriority w:val="5"/>
    <w:rsid w:val="006B28FC"/>
    <w:rPr>
      <w:b/>
      <w:color w:val="1F497D" w:themeColor="text2"/>
      <w:sz w:val="32"/>
    </w:rPr>
  </w:style>
  <w:style w:type="paragraph" w:styleId="FootnoteText">
    <w:name w:val="footnote text"/>
    <w:basedOn w:val="Normal"/>
    <w:link w:val="FootnoteTextChar"/>
    <w:uiPriority w:val="99"/>
    <w:semiHidden/>
    <w:unhideWhenUsed/>
    <w:rsid w:val="00A404D6"/>
    <w:pPr>
      <w:spacing w:after="0"/>
    </w:pPr>
    <w:rPr>
      <w:sz w:val="20"/>
      <w:szCs w:val="20"/>
    </w:rPr>
  </w:style>
  <w:style w:type="character" w:customStyle="1" w:styleId="FootnoteTextChar">
    <w:name w:val="Footnote Text Char"/>
    <w:basedOn w:val="DefaultParagraphFont"/>
    <w:link w:val="FootnoteText"/>
    <w:uiPriority w:val="99"/>
    <w:semiHidden/>
    <w:rsid w:val="00A404D6"/>
    <w:rPr>
      <w:sz w:val="20"/>
      <w:szCs w:val="20"/>
    </w:rPr>
  </w:style>
  <w:style w:type="character" w:styleId="FootnoteReference">
    <w:name w:val="footnote reference"/>
    <w:basedOn w:val="DefaultParagraphFont"/>
    <w:uiPriority w:val="99"/>
    <w:semiHidden/>
    <w:unhideWhenUsed/>
    <w:rsid w:val="00A404D6"/>
    <w:rPr>
      <w:vertAlign w:val="superscript"/>
    </w:rPr>
  </w:style>
  <w:style w:type="table" w:customStyle="1" w:styleId="AnatecTableMultiHeader">
    <w:name w:val="Anatec_Table_MultiHeader"/>
    <w:basedOn w:val="TableNormal"/>
    <w:uiPriority w:val="99"/>
    <w:rsid w:val="00E870C4"/>
    <w:pPr>
      <w:spacing w:after="0" w:line="240" w:lineRule="auto"/>
    </w:pPr>
    <w:rPr>
      <w:sz w:val="24"/>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trPr>
      <w:cantSplit/>
      <w:jc w:val="center"/>
    </w:trPr>
    <w:tcPr>
      <w:tcMar>
        <w:top w:w="57" w:type="dxa"/>
        <w:left w:w="57" w:type="dxa"/>
        <w:bottom w:w="57" w:type="dxa"/>
        <w:right w:w="57" w:type="dxa"/>
      </w:tcMar>
      <w:vAlign w:val="center"/>
    </w:tcPr>
    <w:tblStylePr w:type="firstRow">
      <w:rPr>
        <w:b/>
      </w:rPr>
      <w:tblPr/>
      <w:trPr>
        <w:cantSplit w:val="0"/>
      </w:trPr>
      <w:tcPr>
        <w:tcBorders>
          <w:top w:val="single" w:sz="6" w:space="0" w:color="auto"/>
          <w:left w:val="single" w:sz="2" w:space="0" w:color="auto"/>
          <w:bottom w:val="single" w:sz="2" w:space="0" w:color="auto"/>
          <w:right w:val="single" w:sz="2" w:space="0" w:color="auto"/>
          <w:insideH w:val="nil"/>
          <w:insideV w:val="single" w:sz="2" w:space="0" w:color="auto"/>
          <w:tl2br w:val="nil"/>
          <w:tr2bl w:val="nil"/>
        </w:tcBorders>
        <w:shd w:val="clear" w:color="auto" w:fill="95B3D7" w:themeFill="accent1" w:themeFillTint="99"/>
      </w:tcPr>
    </w:tblStylePr>
  </w:style>
  <w:style w:type="paragraph" w:styleId="ListParagraph">
    <w:name w:val="List Paragraph"/>
    <w:basedOn w:val="Normal"/>
    <w:uiPriority w:val="34"/>
    <w:rsid w:val="00CC67CD"/>
    <w:pPr>
      <w:ind w:left="720"/>
      <w:contextualSpacing/>
    </w:pPr>
  </w:style>
  <w:style w:type="character" w:styleId="UnresolvedMention">
    <w:name w:val="Unresolved Mention"/>
    <w:basedOn w:val="DefaultParagraphFont"/>
    <w:uiPriority w:val="99"/>
    <w:semiHidden/>
    <w:unhideWhenUsed/>
    <w:rsid w:val="00967C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1295960">
      <w:bodyDiv w:val="1"/>
      <w:marLeft w:val="0"/>
      <w:marRight w:val="0"/>
      <w:marTop w:val="0"/>
      <w:marBottom w:val="0"/>
      <w:divBdr>
        <w:top w:val="none" w:sz="0" w:space="0" w:color="auto"/>
        <w:left w:val="none" w:sz="0" w:space="0" w:color="auto"/>
        <w:bottom w:val="none" w:sz="0" w:space="0" w:color="auto"/>
        <w:right w:val="none" w:sz="0" w:space="0" w:color="auto"/>
      </w:divBdr>
    </w:div>
    <w:div w:id="167202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21" Type="http://schemas.openxmlformats.org/officeDocument/2006/relationships/image" Target="media/image9.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image" Target="media/image13.png"/><Relationship Id="rId33" Type="http://schemas.microsoft.com/office/2018/08/relationships/commentsExtensible" Target="commentsExtensible.xml"/><Relationship Id="rId38"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microsoft.com/office/2016/09/relationships/commentsIds" Target="commentsIds.xml"/><Relationship Id="rId37"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microsoft.com/office/2011/relationships/commentsExtended" Target="commentsExtended.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comments" Target="comments.xml"/><Relationship Id="rId35" Type="http://schemas.microsoft.com/office/2011/relationships/people" Target="people.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mes\Anatec%20Limited\Internal%20-%20Documents\Templates\Word\Anatec%20Document%20Template%20-%20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4767c23-a9a6-4c65-9833-d699c4dbffae">
      <Terms xmlns="http://schemas.microsoft.com/office/infopath/2007/PartnerControls"/>
    </lcf76f155ced4ddcb4097134ff3c332f>
    <TaxCatchAll xmlns="859f7ad6-93f6-4205-b62b-a17f28acbbac" xsi:nil="true"/>
    <Site_x0020_Name xmlns="859f7ad6-93f6-4205-b62b-a17f28acbbac">HyNet Carbon Dioxide Transportation and Storage Project - Offshore</Site_x0020_Name>
    <Internal_x002f_External xmlns="859f7ad6-93f6-4205-b62b-a17f28acbbac">Incoming document</Internal_x002f_External>
    <Post_x0020_code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 xsi:nil="true"/>
    <Disclosure_x0020_Status xmlns="859f7ad6-93f6-4205-b62b-a17f28acbbac">Public register</Disclosure_x0020_Status>
    <Marine_x0020_Licence_x0020_Type xmlns="6e121689-de5b-41b9-a751-bfeda7fa2b07" xsi:nil="true"/>
    <Addressee xmlns="859f7ad6-93f6-4205-b62b-a17f28acbbac">Eni House, 10 Ebury Bridge Road, London, SW1W 8PZ</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2026-05-25T23:00:00+00:00</Document_x0020_Date>
    <Facility_x0020_Address xmlns="859f7ad6-93f6-4205-b62b-a17f28acbbac">North Wales</Facility_x0020_Address>
    <Environment_x0020_Sub_x0020_Folder xmlns="859f7ad6-93f6-4205-b62b-a17f28acbbac">Post licence compliance</Environment_x0020_Sub_x0020_Folder>
    <Customer_x0020_Name xmlns="859f7ad6-93f6-4205-b62b-a17f28acbbac">Liverpool Bay CCS Limited</Customer_x0020_Name>
    <Surrendered_x002f_Expired_x0020_Date xmlns="859f7ad6-93f6-4205-b62b-a17f28acbbac" xsi:nil="true"/>
    <_dlc_DocId xmlns="9be56660-2c31-41ef-bc00-23e72f632f2a">REGU-872971037-4754</_dlc_DocId>
    <_dlc_DocIdUrl xmlns="9be56660-2c31-41ef-bc00-23e72f632f2a">
      <Url>https://cyfoethnaturiolcymru.sharepoint.com/teams/Regulatory/Permitting/ml/_layouts/15/DocIdRedir.aspx?ID=REGU-872971037-4754</Url>
      <Description>REGU-872971037-4754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89" ma:contentTypeDescription="Permitting &amp; Compliance Word Document" ma:contentTypeScope="" ma:versionID="26bf1fa1147553f763ae1e670658aa39">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targetNamespace="http://schemas.microsoft.com/office/2006/metadata/properties" ma:root="true" ma:fieldsID="2890d4a8eb79cfe2e2c20b4221c7cda0" ns2:_="" ns4:_="" ns5:_="" ns6:_="" ns7:_="">
    <xsd:import namespace="859f7ad6-93f6-4205-b62b-a17f28acbbac"/>
    <xsd:import namespace="9be56660-2c31-41ef-bc00-23e72f632f2a"/>
    <xsd:import namespace="622d3635-28fe-4580-8193-835172c5e96d"/>
    <xsd:import namespace="f4767c23-a9a6-4c65-9833-d699c4dbffa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6:MediaServiceSearchProperties" minOccurs="0"/>
                <xsd:element ref="ns7:Marine_x0020_Licence_x0020_Typ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element name="MediaServiceSearchProperties" ma:index="3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Marine_x0020_Licence_x0020_Type" ma:index="39" nillable="true" ma:displayName="Marine Licence Application Type" ma:format="Dropdown" ma:internalName="Marine_x0020_Licence_x0020_Type_x0020__x002a_">
      <xsd:simpleType>
        <xsd:restriction base="dms:Choice">
          <xsd:enumeration value="Band 1"/>
          <xsd:enumeration value="Band 2"/>
          <xsd:enumeration value="Band 3"/>
          <xsd:enumeration value="Band 3 EIA"/>
          <xsd:enumeration value="OSPAR returns"/>
          <xsd:enumeration value="Pre-App advice"/>
          <xsd:enumeration value="Screening"/>
          <xsd:enumeration value="Scoping"/>
          <xsd:enumeration value="Screening and Scoping"/>
          <xsd:enumeration value="Sample Plan"/>
          <xsd:enumeration value="Returned / Withdrawn Application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Props1.xml><?xml version="1.0" encoding="utf-8"?>
<ds:datastoreItem xmlns:ds="http://schemas.openxmlformats.org/officeDocument/2006/customXml" ds:itemID="{1A92F2DD-BB0E-436C-9334-F2B1AB4B837D}">
  <ds:schemaRefs>
    <ds:schemaRef ds:uri="http://schemas.microsoft.com/office/2006/metadata/properties"/>
    <ds:schemaRef ds:uri="http://schemas.microsoft.com/office/infopath/2007/PartnerControls"/>
    <ds:schemaRef ds:uri="1b276691-7e21-4ba0-93d8-67db65506dde"/>
    <ds:schemaRef ds:uri="f94b111f-93f6-47f4-a10d-0a318e948b38"/>
  </ds:schemaRefs>
</ds:datastoreItem>
</file>

<file path=customXml/itemProps2.xml><?xml version="1.0" encoding="utf-8"?>
<ds:datastoreItem xmlns:ds="http://schemas.openxmlformats.org/officeDocument/2006/customXml" ds:itemID="{2C7642BF-42D7-49A2-9A7F-F3077179196C}"/>
</file>

<file path=customXml/itemProps3.xml><?xml version="1.0" encoding="utf-8"?>
<ds:datastoreItem xmlns:ds="http://schemas.openxmlformats.org/officeDocument/2006/customXml" ds:itemID="{D8A8421B-B837-4C45-94D6-655C4F125B0A}">
  <ds:schemaRefs>
    <ds:schemaRef ds:uri="http://schemas.openxmlformats.org/officeDocument/2006/bibliography"/>
  </ds:schemaRefs>
</ds:datastoreItem>
</file>

<file path=customXml/itemProps4.xml><?xml version="1.0" encoding="utf-8"?>
<ds:datastoreItem xmlns:ds="http://schemas.openxmlformats.org/officeDocument/2006/customXml" ds:itemID="{979035E3-D418-4DB9-926E-0F45043C9F73}">
  <ds:schemaRefs>
    <ds:schemaRef ds:uri="http://schemas.microsoft.com/sharepoint/v3/contenttype/forms"/>
  </ds:schemaRefs>
</ds:datastoreItem>
</file>

<file path=customXml/itemProps5.xml><?xml version="1.0" encoding="utf-8"?>
<ds:datastoreItem xmlns:ds="http://schemas.openxmlformats.org/officeDocument/2006/customXml" ds:itemID="{576F4DAC-EC7A-4972-996D-1B800CBF5951}"/>
</file>

<file path=customXml/itemProps6.xml><?xml version="1.0" encoding="utf-8"?>
<ds:datastoreItem xmlns:ds="http://schemas.openxmlformats.org/officeDocument/2006/customXml" ds:itemID="{B7A21AC0-4D1B-426C-ACBC-EDD363277DD5}"/>
</file>

<file path=docProps/app.xml><?xml version="1.0" encoding="utf-8"?>
<Properties xmlns="http://schemas.openxmlformats.org/officeDocument/2006/extended-properties" xmlns:vt="http://schemas.openxmlformats.org/officeDocument/2006/docPropsVTypes">
  <Template>Anatec Document Template - 2022</Template>
  <TotalTime>0</TotalTime>
  <Pages>25</Pages>
  <Words>5208</Words>
  <Characters>29689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Anatec Ltd.</Company>
  <LinksUpToDate>false</LinksUpToDate>
  <CharactersWithSpaces>34828</CharactersWithSpaces>
  <SharedDoc>false</SharedDoc>
  <HLinks>
    <vt:vector size="240" baseType="variant">
      <vt:variant>
        <vt:i4>1048631</vt:i4>
      </vt:variant>
      <vt:variant>
        <vt:i4>230</vt:i4>
      </vt:variant>
      <vt:variant>
        <vt:i4>0</vt:i4>
      </vt:variant>
      <vt:variant>
        <vt:i4>5</vt:i4>
      </vt:variant>
      <vt:variant>
        <vt:lpwstr/>
      </vt:variant>
      <vt:variant>
        <vt:lpwstr>_Toc230334631</vt:lpwstr>
      </vt:variant>
      <vt:variant>
        <vt:i4>1835058</vt:i4>
      </vt:variant>
      <vt:variant>
        <vt:i4>221</vt:i4>
      </vt:variant>
      <vt:variant>
        <vt:i4>0</vt:i4>
      </vt:variant>
      <vt:variant>
        <vt:i4>5</vt:i4>
      </vt:variant>
      <vt:variant>
        <vt:lpwstr/>
      </vt:variant>
      <vt:variant>
        <vt:lpwstr>_Toc230100090</vt:lpwstr>
      </vt:variant>
      <vt:variant>
        <vt:i4>1900594</vt:i4>
      </vt:variant>
      <vt:variant>
        <vt:i4>215</vt:i4>
      </vt:variant>
      <vt:variant>
        <vt:i4>0</vt:i4>
      </vt:variant>
      <vt:variant>
        <vt:i4>5</vt:i4>
      </vt:variant>
      <vt:variant>
        <vt:lpwstr/>
      </vt:variant>
      <vt:variant>
        <vt:lpwstr>_Toc230100089</vt:lpwstr>
      </vt:variant>
      <vt:variant>
        <vt:i4>1900594</vt:i4>
      </vt:variant>
      <vt:variant>
        <vt:i4>209</vt:i4>
      </vt:variant>
      <vt:variant>
        <vt:i4>0</vt:i4>
      </vt:variant>
      <vt:variant>
        <vt:i4>5</vt:i4>
      </vt:variant>
      <vt:variant>
        <vt:lpwstr/>
      </vt:variant>
      <vt:variant>
        <vt:lpwstr>_Toc230100088</vt:lpwstr>
      </vt:variant>
      <vt:variant>
        <vt:i4>1900594</vt:i4>
      </vt:variant>
      <vt:variant>
        <vt:i4>203</vt:i4>
      </vt:variant>
      <vt:variant>
        <vt:i4>0</vt:i4>
      </vt:variant>
      <vt:variant>
        <vt:i4>5</vt:i4>
      </vt:variant>
      <vt:variant>
        <vt:lpwstr/>
      </vt:variant>
      <vt:variant>
        <vt:lpwstr>_Toc230100087</vt:lpwstr>
      </vt:variant>
      <vt:variant>
        <vt:i4>1900594</vt:i4>
      </vt:variant>
      <vt:variant>
        <vt:i4>197</vt:i4>
      </vt:variant>
      <vt:variant>
        <vt:i4>0</vt:i4>
      </vt:variant>
      <vt:variant>
        <vt:i4>5</vt:i4>
      </vt:variant>
      <vt:variant>
        <vt:lpwstr/>
      </vt:variant>
      <vt:variant>
        <vt:lpwstr>_Toc230100086</vt:lpwstr>
      </vt:variant>
      <vt:variant>
        <vt:i4>1900594</vt:i4>
      </vt:variant>
      <vt:variant>
        <vt:i4>191</vt:i4>
      </vt:variant>
      <vt:variant>
        <vt:i4>0</vt:i4>
      </vt:variant>
      <vt:variant>
        <vt:i4>5</vt:i4>
      </vt:variant>
      <vt:variant>
        <vt:lpwstr/>
      </vt:variant>
      <vt:variant>
        <vt:lpwstr>_Toc230100085</vt:lpwstr>
      </vt:variant>
      <vt:variant>
        <vt:i4>1900594</vt:i4>
      </vt:variant>
      <vt:variant>
        <vt:i4>185</vt:i4>
      </vt:variant>
      <vt:variant>
        <vt:i4>0</vt:i4>
      </vt:variant>
      <vt:variant>
        <vt:i4>5</vt:i4>
      </vt:variant>
      <vt:variant>
        <vt:lpwstr/>
      </vt:variant>
      <vt:variant>
        <vt:lpwstr>_Toc230100084</vt:lpwstr>
      </vt:variant>
      <vt:variant>
        <vt:i4>1900594</vt:i4>
      </vt:variant>
      <vt:variant>
        <vt:i4>179</vt:i4>
      </vt:variant>
      <vt:variant>
        <vt:i4>0</vt:i4>
      </vt:variant>
      <vt:variant>
        <vt:i4>5</vt:i4>
      </vt:variant>
      <vt:variant>
        <vt:lpwstr/>
      </vt:variant>
      <vt:variant>
        <vt:lpwstr>_Toc230100083</vt:lpwstr>
      </vt:variant>
      <vt:variant>
        <vt:i4>1900594</vt:i4>
      </vt:variant>
      <vt:variant>
        <vt:i4>173</vt:i4>
      </vt:variant>
      <vt:variant>
        <vt:i4>0</vt:i4>
      </vt:variant>
      <vt:variant>
        <vt:i4>5</vt:i4>
      </vt:variant>
      <vt:variant>
        <vt:lpwstr/>
      </vt:variant>
      <vt:variant>
        <vt:lpwstr>_Toc230100082</vt:lpwstr>
      </vt:variant>
      <vt:variant>
        <vt:i4>1900594</vt:i4>
      </vt:variant>
      <vt:variant>
        <vt:i4>167</vt:i4>
      </vt:variant>
      <vt:variant>
        <vt:i4>0</vt:i4>
      </vt:variant>
      <vt:variant>
        <vt:i4>5</vt:i4>
      </vt:variant>
      <vt:variant>
        <vt:lpwstr/>
      </vt:variant>
      <vt:variant>
        <vt:lpwstr>_Toc230100081</vt:lpwstr>
      </vt:variant>
      <vt:variant>
        <vt:i4>1900594</vt:i4>
      </vt:variant>
      <vt:variant>
        <vt:i4>161</vt:i4>
      </vt:variant>
      <vt:variant>
        <vt:i4>0</vt:i4>
      </vt:variant>
      <vt:variant>
        <vt:i4>5</vt:i4>
      </vt:variant>
      <vt:variant>
        <vt:lpwstr/>
      </vt:variant>
      <vt:variant>
        <vt:lpwstr>_Toc230100080</vt:lpwstr>
      </vt:variant>
      <vt:variant>
        <vt:i4>1179698</vt:i4>
      </vt:variant>
      <vt:variant>
        <vt:i4>155</vt:i4>
      </vt:variant>
      <vt:variant>
        <vt:i4>0</vt:i4>
      </vt:variant>
      <vt:variant>
        <vt:i4>5</vt:i4>
      </vt:variant>
      <vt:variant>
        <vt:lpwstr/>
      </vt:variant>
      <vt:variant>
        <vt:lpwstr>_Toc230100079</vt:lpwstr>
      </vt:variant>
      <vt:variant>
        <vt:i4>1179698</vt:i4>
      </vt:variant>
      <vt:variant>
        <vt:i4>149</vt:i4>
      </vt:variant>
      <vt:variant>
        <vt:i4>0</vt:i4>
      </vt:variant>
      <vt:variant>
        <vt:i4>5</vt:i4>
      </vt:variant>
      <vt:variant>
        <vt:lpwstr/>
      </vt:variant>
      <vt:variant>
        <vt:lpwstr>_Toc230100078</vt:lpwstr>
      </vt:variant>
      <vt:variant>
        <vt:i4>1179698</vt:i4>
      </vt:variant>
      <vt:variant>
        <vt:i4>143</vt:i4>
      </vt:variant>
      <vt:variant>
        <vt:i4>0</vt:i4>
      </vt:variant>
      <vt:variant>
        <vt:i4>5</vt:i4>
      </vt:variant>
      <vt:variant>
        <vt:lpwstr/>
      </vt:variant>
      <vt:variant>
        <vt:lpwstr>_Toc230100077</vt:lpwstr>
      </vt:variant>
      <vt:variant>
        <vt:i4>1179698</vt:i4>
      </vt:variant>
      <vt:variant>
        <vt:i4>137</vt:i4>
      </vt:variant>
      <vt:variant>
        <vt:i4>0</vt:i4>
      </vt:variant>
      <vt:variant>
        <vt:i4>5</vt:i4>
      </vt:variant>
      <vt:variant>
        <vt:lpwstr/>
      </vt:variant>
      <vt:variant>
        <vt:lpwstr>_Toc230100076</vt:lpwstr>
      </vt:variant>
      <vt:variant>
        <vt:i4>1179698</vt:i4>
      </vt:variant>
      <vt:variant>
        <vt:i4>131</vt:i4>
      </vt:variant>
      <vt:variant>
        <vt:i4>0</vt:i4>
      </vt:variant>
      <vt:variant>
        <vt:i4>5</vt:i4>
      </vt:variant>
      <vt:variant>
        <vt:lpwstr/>
      </vt:variant>
      <vt:variant>
        <vt:lpwstr>_Toc230100075</vt:lpwstr>
      </vt:variant>
      <vt:variant>
        <vt:i4>1179698</vt:i4>
      </vt:variant>
      <vt:variant>
        <vt:i4>122</vt:i4>
      </vt:variant>
      <vt:variant>
        <vt:i4>0</vt:i4>
      </vt:variant>
      <vt:variant>
        <vt:i4>5</vt:i4>
      </vt:variant>
      <vt:variant>
        <vt:lpwstr/>
      </vt:variant>
      <vt:variant>
        <vt:lpwstr>_Toc230100074</vt:lpwstr>
      </vt:variant>
      <vt:variant>
        <vt:i4>1179698</vt:i4>
      </vt:variant>
      <vt:variant>
        <vt:i4>116</vt:i4>
      </vt:variant>
      <vt:variant>
        <vt:i4>0</vt:i4>
      </vt:variant>
      <vt:variant>
        <vt:i4>5</vt:i4>
      </vt:variant>
      <vt:variant>
        <vt:lpwstr/>
      </vt:variant>
      <vt:variant>
        <vt:lpwstr>_Toc230100073</vt:lpwstr>
      </vt:variant>
      <vt:variant>
        <vt:i4>1179698</vt:i4>
      </vt:variant>
      <vt:variant>
        <vt:i4>110</vt:i4>
      </vt:variant>
      <vt:variant>
        <vt:i4>0</vt:i4>
      </vt:variant>
      <vt:variant>
        <vt:i4>5</vt:i4>
      </vt:variant>
      <vt:variant>
        <vt:lpwstr/>
      </vt:variant>
      <vt:variant>
        <vt:lpwstr>_Toc230100072</vt:lpwstr>
      </vt:variant>
      <vt:variant>
        <vt:i4>1179698</vt:i4>
      </vt:variant>
      <vt:variant>
        <vt:i4>104</vt:i4>
      </vt:variant>
      <vt:variant>
        <vt:i4>0</vt:i4>
      </vt:variant>
      <vt:variant>
        <vt:i4>5</vt:i4>
      </vt:variant>
      <vt:variant>
        <vt:lpwstr/>
      </vt:variant>
      <vt:variant>
        <vt:lpwstr>_Toc230100071</vt:lpwstr>
      </vt:variant>
      <vt:variant>
        <vt:i4>1179698</vt:i4>
      </vt:variant>
      <vt:variant>
        <vt:i4>98</vt:i4>
      </vt:variant>
      <vt:variant>
        <vt:i4>0</vt:i4>
      </vt:variant>
      <vt:variant>
        <vt:i4>5</vt:i4>
      </vt:variant>
      <vt:variant>
        <vt:lpwstr/>
      </vt:variant>
      <vt:variant>
        <vt:lpwstr>_Toc230100070</vt:lpwstr>
      </vt:variant>
      <vt:variant>
        <vt:i4>1245234</vt:i4>
      </vt:variant>
      <vt:variant>
        <vt:i4>92</vt:i4>
      </vt:variant>
      <vt:variant>
        <vt:i4>0</vt:i4>
      </vt:variant>
      <vt:variant>
        <vt:i4>5</vt:i4>
      </vt:variant>
      <vt:variant>
        <vt:lpwstr/>
      </vt:variant>
      <vt:variant>
        <vt:lpwstr>_Toc230100069</vt:lpwstr>
      </vt:variant>
      <vt:variant>
        <vt:i4>1245234</vt:i4>
      </vt:variant>
      <vt:variant>
        <vt:i4>86</vt:i4>
      </vt:variant>
      <vt:variant>
        <vt:i4>0</vt:i4>
      </vt:variant>
      <vt:variant>
        <vt:i4>5</vt:i4>
      </vt:variant>
      <vt:variant>
        <vt:lpwstr/>
      </vt:variant>
      <vt:variant>
        <vt:lpwstr>_Toc230100068</vt:lpwstr>
      </vt:variant>
      <vt:variant>
        <vt:i4>1245234</vt:i4>
      </vt:variant>
      <vt:variant>
        <vt:i4>80</vt:i4>
      </vt:variant>
      <vt:variant>
        <vt:i4>0</vt:i4>
      </vt:variant>
      <vt:variant>
        <vt:i4>5</vt:i4>
      </vt:variant>
      <vt:variant>
        <vt:lpwstr/>
      </vt:variant>
      <vt:variant>
        <vt:lpwstr>_Toc230100067</vt:lpwstr>
      </vt:variant>
      <vt:variant>
        <vt:i4>1245234</vt:i4>
      </vt:variant>
      <vt:variant>
        <vt:i4>74</vt:i4>
      </vt:variant>
      <vt:variant>
        <vt:i4>0</vt:i4>
      </vt:variant>
      <vt:variant>
        <vt:i4>5</vt:i4>
      </vt:variant>
      <vt:variant>
        <vt:lpwstr/>
      </vt:variant>
      <vt:variant>
        <vt:lpwstr>_Toc230100066</vt:lpwstr>
      </vt:variant>
      <vt:variant>
        <vt:i4>1245234</vt:i4>
      </vt:variant>
      <vt:variant>
        <vt:i4>68</vt:i4>
      </vt:variant>
      <vt:variant>
        <vt:i4>0</vt:i4>
      </vt:variant>
      <vt:variant>
        <vt:i4>5</vt:i4>
      </vt:variant>
      <vt:variant>
        <vt:lpwstr/>
      </vt:variant>
      <vt:variant>
        <vt:lpwstr>_Toc230100065</vt:lpwstr>
      </vt:variant>
      <vt:variant>
        <vt:i4>1245234</vt:i4>
      </vt:variant>
      <vt:variant>
        <vt:i4>62</vt:i4>
      </vt:variant>
      <vt:variant>
        <vt:i4>0</vt:i4>
      </vt:variant>
      <vt:variant>
        <vt:i4>5</vt:i4>
      </vt:variant>
      <vt:variant>
        <vt:lpwstr/>
      </vt:variant>
      <vt:variant>
        <vt:lpwstr>_Toc230100064</vt:lpwstr>
      </vt:variant>
      <vt:variant>
        <vt:i4>1245234</vt:i4>
      </vt:variant>
      <vt:variant>
        <vt:i4>56</vt:i4>
      </vt:variant>
      <vt:variant>
        <vt:i4>0</vt:i4>
      </vt:variant>
      <vt:variant>
        <vt:i4>5</vt:i4>
      </vt:variant>
      <vt:variant>
        <vt:lpwstr/>
      </vt:variant>
      <vt:variant>
        <vt:lpwstr>_Toc230100063</vt:lpwstr>
      </vt:variant>
      <vt:variant>
        <vt:i4>1245234</vt:i4>
      </vt:variant>
      <vt:variant>
        <vt:i4>50</vt:i4>
      </vt:variant>
      <vt:variant>
        <vt:i4>0</vt:i4>
      </vt:variant>
      <vt:variant>
        <vt:i4>5</vt:i4>
      </vt:variant>
      <vt:variant>
        <vt:lpwstr/>
      </vt:variant>
      <vt:variant>
        <vt:lpwstr>_Toc230100062</vt:lpwstr>
      </vt:variant>
      <vt:variant>
        <vt:i4>1245234</vt:i4>
      </vt:variant>
      <vt:variant>
        <vt:i4>44</vt:i4>
      </vt:variant>
      <vt:variant>
        <vt:i4>0</vt:i4>
      </vt:variant>
      <vt:variant>
        <vt:i4>5</vt:i4>
      </vt:variant>
      <vt:variant>
        <vt:lpwstr/>
      </vt:variant>
      <vt:variant>
        <vt:lpwstr>_Toc230100061</vt:lpwstr>
      </vt:variant>
      <vt:variant>
        <vt:i4>1245234</vt:i4>
      </vt:variant>
      <vt:variant>
        <vt:i4>38</vt:i4>
      </vt:variant>
      <vt:variant>
        <vt:i4>0</vt:i4>
      </vt:variant>
      <vt:variant>
        <vt:i4>5</vt:i4>
      </vt:variant>
      <vt:variant>
        <vt:lpwstr/>
      </vt:variant>
      <vt:variant>
        <vt:lpwstr>_Toc230100060</vt:lpwstr>
      </vt:variant>
      <vt:variant>
        <vt:i4>1048626</vt:i4>
      </vt:variant>
      <vt:variant>
        <vt:i4>32</vt:i4>
      </vt:variant>
      <vt:variant>
        <vt:i4>0</vt:i4>
      </vt:variant>
      <vt:variant>
        <vt:i4>5</vt:i4>
      </vt:variant>
      <vt:variant>
        <vt:lpwstr/>
      </vt:variant>
      <vt:variant>
        <vt:lpwstr>_Toc230100059</vt:lpwstr>
      </vt:variant>
      <vt:variant>
        <vt:i4>1048626</vt:i4>
      </vt:variant>
      <vt:variant>
        <vt:i4>26</vt:i4>
      </vt:variant>
      <vt:variant>
        <vt:i4>0</vt:i4>
      </vt:variant>
      <vt:variant>
        <vt:i4>5</vt:i4>
      </vt:variant>
      <vt:variant>
        <vt:lpwstr/>
      </vt:variant>
      <vt:variant>
        <vt:lpwstr>_Toc230100058</vt:lpwstr>
      </vt:variant>
      <vt:variant>
        <vt:i4>1048626</vt:i4>
      </vt:variant>
      <vt:variant>
        <vt:i4>20</vt:i4>
      </vt:variant>
      <vt:variant>
        <vt:i4>0</vt:i4>
      </vt:variant>
      <vt:variant>
        <vt:i4>5</vt:i4>
      </vt:variant>
      <vt:variant>
        <vt:lpwstr/>
      </vt:variant>
      <vt:variant>
        <vt:lpwstr>_Toc230100057</vt:lpwstr>
      </vt:variant>
      <vt:variant>
        <vt:i4>1048626</vt:i4>
      </vt:variant>
      <vt:variant>
        <vt:i4>14</vt:i4>
      </vt:variant>
      <vt:variant>
        <vt:i4>0</vt:i4>
      </vt:variant>
      <vt:variant>
        <vt:i4>5</vt:i4>
      </vt:variant>
      <vt:variant>
        <vt:lpwstr/>
      </vt:variant>
      <vt:variant>
        <vt:lpwstr>_Toc230100056</vt:lpwstr>
      </vt:variant>
      <vt:variant>
        <vt:i4>1048626</vt:i4>
      </vt:variant>
      <vt:variant>
        <vt:i4>8</vt:i4>
      </vt:variant>
      <vt:variant>
        <vt:i4>0</vt:i4>
      </vt:variant>
      <vt:variant>
        <vt:i4>5</vt:i4>
      </vt:variant>
      <vt:variant>
        <vt:lpwstr/>
      </vt:variant>
      <vt:variant>
        <vt:lpwstr>_Toc230100055</vt:lpwstr>
      </vt:variant>
      <vt:variant>
        <vt:i4>1048626</vt:i4>
      </vt:variant>
      <vt:variant>
        <vt:i4>2</vt:i4>
      </vt:variant>
      <vt:variant>
        <vt:i4>0</vt:i4>
      </vt:variant>
      <vt:variant>
        <vt:i4>5</vt:i4>
      </vt:variant>
      <vt:variant>
        <vt:lpwstr/>
      </vt:variant>
      <vt:variant>
        <vt:lpwstr>_Toc230100054</vt:lpwstr>
      </vt:variant>
      <vt:variant>
        <vt:i4>4587601</vt:i4>
      </vt:variant>
      <vt:variant>
        <vt:i4>3</vt:i4>
      </vt:variant>
      <vt:variant>
        <vt:i4>0</vt:i4>
      </vt:variant>
      <vt:variant>
        <vt:i4>5</vt:i4>
      </vt:variant>
      <vt:variant>
        <vt:lpwstr>https://publicregister.naturalresources.wales/Search/Results?searchTerm=CML2365&amp;sortBy=Relevance&amp;filters%5BDocumentType-11%5D=11&amp;filters%5BDocumentType-12%5D=12&amp;filters%5BPermitType-8%5D=8&amp;pageNumber=1</vt:lpwstr>
      </vt:variant>
      <vt:variant>
        <vt:lpwstr/>
      </vt:variant>
      <vt:variant>
        <vt:i4>7798879</vt:i4>
      </vt:variant>
      <vt:variant>
        <vt:i4>0</vt:i4>
      </vt:variant>
      <vt:variant>
        <vt:i4>0</vt:i4>
      </vt:variant>
      <vt:variant>
        <vt:i4>5</vt:i4>
      </vt:variant>
      <vt:variant>
        <vt:lpwstr>\\rackstation1\Shared\Project\A5611 Hynet CCS Welsh Channel Crossing Review\Info Received\2026-04-24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CML2365 - CML2365 Condition 3.27 and 3.29-LB CCS-VMP+NSP-APPENDIX F WC&amp;LB TSS</dc:title>
  <dc:subject/>
  <dc:creator>Anatec Ltd</dc:creator>
  <cp:keywords/>
  <cp:lastModifiedBy>Smith, Deborah M.</cp:lastModifiedBy>
  <cp:revision>2</cp:revision>
  <cp:lastPrinted>2026-05-22T14:50:00Z</cp:lastPrinted>
  <dcterms:created xsi:type="dcterms:W3CDTF">2026-05-26T11:29:00Z</dcterms:created>
  <dcterms:modified xsi:type="dcterms:W3CDTF">2026-05-26T11:29:00Z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MediaServiceImageTags">
    <vt:lpwstr/>
  </property>
  <property fmtid="{D5CDD505-2E9C-101B-9397-08002B2CF9AE}" pid="4" name="_dlc_DocIdItemGuid">
    <vt:lpwstr>a625b097-b3ce-40de-ac04-56dae3292352</vt:lpwstr>
  </property>
</Properties>
</file>