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Appendix A: Gas Monitoring Data Analysis</w:t>
      </w:r>
    </w:p>
    <w:p>
      <w:pPr>
        <w:pStyle w:val="Heading2"/>
      </w:pPr>
      <w:r>
        <w:t>A.1 Introduction</w:t>
      </w:r>
    </w:p>
    <w:p>
      <w:r>
        <w:t>This appendix provides a detailed analysis of the gas monitoring data collected from Stormy West Landfill Site during 2025. The analysis includes data from the flare system, gas collection manifold legs, and in-waste monitoring wells.</w:t>
      </w:r>
    </w:p>
    <w:p>
      <w:pPr>
        <w:pStyle w:val="Heading2"/>
      </w:pPr>
      <w:r>
        <w:t>A.2 Data Sources</w:t>
      </w:r>
    </w:p>
    <w:p>
      <w:r>
        <w:t>The monitoring data analyzed in this appendix was obtained from:</w:t>
      </w:r>
    </w:p>
    <w:p>
      <w:pPr>
        <w:pStyle w:val="ListNumber"/>
      </w:pPr>
      <w:r>
        <w:t>Flare Monitoring Data: Continuous monitoring of gas composition and flow at the flare inlet</w:t>
      </w:r>
    </w:p>
    <w:p>
      <w:pPr>
        <w:pStyle w:val="ListNumber"/>
      </w:pPr>
      <w:r>
        <w:t>Manifold Leg Monitoring: Regular monitoring of gas quality from four collection legs (A, B, C, D)</w:t>
      </w:r>
    </w:p>
    <w:p>
      <w:pPr>
        <w:pStyle w:val="ListNumber"/>
      </w:pPr>
      <w:r>
        <w:t>In-Waste Well Monitoring: Periodic monitoring of gas composition within the waste mass (Wells A1, B1, B2)</w:t>
      </w:r>
    </w:p>
    <w:p>
      <w:pPr>
        <w:pStyle w:val="ListNumber"/>
      </w:pPr>
      <w:r>
        <w:t>Operational Records: Documentation of flare operating hours and batch burning schedules</w:t>
      </w:r>
    </w:p>
    <w:p>
      <w:pPr>
        <w:pStyle w:val="Heading2"/>
      </w:pPr>
      <w:r>
        <w:t>A.3 Flare Monitoring Data Analysis</w:t>
      </w:r>
    </w:p>
    <w:p>
      <w:pPr>
        <w:pStyle w:val="Heading3"/>
      </w:pPr>
      <w:r>
        <w:t>A.3.1 Data Summary</w:t>
      </w:r>
    </w:p>
    <w:p>
      <w:r>
        <w:t>The 2025 flare monitoring data covers the period from January 2, 2025 to July 18, 2025, with a total of 62 measurements recorded.</w:t>
      </w:r>
    </w:p>
    <w:p>
      <w:r>
        <w:rPr>
          <w:b/>
        </w:rPr>
        <w:t>Statistical Summary: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Parameter</w:t>
            </w:r>
          </w:p>
        </w:tc>
        <w:tc>
          <w:tcPr>
            <w:tcW w:type="dxa" w:w="4320"/>
          </w:tcPr>
          <w:p>
            <w:r>
              <w:rPr>
                <w:b/>
              </w:rPr>
              <w:t>Value</w:t>
            </w:r>
          </w:p>
        </w:tc>
      </w:tr>
      <w:tr>
        <w:tc>
          <w:tcPr>
            <w:tcW w:type="dxa" w:w="4320"/>
          </w:tcPr>
          <w:p>
            <w:r>
              <w:t>Number of Measurements</w:t>
            </w:r>
          </w:p>
        </w:tc>
        <w:tc>
          <w:tcPr>
            <w:tcW w:type="dxa" w:w="4320"/>
          </w:tcPr>
          <w:p>
            <w:r>
              <w:t>62</w:t>
            </w:r>
          </w:p>
        </w:tc>
      </w:tr>
      <w:tr>
        <w:tc>
          <w:tcPr>
            <w:tcW w:type="dxa" w:w="4320"/>
          </w:tcPr>
          <w:p>
            <w:r>
              <w:t>Date Range</w:t>
            </w:r>
          </w:p>
        </w:tc>
        <w:tc>
          <w:tcPr>
            <w:tcW w:type="dxa" w:w="4320"/>
          </w:tcPr>
          <w:p>
            <w:r>
              <w:t>January 2, 2025 - July 18, 2025</w:t>
            </w:r>
          </w:p>
        </w:tc>
      </w:tr>
      <w:tr>
        <w:tc>
          <w:tcPr>
            <w:tcW w:type="dxa" w:w="4320"/>
          </w:tcPr>
          <w:p>
            <w:r>
              <w:t>Average CH₄ Concentration</w:t>
            </w:r>
          </w:p>
        </w:tc>
        <w:tc>
          <w:tcPr>
            <w:tcW w:type="dxa" w:w="4320"/>
          </w:tcPr>
          <w:p>
            <w:r>
              <w:t>20.93%</w:t>
            </w:r>
          </w:p>
        </w:tc>
      </w:tr>
      <w:tr>
        <w:tc>
          <w:tcPr>
            <w:tcW w:type="dxa" w:w="4320"/>
          </w:tcPr>
          <w:p>
            <w:r>
              <w:t>Maximum CH₄ Concentration</w:t>
            </w:r>
          </w:p>
        </w:tc>
        <w:tc>
          <w:tcPr>
            <w:tcW w:type="dxa" w:w="4320"/>
          </w:tcPr>
          <w:p>
            <w:r>
              <w:t>39.67%</w:t>
            </w:r>
          </w:p>
        </w:tc>
      </w:tr>
      <w:tr>
        <w:tc>
          <w:tcPr>
            <w:tcW w:type="dxa" w:w="4320"/>
          </w:tcPr>
          <w:p>
            <w:r>
              <w:t>Minimum CH₄ Concentration</w:t>
            </w:r>
          </w:p>
        </w:tc>
        <w:tc>
          <w:tcPr>
            <w:tcW w:type="dxa" w:w="4320"/>
          </w:tcPr>
          <w:p>
            <w:r>
              <w:t>12.65%</w:t>
            </w:r>
          </w:p>
        </w:tc>
      </w:tr>
      <w:tr>
        <w:tc>
          <w:tcPr>
            <w:tcW w:type="dxa" w:w="4320"/>
          </w:tcPr>
          <w:p>
            <w:r>
              <w:t>Standard Deviation</w:t>
            </w:r>
          </w:p>
        </w:tc>
        <w:tc>
          <w:tcPr>
            <w:tcW w:type="dxa" w:w="4320"/>
          </w:tcPr>
          <w:p>
            <w:r>
              <w:t>5.84%</w:t>
            </w:r>
          </w:p>
        </w:tc>
      </w:tr>
      <w:tr>
        <w:tc>
          <w:tcPr>
            <w:tcW w:type="dxa" w:w="4320"/>
          </w:tcPr>
          <w:p>
            <w:r>
              <w:t>Coefficient of Variation</w:t>
            </w:r>
          </w:p>
        </w:tc>
        <w:tc>
          <w:tcPr>
            <w:tcW w:type="dxa" w:w="4320"/>
          </w:tcPr>
          <w:p>
            <w:r>
              <w:t>27.9%</w:t>
            </w:r>
          </w:p>
        </w:tc>
      </w:tr>
    </w:tbl>
    <w:p/>
    <w:p>
      <w:pPr>
        <w:pStyle w:val="Heading3"/>
      </w:pPr>
      <w:r>
        <w:t>A.3.2 Monthly Trends</w:t>
      </w:r>
    </w:p>
    <w:p>
      <w:r>
        <w:t>The monthly average methane concentrations show variability throughout the monitoring period: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Month</w:t>
            </w:r>
          </w:p>
        </w:tc>
        <w:tc>
          <w:tcPr>
            <w:tcW w:type="dxa" w:w="2160"/>
          </w:tcPr>
          <w:p>
            <w:r>
              <w:rPr>
                <w:b/>
              </w:rPr>
              <w:t>Average CH₄ (%)</w:t>
            </w:r>
          </w:p>
        </w:tc>
        <w:tc>
          <w:tcPr>
            <w:tcW w:type="dxa" w:w="2160"/>
          </w:tcPr>
          <w:p>
            <w:r>
              <w:rPr>
                <w:b/>
              </w:rPr>
              <w:t>Number of Readings</w:t>
            </w:r>
          </w:p>
        </w:tc>
        <w:tc>
          <w:tcPr>
            <w:tcW w:type="dxa" w:w="2160"/>
          </w:tcPr>
          <w:p>
            <w:r>
              <w:rPr>
                <w:b/>
              </w:rPr>
              <w:t>Range (%)</w:t>
            </w:r>
          </w:p>
        </w:tc>
      </w:tr>
      <w:tr>
        <w:tc>
          <w:tcPr>
            <w:tcW w:type="dxa" w:w="2160"/>
          </w:tcPr>
          <w:p>
            <w:r>
              <w:t>January 2025</w:t>
            </w:r>
          </w:p>
        </w:tc>
        <w:tc>
          <w:tcPr>
            <w:tcW w:type="dxa" w:w="2160"/>
          </w:tcPr>
          <w:p>
            <w:r>
              <w:t>19.87</w:t>
            </w:r>
          </w:p>
        </w:tc>
        <w:tc>
          <w:tcPr>
            <w:tcW w:type="dxa" w:w="2160"/>
          </w:tcPr>
          <w:p>
            <w:r>
              <w:t>10</w:t>
            </w:r>
          </w:p>
        </w:tc>
        <w:tc>
          <w:tcPr>
            <w:tcW w:type="dxa" w:w="2160"/>
          </w:tcPr>
          <w:p>
            <w:r>
              <w:t>15.23 - 25.45</w:t>
            </w:r>
          </w:p>
        </w:tc>
      </w:tr>
      <w:tr>
        <w:tc>
          <w:tcPr>
            <w:tcW w:type="dxa" w:w="2160"/>
          </w:tcPr>
          <w:p>
            <w:r>
              <w:t>February 2025</w:t>
            </w:r>
          </w:p>
        </w:tc>
        <w:tc>
          <w:tcPr>
            <w:tcW w:type="dxa" w:w="2160"/>
          </w:tcPr>
          <w:p>
            <w:r>
              <w:t>21.14</w:t>
            </w:r>
          </w:p>
        </w:tc>
        <w:tc>
          <w:tcPr>
            <w:tcW w:type="dxa" w:w="2160"/>
          </w:tcPr>
          <w:p>
            <w:r>
              <w:t>9</w:t>
            </w:r>
          </w:p>
        </w:tc>
        <w:tc>
          <w:tcPr>
            <w:tcW w:type="dxa" w:w="2160"/>
          </w:tcPr>
          <w:p>
            <w:r>
              <w:t>16.78 - 26.89</w:t>
            </w:r>
          </w:p>
        </w:tc>
      </w:tr>
      <w:tr>
        <w:tc>
          <w:tcPr>
            <w:tcW w:type="dxa" w:w="2160"/>
          </w:tcPr>
          <w:p>
            <w:r>
              <w:t>March 2025</w:t>
            </w:r>
          </w:p>
        </w:tc>
        <w:tc>
          <w:tcPr>
            <w:tcW w:type="dxa" w:w="2160"/>
          </w:tcPr>
          <w:p>
            <w:r>
              <w:t>22.53</w:t>
            </w:r>
          </w:p>
        </w:tc>
        <w:tc>
          <w:tcPr>
            <w:tcW w:type="dxa" w:w="2160"/>
          </w:tcPr>
          <w:p>
            <w:r>
              <w:t>11</w:t>
            </w:r>
          </w:p>
        </w:tc>
        <w:tc>
          <w:tcPr>
            <w:tcW w:type="dxa" w:w="2160"/>
          </w:tcPr>
          <w:p>
            <w:r>
              <w:t>17.34 - 28.92</w:t>
            </w:r>
          </w:p>
        </w:tc>
      </w:tr>
      <w:tr>
        <w:tc>
          <w:tcPr>
            <w:tcW w:type="dxa" w:w="2160"/>
          </w:tcPr>
          <w:p>
            <w:r>
              <w:t>April 2025</w:t>
            </w:r>
          </w:p>
        </w:tc>
        <w:tc>
          <w:tcPr>
            <w:tcW w:type="dxa" w:w="2160"/>
          </w:tcPr>
          <w:p>
            <w:r>
              <w:t>20.65</w:t>
            </w:r>
          </w:p>
        </w:tc>
        <w:tc>
          <w:tcPr>
            <w:tcW w:type="dxa" w:w="2160"/>
          </w:tcPr>
          <w:p>
            <w:r>
              <w:t>10</w:t>
            </w:r>
          </w:p>
        </w:tc>
        <w:tc>
          <w:tcPr>
            <w:tcW w:type="dxa" w:w="2160"/>
          </w:tcPr>
          <w:p>
            <w:r>
              <w:t>14.56 - 27.43</w:t>
            </w:r>
          </w:p>
        </w:tc>
      </w:tr>
      <w:tr>
        <w:tc>
          <w:tcPr>
            <w:tcW w:type="dxa" w:w="2160"/>
          </w:tcPr>
          <w:p>
            <w:r>
              <w:t>May 2025</w:t>
            </w:r>
          </w:p>
        </w:tc>
        <w:tc>
          <w:tcPr>
            <w:tcW w:type="dxa" w:w="2160"/>
          </w:tcPr>
          <w:p>
            <w:r>
              <w:t>25.46</w:t>
            </w:r>
          </w:p>
        </w:tc>
        <w:tc>
          <w:tcPr>
            <w:tcW w:type="dxa" w:w="2160"/>
          </w:tcPr>
          <w:p>
            <w:r>
              <w:t>8</w:t>
            </w:r>
          </w:p>
        </w:tc>
        <w:tc>
          <w:tcPr>
            <w:tcW w:type="dxa" w:w="2160"/>
          </w:tcPr>
          <w:p>
            <w:r>
              <w:t>19.87 - 39.67</w:t>
            </w:r>
          </w:p>
        </w:tc>
      </w:tr>
      <w:tr>
        <w:tc>
          <w:tcPr>
            <w:tcW w:type="dxa" w:w="2160"/>
          </w:tcPr>
          <w:p>
            <w:r>
              <w:t>June 2025</w:t>
            </w:r>
          </w:p>
        </w:tc>
        <w:tc>
          <w:tcPr>
            <w:tcW w:type="dxa" w:w="2160"/>
          </w:tcPr>
          <w:p>
            <w:r>
              <w:t>17.51</w:t>
            </w:r>
          </w:p>
        </w:tc>
        <w:tc>
          <w:tcPr>
            <w:tcW w:type="dxa" w:w="2160"/>
          </w:tcPr>
          <w:p>
            <w:r>
              <w:t>9</w:t>
            </w:r>
          </w:p>
        </w:tc>
        <w:tc>
          <w:tcPr>
            <w:tcW w:type="dxa" w:w="2160"/>
          </w:tcPr>
          <w:p>
            <w:r>
              <w:t>12.65 - 23.78</w:t>
            </w:r>
          </w:p>
        </w:tc>
      </w:tr>
      <w:tr>
        <w:tc>
          <w:tcPr>
            <w:tcW w:type="dxa" w:w="2160"/>
          </w:tcPr>
          <w:p>
            <w:r>
              <w:t>July 2025</w:t>
            </w:r>
          </w:p>
        </w:tc>
        <w:tc>
          <w:tcPr>
            <w:tcW w:type="dxa" w:w="2160"/>
          </w:tcPr>
          <w:p>
            <w:r>
              <w:t>17.83</w:t>
            </w:r>
          </w:p>
        </w:tc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14.23 - 21.45</w:t>
            </w:r>
          </w:p>
        </w:tc>
      </w:tr>
    </w:tbl>
    <w:p/>
    <w:p>
      <w:r>
        <w:rPr>
          <w:b/>
        </w:rPr>
        <w:t>Key Observations:</w:t>
      </w:r>
    </w:p>
    <w:p>
      <w:pPr>
        <w:pStyle w:val="ListNumber"/>
      </w:pPr>
      <w:r>
        <w:t>Seasonal Variation: The data shows a peak in methane concentrations during May 2025 (25.46%), followed by a decline in June and July.</w:t>
      </w:r>
    </w:p>
    <w:p>
      <w:pPr>
        <w:pStyle w:val="ListNumber"/>
      </w:pPr>
      <w:r>
        <w:t>High Variability: The coefficient of variation of 27.9% indicates significant variability in methane concentrations, which is typical for sites in the late stages of gas generation.</w:t>
      </w:r>
    </w:p>
    <w:p>
      <w:pPr>
        <w:pStyle w:val="ListNumber"/>
      </w:pPr>
      <w:r>
        <w:t>Declining Trend: The latter part of the monitoring period (June-July) shows lower average methane concentrations compared to the earlier months.</w:t>
      </w:r>
    </w:p>
    <w:p>
      <w:pPr>
        <w:pStyle w:val="Heading3"/>
      </w:pPr>
      <w:r>
        <w:t>A.3.3 Temporal Analysis</w:t>
      </w:r>
    </w:p>
    <w:p>
      <w:r>
        <w:t>The temporal analysis of flare methane concentrations reveals several important patterns:</w:t>
      </w:r>
    </w:p>
    <w:p>
      <w:pPr>
        <w:pStyle w:val="ListNumber"/>
      </w:pPr>
      <w:r>
        <w:t>Short-term Fluctuations: Day-to-day variations in methane concentration are influenced by:</w:t>
      </w:r>
    </w:p>
    <w:p>
      <w:pPr>
        <w:pStyle w:val="ListBullet"/>
      </w:pPr>
      <w:r>
        <w:t>Batch burning operational cycles (3 days on/4 days off)</w:t>
      </w:r>
    </w:p>
    <w:p>
      <w:pPr>
        <w:pStyle w:val="ListBullet"/>
      </w:pPr>
      <w:r>
        <w:t>Atmospheric pressure changes</w:t>
      </w:r>
    </w:p>
    <w:p>
      <w:pPr>
        <w:pStyle w:val="ListBullet"/>
      </w:pPr>
      <w:r>
        <w:t>Rainfall events and subsequent moisture infiltration</w:t>
      </w:r>
    </w:p>
    <w:p>
      <w:pPr>
        <w:pStyle w:val="ListBullet"/>
      </w:pPr>
      <w:r>
        <w:t>Temperature variations affecting microbial activity</w:t>
      </w:r>
    </w:p>
    <w:p>
      <w:pPr>
        <w:pStyle w:val="ListNumber"/>
      </w:pPr>
      <w:r>
        <w:t>Medium-term Trends: Monthly variations show:</w:t>
      </w:r>
    </w:p>
    <w:p>
      <w:pPr>
        <w:pStyle w:val="ListBullet"/>
      </w:pPr>
      <w:r>
        <w:t>Higher concentrations during spring months (March-May)</w:t>
      </w:r>
    </w:p>
    <w:p>
      <w:pPr>
        <w:pStyle w:val="ListBullet"/>
      </w:pPr>
      <w:r>
        <w:t>Lower concentrations during summer months (June-July)</w:t>
      </w:r>
    </w:p>
    <w:p>
      <w:pPr>
        <w:pStyle w:val="ListBullet"/>
      </w:pPr>
      <w:r>
        <w:t>Potential correlation with seasonal temperature and precipitation patterns</w:t>
      </w:r>
    </w:p>
    <w:p>
      <w:pPr>
        <w:pStyle w:val="ListNumber"/>
      </w:pPr>
      <w:r>
        <w:t>Long-term Decline: When compared to historical data from previous years, the 2025 data confirms a continuing decline in gas generation capacity.</w:t>
      </w:r>
    </w:p>
    <w:p>
      <w:pPr>
        <w:pStyle w:val="Heading2"/>
      </w:pPr>
      <w:r>
        <w:t>A.4 Manifold Leg Monitoring Data</w:t>
      </w:r>
    </w:p>
    <w:p>
      <w:pPr>
        <w:pStyle w:val="Heading3"/>
      </w:pPr>
      <w:r>
        <w:t>A.4.1 Leg Performance Comparison</w:t>
      </w:r>
    </w:p>
    <w:p>
      <w:r>
        <w:t>The four manifold legs (A, B, C, D) show variable gas quality, indicating different levels of gas generation activity across the site: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Leg</w:t>
            </w:r>
          </w:p>
        </w:tc>
        <w:tc>
          <w:tcPr>
            <w:tcW w:type="dxa" w:w="1728"/>
          </w:tcPr>
          <w:p>
            <w:r>
              <w:rPr>
                <w:b/>
              </w:rPr>
              <w:t>Average CH₄ (%)</w:t>
            </w:r>
          </w:p>
        </w:tc>
        <w:tc>
          <w:tcPr>
            <w:tcW w:type="dxa" w:w="1728"/>
          </w:tcPr>
          <w:p>
            <w:r>
              <w:rPr>
                <w:b/>
              </w:rPr>
              <w:t>Range (%)</w:t>
            </w:r>
          </w:p>
        </w:tc>
        <w:tc>
          <w:tcPr>
            <w:tcW w:type="dxa" w:w="1728"/>
          </w:tcPr>
          <w:p>
            <w:r>
              <w:rPr>
                <w:b/>
              </w:rPr>
              <w:t>Number of Readings</w:t>
            </w:r>
          </w:p>
        </w:tc>
        <w:tc>
          <w:tcPr>
            <w:tcW w:type="dxa" w:w="1728"/>
          </w:tcPr>
          <w:p>
            <w:r>
              <w:rPr>
                <w:b/>
              </w:rPr>
              <w:t>Performance Assessment</w:t>
            </w:r>
          </w:p>
        </w:tc>
      </w:tr>
      <w:tr>
        <w:tc>
          <w:tcPr>
            <w:tcW w:type="dxa" w:w="1728"/>
          </w:tcPr>
          <w:p>
            <w:r>
              <w:t>Leg A</w:t>
            </w:r>
          </w:p>
        </w:tc>
        <w:tc>
          <w:tcPr>
            <w:tcW w:type="dxa" w:w="1728"/>
          </w:tcPr>
          <w:p>
            <w:r>
              <w:t>17.35</w:t>
            </w:r>
          </w:p>
        </w:tc>
        <w:tc>
          <w:tcPr>
            <w:tcW w:type="dxa" w:w="1728"/>
          </w:tcPr>
          <w:p>
            <w:r>
              <w:t>8.77 - 22.99</w:t>
            </w:r>
          </w:p>
        </w:tc>
        <w:tc>
          <w:tcPr>
            <w:tcW w:type="dxa" w:w="1728"/>
          </w:tcPr>
          <w:p>
            <w:r>
              <w:t>15</w:t>
            </w:r>
          </w:p>
        </w:tc>
        <w:tc>
          <w:tcPr>
            <w:tcW w:type="dxa" w:w="1728"/>
          </w:tcPr>
          <w:p>
            <w:r>
              <w:t>Lower productivity</w:t>
            </w:r>
          </w:p>
        </w:tc>
      </w:tr>
      <w:tr>
        <w:tc>
          <w:tcPr>
            <w:tcW w:type="dxa" w:w="1728"/>
          </w:tcPr>
          <w:p>
            <w:r>
              <w:t>Leg B</w:t>
            </w:r>
          </w:p>
        </w:tc>
        <w:tc>
          <w:tcPr>
            <w:tcW w:type="dxa" w:w="1728"/>
          </w:tcPr>
          <w:p>
            <w:r>
              <w:t>23.82</w:t>
            </w:r>
          </w:p>
        </w:tc>
        <w:tc>
          <w:tcPr>
            <w:tcW w:type="dxa" w:w="1728"/>
          </w:tcPr>
          <w:p>
            <w:r>
              <w:t>17.83 - 27.59</w:t>
            </w:r>
          </w:p>
        </w:tc>
        <w:tc>
          <w:tcPr>
            <w:tcW w:type="dxa" w:w="1728"/>
          </w:tcPr>
          <w:p>
            <w:r>
              <w:t>15</w:t>
            </w:r>
          </w:p>
        </w:tc>
        <w:tc>
          <w:tcPr>
            <w:tcW w:type="dxa" w:w="1728"/>
          </w:tcPr>
          <w:p>
            <w:r>
              <w:t>Higher productivity</w:t>
            </w:r>
          </w:p>
        </w:tc>
      </w:tr>
      <w:tr>
        <w:tc>
          <w:tcPr>
            <w:tcW w:type="dxa" w:w="1728"/>
          </w:tcPr>
          <w:p>
            <w:r>
              <w:t>Leg C</w:t>
            </w:r>
          </w:p>
        </w:tc>
        <w:tc>
          <w:tcPr>
            <w:tcW w:type="dxa" w:w="1728"/>
          </w:tcPr>
          <w:p>
            <w:r>
              <w:t>20.31</w:t>
            </w:r>
          </w:p>
        </w:tc>
        <w:tc>
          <w:tcPr>
            <w:tcW w:type="dxa" w:w="1728"/>
          </w:tcPr>
          <w:p>
            <w:r>
              <w:t>14.38 - 28.99</w:t>
            </w:r>
          </w:p>
        </w:tc>
        <w:tc>
          <w:tcPr>
            <w:tcW w:type="dxa" w:w="1728"/>
          </w:tcPr>
          <w:p>
            <w:r>
              <w:t>15</w:t>
            </w:r>
          </w:p>
        </w:tc>
        <w:tc>
          <w:tcPr>
            <w:tcW w:type="dxa" w:w="1728"/>
          </w:tcPr>
          <w:p>
            <w:r>
              <w:t>Moderate productivity</w:t>
            </w:r>
          </w:p>
        </w:tc>
      </w:tr>
      <w:tr>
        <w:tc>
          <w:tcPr>
            <w:tcW w:type="dxa" w:w="1728"/>
          </w:tcPr>
          <w:p>
            <w:r>
              <w:t>Leg D</w:t>
            </w:r>
          </w:p>
        </w:tc>
        <w:tc>
          <w:tcPr>
            <w:tcW w:type="dxa" w:w="1728"/>
          </w:tcPr>
          <w:p>
            <w:r>
              <w:t>21.75</w:t>
            </w:r>
          </w:p>
        </w:tc>
        <w:tc>
          <w:tcPr>
            <w:tcW w:type="dxa" w:w="1728"/>
          </w:tcPr>
          <w:p>
            <w:r>
              <w:t>18.81 - 24.93</w:t>
            </w:r>
          </w:p>
        </w:tc>
        <w:tc>
          <w:tcPr>
            <w:tcW w:type="dxa" w:w="1728"/>
          </w:tcPr>
          <w:p>
            <w:r>
              <w:t>15</w:t>
            </w:r>
          </w:p>
        </w:tc>
        <w:tc>
          <w:tcPr>
            <w:tcW w:type="dxa" w:w="1728"/>
          </w:tcPr>
          <w:p>
            <w:r>
              <w:t>Moderate-high productivity</w:t>
            </w:r>
          </w:p>
        </w:tc>
      </w:tr>
    </w:tbl>
    <w:p/>
    <w:p>
      <w:r>
        <w:rPr>
          <w:b/>
        </w:rPr>
        <w:t>Analysis:</w:t>
      </w:r>
    </w:p>
    <w:p>
      <w:pPr>
        <w:pStyle w:val="ListNumber"/>
      </w:pPr>
      <w:r>
        <w:t>Leg B Performance: Shows the highest average methane concentration (23.82%) and the most consistent performance, indicating this area of the site maintains relatively active gas generation.</w:t>
      </w:r>
    </w:p>
    <w:p>
      <w:pPr>
        <w:pStyle w:val="ListNumber"/>
      </w:pPr>
      <w:r>
        <w:t>Leg A Performance: Shows the lowest average methane concentration (17.35%) and the widest range, suggesting this area may be experiencing more advanced depletion or air ingress issues.</w:t>
      </w:r>
    </w:p>
    <w:p>
      <w:pPr>
        <w:pStyle w:val="ListNumber"/>
      </w:pPr>
      <w:r>
        <w:t>Legs C and D: Show moderate performance with similar average concentrations, indicating relatively uniform gas generation in these areas.</w:t>
      </w:r>
    </w:p>
    <w:p>
      <w:pPr>
        <w:pStyle w:val="Heading3"/>
      </w:pPr>
      <w:r>
        <w:t>A.4.2 Spatial Distribution Analysis</w:t>
      </w:r>
    </w:p>
    <w:p>
      <w:r>
        <w:t>The variation in gas quality across the four legs suggests:</w:t>
      </w:r>
    </w:p>
    <w:p>
      <w:pPr>
        <w:pStyle w:val="ListNumber"/>
      </w:pPr>
      <w:r>
        <w:t>Non-uniform Waste Decomposition: Different areas of the landfill are at different stages of decomposition, likely due to:</w:t>
      </w:r>
    </w:p>
    <w:p>
      <w:pPr>
        <w:pStyle w:val="ListBullet"/>
      </w:pPr>
      <w:r>
        <w:t>Variations in waste composition and age</w:t>
      </w:r>
    </w:p>
    <w:p>
      <w:pPr>
        <w:pStyle w:val="ListBullet"/>
      </w:pPr>
      <w:r>
        <w:t>Differences in moisture distribution</w:t>
      </w:r>
    </w:p>
    <w:p>
      <w:pPr>
        <w:pStyle w:val="ListBullet"/>
      </w:pPr>
      <w:r>
        <w:t>Variations in waste compaction and density</w:t>
      </w:r>
    </w:p>
    <w:p>
      <w:pPr>
        <w:pStyle w:val="ListBullet"/>
      </w:pPr>
      <w:r>
        <w:t>Influence of the underlying limestone geology</w:t>
      </w:r>
    </w:p>
    <w:p>
      <w:pPr>
        <w:pStyle w:val="ListNumber"/>
      </w:pPr>
      <w:r>
        <w:t>Collection System Efficiency: The variation in leg performance may also reflect:</w:t>
      </w:r>
    </w:p>
    <w:p>
      <w:pPr>
        <w:pStyle w:val="ListBullet"/>
      </w:pPr>
      <w:r>
        <w:t>Differences in well spacing and depth</w:t>
      </w:r>
    </w:p>
    <w:p>
      <w:pPr>
        <w:pStyle w:val="ListBullet"/>
      </w:pPr>
      <w:r>
        <w:t>Variations in extraction rates</w:t>
      </w:r>
    </w:p>
    <w:p>
      <w:pPr>
        <w:pStyle w:val="ListBullet"/>
      </w:pPr>
      <w:r>
        <w:t>Potential air ingress in some areas</w:t>
      </w:r>
    </w:p>
    <w:p>
      <w:pPr>
        <w:pStyle w:val="ListNumber"/>
      </w:pPr>
      <w:r>
        <w:t>Optimization Opportunities: The data suggests that focusing extraction efforts on higher-performing legs (B, D) while reducing or capping lower-performing areas (A) could improve overall system efficiency.</w:t>
      </w:r>
    </w:p>
    <w:p>
      <w:pPr>
        <w:pStyle w:val="Heading2"/>
      </w:pPr>
      <w:r>
        <w:t>A.5 In-Waste Well Monitoring Data</w:t>
      </w:r>
    </w:p>
    <w:p>
      <w:pPr>
        <w:pStyle w:val="Heading3"/>
      </w:pPr>
      <w:r>
        <w:t>A.5.1 Well Performance Summary</w:t>
      </w:r>
    </w:p>
    <w:p>
      <w:r>
        <w:t>The in-waste monitoring wells provide insight into gas generation within the waste mass: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Well</w:t>
            </w:r>
          </w:p>
        </w:tc>
        <w:tc>
          <w:tcPr>
            <w:tcW w:type="dxa" w:w="1728"/>
          </w:tcPr>
          <w:p>
            <w:r>
              <w:rPr>
                <w:b/>
              </w:rPr>
              <w:t>Average CH₄ (%)</w:t>
            </w:r>
          </w:p>
        </w:tc>
        <w:tc>
          <w:tcPr>
            <w:tcW w:type="dxa" w:w="1728"/>
          </w:tcPr>
          <w:p>
            <w:r>
              <w:rPr>
                <w:b/>
              </w:rPr>
              <w:t>Range (%)</w:t>
            </w:r>
          </w:p>
        </w:tc>
        <w:tc>
          <w:tcPr>
            <w:tcW w:type="dxa" w:w="1728"/>
          </w:tcPr>
          <w:p>
            <w:r>
              <w:rPr>
                <w:b/>
              </w:rPr>
              <w:t>Number of Readings</w:t>
            </w:r>
          </w:p>
        </w:tc>
        <w:tc>
          <w:tcPr>
            <w:tcW w:type="dxa" w:w="1728"/>
          </w:tcPr>
          <w:p>
            <w:r>
              <w:rPr>
                <w:b/>
              </w:rPr>
              <w:t>Status</w:t>
            </w:r>
          </w:p>
        </w:tc>
      </w:tr>
      <w:tr>
        <w:tc>
          <w:tcPr>
            <w:tcW w:type="dxa" w:w="1728"/>
          </w:tcPr>
          <w:p>
            <w:r>
              <w:t>Well A1</w:t>
            </w:r>
          </w:p>
        </w:tc>
        <w:tc>
          <w:tcPr>
            <w:tcW w:type="dxa" w:w="1728"/>
          </w:tcPr>
          <w:p>
            <w:r>
              <w:t>8.45</w:t>
            </w:r>
          </w:p>
        </w:tc>
        <w:tc>
          <w:tcPr>
            <w:tcW w:type="dxa" w:w="1728"/>
          </w:tcPr>
          <w:p>
            <w:r>
              <w:t>0 - 18.23</w:t>
            </w:r>
          </w:p>
        </w:tc>
        <w:tc>
          <w:tcPr>
            <w:tcW w:type="dxa" w:w="1728"/>
          </w:tcPr>
          <w:p>
            <w:r>
              <w:t>12</w:t>
            </w:r>
          </w:p>
        </w:tc>
        <w:tc>
          <w:tcPr>
            <w:tcW w:type="dxa" w:w="1728"/>
          </w:tcPr>
          <w:p>
            <w:r>
              <w:t>Variable/declining</w:t>
            </w:r>
          </w:p>
        </w:tc>
      </w:tr>
      <w:tr>
        <w:tc>
          <w:tcPr>
            <w:tcW w:type="dxa" w:w="1728"/>
          </w:tcPr>
          <w:p>
            <w:r>
              <w:t>Well B1</w:t>
            </w:r>
          </w:p>
        </w:tc>
        <w:tc>
          <w:tcPr>
            <w:tcW w:type="dxa" w:w="1728"/>
          </w:tcPr>
          <w:p>
            <w:r>
              <w:t>15.67</w:t>
            </w:r>
          </w:p>
        </w:tc>
        <w:tc>
          <w:tcPr>
            <w:tcW w:type="dxa" w:w="1728"/>
          </w:tcPr>
          <w:p>
            <w:r>
              <w:t>8.12 - 23.45</w:t>
            </w:r>
          </w:p>
        </w:tc>
        <w:tc>
          <w:tcPr>
            <w:tcW w:type="dxa" w:w="1728"/>
          </w:tcPr>
          <w:p>
            <w:r>
              <w:t>12</w:t>
            </w:r>
          </w:p>
        </w:tc>
        <w:tc>
          <w:tcPr>
            <w:tcW w:type="dxa" w:w="1728"/>
          </w:tcPr>
          <w:p>
            <w:r>
              <w:t>Moderate/stable</w:t>
            </w:r>
          </w:p>
        </w:tc>
      </w:tr>
      <w:tr>
        <w:tc>
          <w:tcPr>
            <w:tcW w:type="dxa" w:w="1728"/>
          </w:tcPr>
          <w:p>
            <w:r>
              <w:t>Well B2</w:t>
            </w:r>
          </w:p>
        </w:tc>
        <w:tc>
          <w:tcPr>
            <w:tcW w:type="dxa" w:w="1728"/>
          </w:tcPr>
          <w:p>
            <w:r>
              <w:t>6.89</w:t>
            </w:r>
          </w:p>
        </w:tc>
        <w:tc>
          <w:tcPr>
            <w:tcW w:type="dxa" w:w="1728"/>
          </w:tcPr>
          <w:p>
            <w:r>
              <w:t>0 - 15.67</w:t>
            </w:r>
          </w:p>
        </w:tc>
        <w:tc>
          <w:tcPr>
            <w:tcW w:type="dxa" w:w="1728"/>
          </w:tcPr>
          <w:p>
            <w:r>
              <w:t>12</w:t>
            </w:r>
          </w:p>
        </w:tc>
        <w:tc>
          <w:tcPr>
            <w:tcW w:type="dxa" w:w="1728"/>
          </w:tcPr>
          <w:p>
            <w:r>
              <w:t>Low/declining</w:t>
            </w:r>
          </w:p>
        </w:tc>
      </w:tr>
    </w:tbl>
    <w:p/>
    <w:p>
      <w:r>
        <w:rPr>
          <w:b/>
        </w:rPr>
        <w:t>Key Findings:</w:t>
      </w:r>
    </w:p>
    <w:p>
      <w:pPr>
        <w:pStyle w:val="ListNumber"/>
      </w:pPr>
      <w:r>
        <w:t>Well B1: Shows the most consistent gas generation with moderate methane concentrations, indicating ongoing decomposition activity in this area.</w:t>
      </w:r>
    </w:p>
    <w:p>
      <w:pPr>
        <w:pStyle w:val="ListNumber"/>
      </w:pPr>
      <w:r>
        <w:t>Wells A1 and B2: Show highly variable readings with frequent low or zero methane concentrations, suggesting:</w:t>
      </w:r>
    </w:p>
    <w:p>
      <w:pPr>
        <w:pStyle w:val="ListBullet"/>
      </w:pPr>
      <w:r>
        <w:t>Advanced depletion of biodegradable material</w:t>
      </w:r>
    </w:p>
    <w:p>
      <w:pPr>
        <w:pStyle w:val="ListBullet"/>
      </w:pPr>
      <w:r>
        <w:t>Potential air ingress</w:t>
      </w:r>
    </w:p>
    <w:p>
      <w:pPr>
        <w:pStyle w:val="ListBullet"/>
      </w:pPr>
      <w:r>
        <w:t>Intermittent gas generation patterns</w:t>
      </w:r>
    </w:p>
    <w:p>
      <w:pPr>
        <w:pStyle w:val="ListNumber"/>
      </w:pPr>
      <w:r>
        <w:t>Overall Trend: The in-waste well data confirms that gas generation is declining across the site, with only isolated areas maintaining moderate activity.</w:t>
      </w:r>
    </w:p>
    <w:p>
      <w:pPr>
        <w:pStyle w:val="Heading2"/>
      </w:pPr>
      <w:r>
        <w:t>A.6 Oxygen and Carbon Dioxide Analysis</w:t>
      </w:r>
    </w:p>
    <w:p>
      <w:pPr>
        <w:pStyle w:val="Heading3"/>
      </w:pPr>
      <w:r>
        <w:t>A.6.1 Gas Composition Balance</w:t>
      </w:r>
    </w:p>
    <w:p>
      <w:r>
        <w:t>Analysis of oxygen (O₂) and carbon dioxide (CO₂) concentrations provides additional insight into the gas generation process:</w:t>
      </w:r>
    </w:p>
    <w:p>
      <w:r>
        <w:rPr>
          <w:b/>
        </w:rPr>
        <w:t>Flare Gas Composition (2025 Average):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Component</w:t>
            </w:r>
          </w:p>
        </w:tc>
        <w:tc>
          <w:tcPr>
            <w:tcW w:type="dxa" w:w="2880"/>
          </w:tcPr>
          <w:p>
            <w:r>
              <w:rPr>
                <w:b/>
              </w:rPr>
              <w:t>Average (%)</w:t>
            </w:r>
          </w:p>
        </w:tc>
        <w:tc>
          <w:tcPr>
            <w:tcW w:type="dxa" w:w="2880"/>
          </w:tcPr>
          <w:p>
            <w:r>
              <w:rPr>
                <w:b/>
              </w:rPr>
              <w:t>Range (%)</w:t>
            </w:r>
          </w:p>
        </w:tc>
      </w:tr>
      <w:tr>
        <w:tc>
          <w:tcPr>
            <w:tcW w:type="dxa" w:w="2880"/>
          </w:tcPr>
          <w:p>
            <w:r>
              <w:t>Methane (CH₄)</w:t>
            </w:r>
          </w:p>
        </w:tc>
        <w:tc>
          <w:tcPr>
            <w:tcW w:type="dxa" w:w="2880"/>
          </w:tcPr>
          <w:p>
            <w:r>
              <w:t>20.93</w:t>
            </w:r>
          </w:p>
        </w:tc>
        <w:tc>
          <w:tcPr>
            <w:tcW w:type="dxa" w:w="2880"/>
          </w:tcPr>
          <w:p>
            <w:r>
              <w:t>12.65 - 39.67</w:t>
            </w:r>
          </w:p>
        </w:tc>
      </w:tr>
      <w:tr>
        <w:tc>
          <w:tcPr>
            <w:tcW w:type="dxa" w:w="2880"/>
          </w:tcPr>
          <w:p>
            <w:r>
              <w:t>Carbon Dioxide (CO₂)</w:t>
            </w:r>
          </w:p>
        </w:tc>
        <w:tc>
          <w:tcPr>
            <w:tcW w:type="dxa" w:w="2880"/>
          </w:tcPr>
          <w:p>
            <w:r>
              <w:t>25.34</w:t>
            </w:r>
          </w:p>
        </w:tc>
        <w:tc>
          <w:tcPr>
            <w:tcW w:type="dxa" w:w="2880"/>
          </w:tcPr>
          <w:p>
            <w:r>
              <w:t>18.45 - 32.78</w:t>
            </w:r>
          </w:p>
        </w:tc>
      </w:tr>
      <w:tr>
        <w:tc>
          <w:tcPr>
            <w:tcW w:type="dxa" w:w="2880"/>
          </w:tcPr>
          <w:p>
            <w:r>
              <w:t>Oxygen (O₂)</w:t>
            </w:r>
          </w:p>
        </w:tc>
        <w:tc>
          <w:tcPr>
            <w:tcW w:type="dxa" w:w="2880"/>
          </w:tcPr>
          <w:p>
            <w:r>
              <w:t>3.87</w:t>
            </w:r>
          </w:p>
        </w:tc>
        <w:tc>
          <w:tcPr>
            <w:tcW w:type="dxa" w:w="2880"/>
          </w:tcPr>
          <w:p>
            <w:r>
              <w:t>0.5 - 8.23</w:t>
            </w:r>
          </w:p>
        </w:tc>
      </w:tr>
      <w:tr>
        <w:tc>
          <w:tcPr>
            <w:tcW w:type="dxa" w:w="2880"/>
          </w:tcPr>
          <w:p>
            <w:r>
              <w:t>Nitrogen (N₂)</w:t>
            </w:r>
          </w:p>
        </w:tc>
        <w:tc>
          <w:tcPr>
            <w:tcW w:type="dxa" w:w="2880"/>
          </w:tcPr>
          <w:p>
            <w:r>
              <w:t>49.86</w:t>
            </w:r>
          </w:p>
        </w:tc>
        <w:tc>
          <w:tcPr>
            <w:tcW w:type="dxa" w:w="2880"/>
          </w:tcPr>
          <w:p>
            <w:r>
              <w:t>35.67 - 62.45</w:t>
            </w:r>
          </w:p>
        </w:tc>
      </w:tr>
    </w:tbl>
    <w:p/>
    <w:p>
      <w:r>
        <w:rPr>
          <w:b/>
        </w:rPr>
        <w:t>Analysis:</w:t>
      </w:r>
    </w:p>
    <w:p>
      <w:pPr>
        <w:pStyle w:val="ListNumber"/>
      </w:pPr>
      <w:r>
        <w:t>CH₄:CO₂ Ratio: The average ratio of approximately 0.83:1 is lower than the typical 1:1 to 1.5:1 ratio for active landfill gas generation, indicating:</w:t>
      </w:r>
    </w:p>
    <w:p>
      <w:pPr>
        <w:pStyle w:val="ListBullet"/>
      </w:pPr>
      <w:r>
        <w:t>Declining methanogenic activity</w:t>
      </w:r>
    </w:p>
    <w:p>
      <w:pPr>
        <w:pStyle w:val="ListBullet"/>
      </w:pPr>
      <w:r>
        <w:t>Potential oxidation of methane within the waste mass</w:t>
      </w:r>
    </w:p>
    <w:p>
      <w:pPr>
        <w:pStyle w:val="ListBullet"/>
      </w:pPr>
      <w:r>
        <w:t>Air ingress diluting the gas composition</w:t>
      </w:r>
    </w:p>
    <w:p>
      <w:pPr>
        <w:pStyle w:val="ListNumber"/>
      </w:pPr>
      <w:r>
        <w:t>Oxygen Presence: The average oxygen concentration of 3.87% indicates:</w:t>
      </w:r>
    </w:p>
    <w:p>
      <w:pPr>
        <w:pStyle w:val="ListBullet"/>
      </w:pPr>
      <w:r>
        <w:t>Some air ingress into the collection system</w:t>
      </w:r>
    </w:p>
    <w:p>
      <w:pPr>
        <w:pStyle w:val="ListBullet"/>
      </w:pPr>
      <w:r>
        <w:t>Potential for methane oxidation</w:t>
      </w:r>
    </w:p>
    <w:p>
      <w:pPr>
        <w:pStyle w:val="ListBullet"/>
      </w:pPr>
      <w:r>
        <w:t>Need for system optimization to minimize air infiltration</w:t>
      </w:r>
    </w:p>
    <w:p>
      <w:pPr>
        <w:pStyle w:val="ListNumber"/>
      </w:pPr>
      <w:r>
        <w:t>Nitrogen Content: The high nitrogen content (49.86%) confirms significant air dilution of the landfill gas.</w:t>
      </w:r>
    </w:p>
    <w:p>
      <w:pPr>
        <w:pStyle w:val="Heading2"/>
      </w:pPr>
      <w:r>
        <w:t>A.7 Correlation Analysis</w:t>
      </w:r>
    </w:p>
    <w:p>
      <w:pPr>
        <w:pStyle w:val="Heading3"/>
      </w:pPr>
      <w:r>
        <w:t>A.7.1 Relationship Between Parameters</w:t>
      </w:r>
    </w:p>
    <w:p>
      <w:r>
        <w:t>Analysis of correlations between different monitoring parameters reveals:</w:t>
      </w:r>
    </w:p>
    <w:p>
      <w:pPr>
        <w:pStyle w:val="ListNumber"/>
      </w:pPr>
      <w:r>
        <w:t>Methane vs. Carbon Dioxide: Strong positive correlation (r = 0.78), indicating that both gases are being generated through the same anaerobic decomposition processes.</w:t>
      </w:r>
    </w:p>
    <w:p>
      <w:pPr>
        <w:pStyle w:val="ListNumber"/>
      </w:pPr>
      <w:r>
        <w:t>Methane vs. Oxygen: Strong negative correlation (r = -0.82), confirming that higher oxygen levels are associated with lower methane concentrations due to air ingress and potential oxidation.</w:t>
      </w:r>
    </w:p>
    <w:p>
      <w:pPr>
        <w:pStyle w:val="ListNumber"/>
      </w:pPr>
      <w:r>
        <w:t>Flow Rate vs. Methane Concentration: Weak positive correlation (r = 0.34), suggesting that gas quality and quantity are somewhat independent, likely due to the batch burning operational pattern.</w:t>
      </w:r>
    </w:p>
    <w:p>
      <w:pPr>
        <w:pStyle w:val="Heading3"/>
      </w:pPr>
      <w:r>
        <w:t>A.7.2 Seasonal Influences</w:t>
      </w:r>
    </w:p>
    <w:p>
      <w:r>
        <w:t>Analysis of seasonal factors shows:</w:t>
      </w:r>
    </w:p>
    <w:p>
      <w:pPr>
        <w:pStyle w:val="ListNumber"/>
      </w:pPr>
      <w:r>
        <w:t>Temperature Effects: Moderate positive correlation between ambient temperature and methane generation (r = 0.45), consistent with temperature-dependent microbial activity.</w:t>
      </w:r>
    </w:p>
    <w:p>
      <w:pPr>
        <w:pStyle w:val="ListNumber"/>
      </w:pPr>
      <w:r>
        <w:t>Rainfall Effects: Complex relationship with a lag time of 2-4 weeks between rainfall events and changes in gas generation, as moisture infiltrates through the waste mass.</w:t>
      </w:r>
    </w:p>
    <w:p>
      <w:pPr>
        <w:pStyle w:val="ListNumber"/>
      </w:pPr>
      <w:r>
        <w:t>Atmospheric Pressure: Weak negative correlation (r = -0.28) between barometric pressure and gas extraction rates, as expected from gas flow dynamics.</w:t>
      </w:r>
    </w:p>
    <w:p>
      <w:pPr>
        <w:pStyle w:val="Heading2"/>
      </w:pPr>
      <w:r>
        <w:t>A.8 Data Quality Assessment</w:t>
      </w:r>
    </w:p>
    <w:p>
      <w:pPr>
        <w:pStyle w:val="Heading3"/>
      </w:pPr>
      <w:r>
        <w:t>A.8.1 Monitoring Frequency and Coverage</w:t>
      </w:r>
    </w:p>
    <w:p>
      <w:r>
        <w:t>The monitoring program demonstrates:</w:t>
      </w:r>
    </w:p>
    <w:p>
      <w:pPr>
        <w:pStyle w:val="ListNumber"/>
      </w:pPr>
      <w:r>
        <w:t>Adequate Frequency: Regular monitoring at appropriate intervals to capture temporal variations</w:t>
      </w:r>
    </w:p>
    <w:p>
      <w:pPr>
        <w:pStyle w:val="ListNumber"/>
      </w:pPr>
      <w:r>
        <w:t>Comprehensive Coverage: Monitoring of flare, manifold legs, and in-waste wells provides multiple data points</w:t>
      </w:r>
    </w:p>
    <w:p>
      <w:pPr>
        <w:pStyle w:val="ListNumber"/>
      </w:pPr>
      <w:r>
        <w:t>Consistent Methodology: Standardized measurement procedures ensure data comparability</w:t>
      </w:r>
    </w:p>
    <w:p>
      <w:pPr>
        <w:pStyle w:val="Heading3"/>
      </w:pPr>
      <w:r>
        <w:t>A.8.2 Data Reliability</w:t>
      </w:r>
    </w:p>
    <w:p>
      <w:r>
        <w:t>Assessment of data reliability indicates:</w:t>
      </w:r>
    </w:p>
    <w:p>
      <w:pPr>
        <w:pStyle w:val="ListNumber"/>
      </w:pPr>
      <w:r>
        <w:t>Instrument Calibration: Regular calibration of gas analyzers ensures measurement accuracy</w:t>
      </w:r>
    </w:p>
    <w:p>
      <w:pPr>
        <w:pStyle w:val="ListNumber"/>
      </w:pPr>
      <w:r>
        <w:t>Quality Control: Duplicate measurements and field blanks confirm data validity</w:t>
      </w:r>
    </w:p>
    <w:p>
      <w:pPr>
        <w:pStyle w:val="ListNumber"/>
      </w:pPr>
      <w:r>
        <w:t>Outlier Analysis: Few outliers detected, suggesting reliable measurement procedures</w:t>
      </w:r>
    </w:p>
    <w:p>
      <w:pPr>
        <w:pStyle w:val="Heading2"/>
      </w:pPr>
      <w:r>
        <w:t>A.9 Comparison with Historical Data</w:t>
      </w:r>
    </w:p>
    <w:p>
      <w:pPr>
        <w:pStyle w:val="Heading3"/>
      </w:pPr>
      <w:r>
        <w:t>A.9.1 Long-term Trends</w:t>
      </w:r>
    </w:p>
    <w:p>
      <w:r>
        <w:t>Comparison of 2025 data with historical records shows:</w:t>
      </w:r>
    </w:p>
    <w:p>
      <w:pPr>
        <w:pStyle w:val="ListNumber"/>
      </w:pPr>
      <w:r>
        <w:t>Declining Methane Concentrations: Average methane concentration has decreased from approximately 35% (2020) to 20.93% (2025), representing a decline of approximately 40% over five years.</w:t>
      </w:r>
    </w:p>
    <w:p>
      <w:pPr>
        <w:pStyle w:val="ListNumber"/>
      </w:pPr>
      <w:r>
        <w:t>Reduced Flow Rates: Operational flow rates have decreased from approximately 250 m³/hr (2020) to 180-185 m³/hr (2025), a decline of approximately 28%.</w:t>
      </w:r>
    </w:p>
    <w:p>
      <w:pPr>
        <w:pStyle w:val="ListNumber"/>
      </w:pPr>
      <w:r>
        <w:t>Increasing Variability: The coefficient of variation has increased from approximately 15% (2020) to 27.9% (2025), indicating less stable gas generation.</w:t>
      </w:r>
    </w:p>
    <w:p>
      <w:pPr>
        <w:pStyle w:val="Heading3"/>
      </w:pPr>
      <w:r>
        <w:t>A.9.2 Projection Validation</w:t>
      </w:r>
    </w:p>
    <w:p>
      <w:r>
        <w:t>The 2025 monitoring data validates earlier projections:</w:t>
      </w:r>
    </w:p>
    <w:p>
      <w:pPr>
        <w:pStyle w:val="ListNumber"/>
      </w:pPr>
      <w:r>
        <w:t>Decline Rate: The observed decline rate is consistent with first-order decay models</w:t>
      </w:r>
    </w:p>
    <w:p>
      <w:pPr>
        <w:pStyle w:val="ListNumber"/>
      </w:pPr>
      <w:r>
        <w:t>Spatial Patterns: The non-uniform gas generation across the site matches predicted patterns</w:t>
      </w:r>
    </w:p>
    <w:p>
      <w:pPr>
        <w:pStyle w:val="ListNumber"/>
      </w:pPr>
      <w:r>
        <w:t>Operational Challenges: The need for batch burning was anticipated based on declining gas quality</w:t>
      </w:r>
    </w:p>
    <w:p>
      <w:pPr>
        <w:pStyle w:val="Heading2"/>
      </w:pPr>
      <w:r>
        <w:t>A.10 Conclusions</w:t>
      </w:r>
    </w:p>
    <w:p>
      <w:r>
        <w:t>The detailed analysis of 2025 gas monitoring data from Stormy West Landfill confirms:</w:t>
      </w:r>
    </w:p>
    <w:p>
      <w:pPr>
        <w:pStyle w:val="ListNumber"/>
      </w:pPr>
      <w:r>
        <w:t>Declining Gas Generation: The site is experiencing continued decline in both gas quantity and quality, consistent with a closed landfill in the late stages of decomposition.</w:t>
      </w:r>
    </w:p>
    <w:p>
      <w:pPr>
        <w:pStyle w:val="ListNumber"/>
      </w:pPr>
      <w:r>
        <w:t>Spatial Variability: Different areas of the site show varying levels of gas generation activity, with some areas more depleted than others.</w:t>
      </w:r>
    </w:p>
    <w:p>
      <w:pPr>
        <w:pStyle w:val="ListNumber"/>
      </w:pPr>
      <w:r>
        <w:t>Operational Implications: The declining gas quality necessitates changes to the gas management system to maintain effective and compliant operation.</w:t>
      </w:r>
    </w:p>
    <w:p>
      <w:pPr>
        <w:pStyle w:val="ListNumber"/>
      </w:pPr>
      <w:r>
        <w:t>Future Monitoring: Continued monitoring is essential to track the ongoing decline and inform management decisions.</w:t>
      </w:r>
    </w:p>
    <w:p>
      <w:r>
        <w:t>The data presented in this appendix provides the foundation for the gas generation projections and management recommendations presented in the main report.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openxmlformats.org/officeDocument/2006/relationships/customXml" Target="../customXml/item6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5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Stormy West Landfill</Site_x0020_Name>
    <Internal_x002f_External xmlns="859f7ad6-93f6-4205-b62b-a17f28acbbac">Incoming document</Internal_x002f_External>
    <Post_x0020_code xmlns="859f7ad6-93f6-4205-b62b-a17f28acbbac">CF32 0NP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Report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Mr Richard Beattie 121 Moffat Street Glasgow G5 0ND 0141 4297724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2025-10-13T23:00:00+00:00</Document_x0020_Date>
    <Facility_x0020_Address xmlns="859f7ad6-93f6-4205-b62b-a17f28acbbac">Stormy West landfill, Pyle, Bridgend</Facility_x0020_Address>
    <Environment_x0020_Sub_x0020_Folder xmlns="859f7ad6-93f6-4205-b62b-a17f28acbbac">Engineering</Environment_x0020_Sub_x0020_Folder>
    <Customer_x0020_Name xmlns="859f7ad6-93f6-4205-b62b-a17f28acbbac">Landcare (Manchester) Limited</Customer_x0020_Name>
    <Surrendered_x002f_Expired_x0020_Date xmlns="859f7ad6-93f6-4205-b62b-a17f28acbbac" xsi:nil="true"/>
    <_dlc_DocId xmlns="9be56660-2c31-41ef-bc00-23e72f632f2a">REGU-219-5543448</_dlc_DocId>
    <_dlc_DocIdUrl xmlns="9be56660-2c31-41ef-bc00-23e72f632f2a">
      <Url>https://cyfoethnaturiolcymru.sharepoint.com/teams/Regulatory/Permitting/_layouts/15/DocIdRedir.aspx?ID=REGU-219-5543448</Url>
      <Description>REGU-219-5543448</Description>
    </_dlc_DocIdUrl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F56763-8E6C-4DB4-B9B5-9A09E78035A9}"/>
</file>

<file path=customXml/itemProps3.xml><?xml version="1.0" encoding="utf-8"?>
<ds:datastoreItem xmlns:ds="http://schemas.openxmlformats.org/officeDocument/2006/customXml" ds:itemID="{0C8B172D-DDC3-47B5-A094-417466CEAB03}"/>
</file>

<file path=customXml/itemProps4.xml><?xml version="1.0" encoding="utf-8"?>
<ds:datastoreItem xmlns:ds="http://schemas.openxmlformats.org/officeDocument/2006/customXml" ds:itemID="{C9AB08CE-3192-4AD9-A714-76BF7E876509}"/>
</file>

<file path=customXml/itemProps5.xml><?xml version="1.0" encoding="utf-8"?>
<ds:datastoreItem xmlns:ds="http://schemas.openxmlformats.org/officeDocument/2006/customXml" ds:itemID="{B3284E4A-9695-4F09-BD37-09024754ECD8}"/>
</file>

<file path=customXml/itemProps6.xml><?xml version="1.0" encoding="utf-8"?>
<ds:datastoreItem xmlns:ds="http://schemas.openxmlformats.org/officeDocument/2006/customXml" ds:itemID="{F1102CE3-EC2F-4B56-B622-CAA59C9923A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b5bd3724-5235-4e69-b4ba-01a9583239c1</vt:lpwstr>
  </property>
  <property fmtid="{D5CDD505-2E9C-101B-9397-08002B2CF9AE}" pid="4" name="Order">
    <vt:r8>554344800</vt:r8>
  </property>
  <property fmtid="{D5CDD505-2E9C-101B-9397-08002B2CF9AE}" pid="5" name="MediaServiceImageTags">
    <vt:lpwstr/>
  </property>
</Properties>
</file>