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comments.xml" ContentType="application/vnd.openxmlformats-officedocument.wordprocessingml.comment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41" w:name="X98899739e08042236d5db0d24cb264e03495172"/>
    <w:p>
      <w:pPr>
        <w:pStyle w:val="Heading1"/>
      </w:pPr>
      <w:r>
        <w:t xml:space="preserve">Appendix E: Gas Generation Modeling Methodology</w:t>
      </w:r>
    </w:p>
    <w:bookmarkStart w:id="20" w:name="Xc979e5eb9ec6ba098b869b6ac116958e8cdab57"/>
    <w:p>
      <w:pPr>
        <w:pStyle w:val="Heading2"/>
      </w:pPr>
      <w:r>
        <w:t xml:space="preserve">E.1 Introduction to Landfill Gas Generation Modeling</w:t>
      </w:r>
    </w:p>
    <w:p>
      <w:pPr>
        <w:pStyle w:val="FirstParagraph"/>
      </w:pPr>
      <w:r>
        <w:t xml:space="preserve">Landfill gas (LFG) generation modeling is a critical tool for predicting future gas production rates and compositions at landfill sites. These models are essential for designing appropriate gas management systems, evaluating environmental impacts, and planning for long-term site management. This appendix details the modeling approach used for Stormy West Landfill, including the theoretical basis, UK-specific adaptations, and site-specific considerations.</w:t>
      </w:r>
    </w:p>
    <w:bookmarkEnd w:id="20"/>
    <w:bookmarkStart w:id="23" w:name="e.2-first-order-decay-model-framework"/>
    <w:p>
      <w:pPr>
        <w:pStyle w:val="Heading2"/>
      </w:pPr>
      <w:r>
        <w:t xml:space="preserve">E.2 First-Order Decay Model Framework</w:t>
      </w:r>
    </w:p>
    <w:bookmarkStart w:id="21" w:name="e.2.1-landgem-model"/>
    <w:p>
      <w:pPr>
        <w:pStyle w:val="Heading3"/>
      </w:pPr>
      <w:r>
        <w:t xml:space="preserve">E.2.1 LandGEM Model</w:t>
      </w:r>
    </w:p>
    <w:p>
      <w:pPr>
        <w:pStyle w:val="FirstParagraph"/>
      </w:pPr>
      <w:r>
        <w:t xml:space="preserve">The Landfill Gas Emissions Model (LandGEM) developed by the US Environmental Protection Agency is the most widely used model for estimating landfill gas generation. LandGEM uses a first-order decay equation to estimate methane generation:</w:t>
      </w:r>
    </w:p>
    <w:p>
      <w:pPr>
        <w:pStyle w:val="BodyText"/>
      </w:pPr>
      <m:oMathPara>
        <m:oMathParaPr>
          <m:jc m:val="center"/>
        </m:oMathParaPr>
        <m:oMath>
          <m:sSub>
            <m:e>
              <m:r>
                <m:t>Q</m:t>
              </m:r>
            </m:e>
            <m:sub>
              <m:r>
                <m:t>C</m:t>
              </m:r>
              <m:r>
                <m:t>H</m:t>
              </m:r>
              <m:r>
                <m:t>4</m:t>
              </m:r>
            </m:sub>
          </m:sSub>
          <m:r>
            <m:rPr>
              <m:sty m:val="p"/>
            </m:rPr>
            <m:t>=</m:t>
          </m:r>
          <m:nary>
            <m:naryPr>
              <m:chr m:val="∑"/>
              <m:limLoc m:val="undOvr"/>
              <m:subHide m:val="0"/>
              <m:supHide m:val="0"/>
            </m:naryPr>
            <m:sub>
              <m:r>
                <m:t>i</m:t>
              </m:r>
              <m:r>
                <m:rPr>
                  <m:sty m:val="p"/>
                </m:rPr>
                <m:t>=</m:t>
              </m:r>
              <m:r>
                <m:t>1</m:t>
              </m:r>
            </m:sub>
            <m:sup>
              <m:r>
                <m:t>n</m:t>
              </m:r>
            </m:sup>
            <m:e>
              <m:nary>
                <m:naryPr>
                  <m:chr m:val="∑"/>
                  <m:limLoc m:val="undOvr"/>
                  <m:subHide m:val="0"/>
                  <m:supHide m:val="0"/>
                </m:naryPr>
                <m:sub>
                  <m:r>
                    <m:t>j</m:t>
                  </m:r>
                  <m:r>
                    <m:rPr>
                      <m:sty m:val="p"/>
                    </m:rPr>
                    <m:t>=</m:t>
                  </m:r>
                  <m:r>
                    <m:t>0.1</m:t>
                  </m:r>
                </m:sub>
                <m:sup>
                  <m:r>
                    <m:t>1.0</m:t>
                  </m:r>
                </m:sup>
                <m:e>
                  <m:r>
                    <m:t>k</m:t>
                  </m:r>
                </m:e>
              </m:nary>
            </m:e>
          </m:nary>
          <m:sSub>
            <m:e>
              <m:r>
                <m:t>L</m:t>
              </m:r>
            </m:e>
            <m:sub>
              <m:r>
                <m:t>0</m:t>
              </m:r>
            </m:sub>
          </m:sSub>
          <m:d>
            <m:dPr>
              <m:begChr m:val="("/>
              <m:endChr m:val=")"/>
              <m:sepChr m:val=""/>
              <m:grow/>
            </m:dPr>
            <m:e>
              <m:f>
                <m:fPr>
                  <m:type m:val="bar"/>
                </m:fPr>
                <m:num>
                  <m:sSub>
                    <m:e>
                      <m:r>
                        <m:t>M</m:t>
                      </m:r>
                    </m:e>
                    <m:sub>
                      <m:r>
                        <m:t>i</m:t>
                      </m:r>
                    </m:sub>
                  </m:sSub>
                </m:num>
                <m:den>
                  <m:r>
                    <m:t>10</m:t>
                  </m:r>
                </m:den>
              </m:f>
            </m:e>
          </m:d>
          <m:sSup>
            <m:e>
              <m:r>
                <m:t>e</m:t>
              </m:r>
            </m:e>
            <m:sup>
              <m:r>
                <m:rPr>
                  <m:sty m:val="p"/>
                </m:rPr>
                <m:t>−</m:t>
              </m:r>
              <m:r>
                <m:t>k</m:t>
              </m:r>
              <m:sSub>
                <m:e>
                  <m:r>
                    <m:t>t</m:t>
                  </m:r>
                </m:e>
                <m:sub>
                  <m:r>
                    <m:t>i</m:t>
                  </m:r>
                  <m:r>
                    <m:t>j</m:t>
                  </m:r>
                </m:sub>
              </m:sSub>
            </m:sup>
          </m:sSup>
        </m:oMath>
      </m:oMathPara>
    </w:p>
    <w:p>
      <w:pPr>
        <w:pStyle w:val="FirstParagraph"/>
      </w:pPr>
      <w:r>
        <w:t xml:space="preserve">Where:</w:t>
      </w:r>
      <w:r>
        <w:t xml:space="preserve"> </w:t>
      </w:r>
      <w:r>
        <w:t xml:space="preserve">-</w:t>
      </w:r>
      <w:r>
        <w:t xml:space="preserve"> </w:t>
      </w:r>
      <m:oMath>
        <m:sSub>
          <m:e>
            <m:r>
              <m:t>Q</m:t>
            </m:r>
          </m:e>
          <m:sub>
            <m:r>
              <m:t>C</m:t>
            </m:r>
            <m:r>
              <m:t>H</m:t>
            </m:r>
            <m:r>
              <m:t>4</m:t>
            </m:r>
          </m:sub>
        </m:sSub>
      </m:oMath>
      <w:r>
        <w:t xml:space="preserve"> </w:t>
      </w:r>
      <w:r>
        <w:t xml:space="preserve">= estimated methane generation flow rate (m³/year)</w:t>
      </w:r>
      <w:r>
        <w:t xml:space="preserve"> </w:t>
      </w:r>
      <w:r>
        <w:t xml:space="preserve">-</w:t>
      </w:r>
      <w:r>
        <w:t xml:space="preserve"> </w:t>
      </w:r>
      <m:oMath>
        <m:r>
          <m:t>k</m:t>
        </m:r>
      </m:oMath>
      <w:r>
        <w:t xml:space="preserve"> </w:t>
      </w:r>
      <w:r>
        <w:t xml:space="preserve">= methane generation rate constant (1/year)</w:t>
      </w:r>
      <w:r>
        <w:t xml:space="preserve"> </w:t>
      </w:r>
      <w:r>
        <w:t xml:space="preserve">-</w:t>
      </w:r>
      <w:r>
        <w:t xml:space="preserve"> </w:t>
      </w:r>
      <m:oMath>
        <m:sSub>
          <m:e>
            <m:r>
              <m:t>L</m:t>
            </m:r>
          </m:e>
          <m:sub>
            <m:r>
              <m:t>0</m:t>
            </m:r>
          </m:sub>
        </m:sSub>
      </m:oMath>
      <w:r>
        <w:t xml:space="preserve"> </w:t>
      </w:r>
      <w:r>
        <w:t xml:space="preserve">= potential methane generation capacity (m³/Mg)</w:t>
      </w:r>
      <w:r>
        <w:t xml:space="preserve"> </w:t>
      </w:r>
      <w:r>
        <w:t xml:space="preserve">-</w:t>
      </w:r>
      <w:r>
        <w:t xml:space="preserve"> </w:t>
      </w:r>
      <m:oMath>
        <m:sSub>
          <m:e>
            <m:r>
              <m:t>M</m:t>
            </m:r>
          </m:e>
          <m:sub>
            <m:r>
              <m:t>i</m:t>
            </m:r>
          </m:sub>
        </m:sSub>
      </m:oMath>
      <w:r>
        <w:t xml:space="preserve"> </w:t>
      </w:r>
      <w:r>
        <w:t xml:space="preserve">= mass of waste disposed in the</w:t>
      </w:r>
      <w:r>
        <w:t xml:space="preserve"> </w:t>
      </w:r>
      <m:oMath>
        <m:sSup>
          <m:e>
            <m:r>
              <m:t>i</m:t>
            </m:r>
          </m:e>
          <m:sup>
            <m:r>
              <m:t>t</m:t>
            </m:r>
            <m:r>
              <m:t>h</m:t>
            </m:r>
          </m:sup>
        </m:sSup>
      </m:oMath>
      <w:r>
        <w:t xml:space="preserve"> </w:t>
      </w:r>
      <w:r>
        <w:t xml:space="preserve">year (Mg)</w:t>
      </w:r>
      <w:r>
        <w:t xml:space="preserve"> </w:t>
      </w:r>
      <w:r>
        <w:t xml:space="preserve">-</w:t>
      </w:r>
      <w:r>
        <w:t xml:space="preserve"> </w:t>
      </w:r>
      <m:oMath>
        <m:sSub>
          <m:e>
            <m:r>
              <m:t>t</m:t>
            </m:r>
          </m:e>
          <m:sub>
            <m:r>
              <m:t>i</m:t>
            </m:r>
            <m:r>
              <m:t>j</m:t>
            </m:r>
          </m:sub>
        </m:sSub>
      </m:oMath>
      <w:r>
        <w:t xml:space="preserve"> </w:t>
      </w:r>
      <w:r>
        <w:t xml:space="preserve">= age of the</w:t>
      </w:r>
      <w:r>
        <w:t xml:space="preserve"> </w:t>
      </w:r>
      <m:oMath>
        <m:sSup>
          <m:e>
            <m:r>
              <m:t>j</m:t>
            </m:r>
          </m:e>
          <m:sup>
            <m:r>
              <m:t>t</m:t>
            </m:r>
            <m:r>
              <m:t>h</m:t>
            </m:r>
          </m:sup>
        </m:sSup>
      </m:oMath>
      <w:r>
        <w:t xml:space="preserve"> </w:t>
      </w:r>
      <w:r>
        <w:t xml:space="preserve">section of waste mass disposed in the</w:t>
      </w:r>
      <w:r>
        <w:t xml:space="preserve"> </w:t>
      </w:r>
      <m:oMath>
        <m:sSup>
          <m:e>
            <m:r>
              <m:t>i</m:t>
            </m:r>
          </m:e>
          <m:sup>
            <m:r>
              <m:t>t</m:t>
            </m:r>
            <m:r>
              <m:t>h</m:t>
            </m:r>
          </m:sup>
        </m:sSup>
      </m:oMath>
      <w:r>
        <w:t xml:space="preserve"> </w:t>
      </w:r>
      <w:r>
        <w:t xml:space="preserve">year (decimal years)</w:t>
      </w:r>
    </w:p>
    <w:p>
      <w:pPr>
        <w:pStyle w:val="BodyText"/>
      </w:pPr>
      <w:r>
        <w:t xml:space="preserve">This equation models the exponential decay of gas production over time, which aligns with the biological processes of waste decomposition. The model assumes that methane generation is at its peak shortly after initial waste placement (after a short lag when anaerobic conditions are established) and then decreases exponentially as organic material is consumed by bacteria.</w:t>
      </w:r>
    </w:p>
    <w:bookmarkEnd w:id="21"/>
    <w:bookmarkStart w:id="22" w:name="e.2.2-key-model-parameters"/>
    <w:p>
      <w:pPr>
        <w:pStyle w:val="Heading3"/>
      </w:pPr>
      <w:r>
        <w:t xml:space="preserve">E.2.2 Key Model Parameters</w:t>
      </w:r>
    </w:p>
    <w:p>
      <w:pPr>
        <w:pStyle w:val="FirstParagraph"/>
      </w:pPr>
      <w:r>
        <w:t xml:space="preserve">The accuracy of first-order decay models depends heavily on the selection of appropriate values for two key parameters:</w:t>
      </w:r>
    </w:p>
    <w:p>
      <w:pPr>
        <w:numPr>
          <w:ilvl w:val="0"/>
          <w:numId w:val="1001"/>
        </w:numPr>
        <w:pStyle w:val="Compact"/>
      </w:pPr>
      <w:r>
        <w:rPr>
          <w:bCs/>
          <w:b/>
        </w:rPr>
        <w:t xml:space="preserve">Methane Generation Rate Constant (k)</w:t>
      </w:r>
      <w:r>
        <w:t xml:space="preserve">: This parameter describes the rate at which waste placed in a landfill decays and produces LFG. The k value is expressed in units of 1/year or yr⁻¹. Higher k values indicate faster decay rates, resulting in more rapid gas generation initially but also a steeper decline over time. The k value is primarily influenced by:</w:t>
      </w:r>
    </w:p>
    <w:p>
      <w:pPr>
        <w:numPr>
          <w:ilvl w:val="1"/>
          <w:numId w:val="1002"/>
        </w:numPr>
        <w:pStyle w:val="Compact"/>
      </w:pPr>
      <w:r>
        <w:t xml:space="preserve">Waste moisture content</w:t>
      </w:r>
    </w:p>
    <w:p>
      <w:pPr>
        <w:numPr>
          <w:ilvl w:val="1"/>
          <w:numId w:val="1002"/>
        </w:numPr>
        <w:pStyle w:val="Compact"/>
      </w:pPr>
      <w:r>
        <w:t xml:space="preserve">Availability of nutrients for methane-generating bacteria</w:t>
      </w:r>
    </w:p>
    <w:p>
      <w:pPr>
        <w:numPr>
          <w:ilvl w:val="1"/>
          <w:numId w:val="1002"/>
        </w:numPr>
        <w:pStyle w:val="Compact"/>
      </w:pPr>
      <w:r>
        <w:t xml:space="preserve">pH conditions</w:t>
      </w:r>
    </w:p>
    <w:p>
      <w:pPr>
        <w:numPr>
          <w:ilvl w:val="1"/>
          <w:numId w:val="1002"/>
        </w:numPr>
        <w:pStyle w:val="Compact"/>
      </w:pPr>
      <w:r>
        <w:t xml:space="preserve">Temperature</w:t>
      </w:r>
    </w:p>
    <w:p>
      <w:pPr>
        <w:numPr>
          <w:ilvl w:val="0"/>
          <w:numId w:val="1001"/>
        </w:numPr>
        <w:pStyle w:val="Compact"/>
      </w:pPr>
      <w:r>
        <w:rPr>
          <w:bCs/>
          <w:b/>
        </w:rPr>
        <w:t xml:space="preserve">Potential Methane Generation Capacity (L₀)</w:t>
      </w:r>
      <w:r>
        <w:t xml:space="preserve">: This parameter describes the total amount of methane potentially produced by a metric ton of waste as it decays. L₀ is expressed in units of m³/Mg (cubic meters per megagram or tonne of waste). The L₀ value depends almost entirely on the type and organic content of the waste present in the landfill.</w:t>
      </w:r>
    </w:p>
    <w:bookmarkEnd w:id="22"/>
    <w:bookmarkEnd w:id="23"/>
    <w:bookmarkStart w:id="28" w:name="e.3-uk-specific-adaptations"/>
    <w:p>
      <w:pPr>
        <w:pStyle w:val="Heading2"/>
      </w:pPr>
      <w:r>
        <w:t xml:space="preserve">E.3 UK-Specific Adaptations</w:t>
      </w:r>
    </w:p>
    <w:p>
      <w:pPr>
        <w:pStyle w:val="FirstParagraph"/>
      </w:pPr>
      <w:r>
        <w:t xml:space="preserve">While LandGEM was developed in the United States, it requires adaptation for use in the UK context due to significant differences in climate, waste composition, and landfill design practices.</w:t>
      </w:r>
    </w:p>
    <w:bookmarkStart w:id="24" w:name="e.3.1-climate-considerations"/>
    <w:p>
      <w:pPr>
        <w:pStyle w:val="Heading3"/>
      </w:pPr>
      <w:r>
        <w:t xml:space="preserve">E.3.1 Climate Considerations</w:t>
      </w:r>
    </w:p>
    <w:p>
      <w:pPr>
        <w:pStyle w:val="FirstParagraph"/>
      </w:pPr>
      <w:r>
        <w:t xml:space="preserve">The UK generally experiences:</w:t>
      </w:r>
      <w:r>
        <w:t xml:space="preserve"> </w:t>
      </w:r>
      <w:r>
        <w:t xml:space="preserve">- Higher annual precipitation than many parts of the US</w:t>
      </w:r>
      <w:r>
        <w:t xml:space="preserve"> </w:t>
      </w:r>
      <w:r>
        <w:t xml:space="preserve">- More consistent rainfall throughout the year</w:t>
      </w:r>
      <w:r>
        <w:t xml:space="preserve"> </w:t>
      </w:r>
      <w:r>
        <w:t xml:space="preserve">- Cooler average temperatures</w:t>
      </w:r>
      <w:r>
        <w:t xml:space="preserve"> </w:t>
      </w:r>
      <w:r>
        <w:t xml:space="preserve">- Less extreme seasonal temperature variations</w:t>
      </w:r>
    </w:p>
    <w:p>
      <w:pPr>
        <w:pStyle w:val="BodyText"/>
      </w:pPr>
      <w:r>
        <w:t xml:space="preserve">These climatic factors affect waste decomposition rates and consequently the k value. The higher moisture content in UK landfills due to greater precipitation can enhance decomposition, but cooler temperatures can slow biological processes. Research by the Environment Agency has suggested that k values for UK landfills typically range from 0.038 to 0.057 year⁻¹, compared to the default LandGEM values of 0.04 to 0.70 year⁻¹.</w:t>
      </w:r>
    </w:p>
    <w:bookmarkEnd w:id="24"/>
    <w:bookmarkStart w:id="25" w:name="e.3.2-waste-composition-differences"/>
    <w:p>
      <w:pPr>
        <w:pStyle w:val="Heading3"/>
      </w:pPr>
      <w:r>
        <w:t xml:space="preserve">E.3.2 Waste Composition Differences</w:t>
      </w:r>
    </w:p>
    <w:p>
      <w:pPr>
        <w:pStyle w:val="FirstParagraph"/>
      </w:pPr>
      <w:r>
        <w:t xml:space="preserve">Historical UK municipal waste has differed from US waste in several ways:</w:t>
      </w:r>
      <w:r>
        <w:t xml:space="preserve"> </w:t>
      </w:r>
      <w:r>
        <w:t xml:space="preserve">- Different packaging practices and materials</w:t>
      </w:r>
      <w:r>
        <w:t xml:space="preserve"> </w:t>
      </w:r>
      <w:r>
        <w:t xml:space="preserve">- Varying proportions of organic kitchen and garden waste</w:t>
      </w:r>
      <w:r>
        <w:t xml:space="preserve"> </w:t>
      </w:r>
      <w:r>
        <w:t xml:space="preserve">- Different industrial waste streams</w:t>
      </w:r>
      <w:r>
        <w:t xml:space="preserve"> </w:t>
      </w:r>
      <w:r>
        <w:t xml:space="preserve">- Changes in waste management practices over time</w:t>
      </w:r>
    </w:p>
    <w:p>
      <w:pPr>
        <w:pStyle w:val="BodyText"/>
      </w:pPr>
      <w:r>
        <w:t xml:space="preserve">These differences affect the L₀ value, which represents the methane generation potential. Studies of UK landfills suggest L₀ values typically range from 80 to 120 m³/tonne for municipal waste from the 1980s and 1990s.</w:t>
      </w:r>
    </w:p>
    <w:bookmarkEnd w:id="25"/>
    <w:bookmarkStart w:id="26" w:name="X72db7f32da451cda264ba4688d66b024f4946ce"/>
    <w:p>
      <w:pPr>
        <w:pStyle w:val="Heading3"/>
      </w:pPr>
      <w:r>
        <w:t xml:space="preserve">E.3.3 Dilute and Disperse Landfill Considerations</w:t>
      </w:r>
    </w:p>
    <w:p>
      <w:pPr>
        <w:pStyle w:val="FirstParagraph"/>
      </w:pPr>
      <w:r>
        <w:t xml:space="preserve">Stormy West Landfill was designed and operated as a dilute and disperse site, which was common practice in the UK before the implementation of the EU Landfill Directive. These sites have several characteristics that affect gas generation and collection:</w:t>
      </w:r>
    </w:p>
    <w:p>
      <w:pPr>
        <w:numPr>
          <w:ilvl w:val="0"/>
          <w:numId w:val="1003"/>
        </w:numPr>
      </w:pPr>
      <w:r>
        <w:rPr>
          <w:bCs/>
          <w:b/>
        </w:rPr>
        <w:t xml:space="preserve">Absence of Engineered Liner</w:t>
      </w:r>
      <w:r>
        <w:t xml:space="preserve">: Unlike modern containment landfills, dilute and disperse sites lack engineered liner systems, allowing greater interaction between the waste mass and surrounding geology.</w:t>
      </w:r>
    </w:p>
    <w:p>
      <w:pPr>
        <w:numPr>
          <w:ilvl w:val="0"/>
          <w:numId w:val="1003"/>
        </w:numPr>
      </w:pPr>
      <w:r>
        <w:rPr>
          <w:bCs/>
          <w:b/>
        </w:rPr>
        <w:t xml:space="preserve">Leachate Movement</w:t>
      </w:r>
      <w:r>
        <w:t xml:space="preserve">: Leachate can move more freely through the waste and into surrounding strata, affecting moisture distribution within the waste mass.</w:t>
      </w:r>
    </w:p>
    <w:p>
      <w:pPr>
        <w:numPr>
          <w:ilvl w:val="0"/>
          <w:numId w:val="1003"/>
        </w:numPr>
      </w:pPr>
      <w:r>
        <w:rPr>
          <w:bCs/>
          <w:b/>
        </w:rPr>
        <w:t xml:space="preserve">Gas Migration Pathways</w:t>
      </w:r>
      <w:r>
        <w:t xml:space="preserve">: Gas can migrate laterally through permeable strata rather than being contained within the waste mass, potentially reducing the amount available for collection.</w:t>
      </w:r>
    </w:p>
    <w:p>
      <w:pPr>
        <w:numPr>
          <w:ilvl w:val="0"/>
          <w:numId w:val="1003"/>
        </w:numPr>
      </w:pPr>
      <w:r>
        <w:rPr>
          <w:bCs/>
          <w:b/>
        </w:rPr>
        <w:t xml:space="preserve">Interaction with Groundwater</w:t>
      </w:r>
      <w:r>
        <w:t xml:space="preserve">: Fluctuating groundwater levels can interact with the waste mass, affecting degradation processes and gas production.</w:t>
      </w:r>
    </w:p>
    <w:p>
      <w:pPr>
        <w:pStyle w:val="FirstParagraph"/>
      </w:pPr>
      <w:r>
        <w:t xml:space="preserve">Research by Caine et al. (2019) on dilute and disperse landfills in the UK has shown that these sites often exhibit different gas generation patterns compared to modern engineered facilities, with potentially:</w:t>
      </w:r>
      <w:r>
        <w:t xml:space="preserve"> </w:t>
      </w:r>
      <w:r>
        <w:t xml:space="preserve">- Lower overall gas collection efficiency</w:t>
      </w:r>
      <w:r>
        <w:t xml:space="preserve"> </w:t>
      </w:r>
      <w:r>
        <w:t xml:space="preserve">- More variable methane concentrations</w:t>
      </w:r>
      <w:r>
        <w:t xml:space="preserve"> </w:t>
      </w:r>
      <w:r>
        <w:t xml:space="preserve">- Greater influence of seasonal factors on gas production</w:t>
      </w:r>
    </w:p>
    <w:bookmarkEnd w:id="26"/>
    <w:bookmarkStart w:id="27" w:name="e.3.4-limestone-geology-considerations"/>
    <w:p>
      <w:pPr>
        <w:pStyle w:val="Heading3"/>
      </w:pPr>
      <w:r>
        <w:t xml:space="preserve">E.3.4 Limestone Geology Considerations</w:t>
      </w:r>
    </w:p>
    <w:p>
      <w:pPr>
        <w:pStyle w:val="FirstParagraph"/>
      </w:pPr>
      <w:r>
        <w:t xml:space="preserve">The limestone geology beneath Stormy West Landfill presents additional factors that must be considered in gas generation modeling:</w:t>
      </w:r>
    </w:p>
    <w:p>
      <w:pPr>
        <w:numPr>
          <w:ilvl w:val="0"/>
          <w:numId w:val="1004"/>
        </w:numPr>
      </w:pPr>
      <w:r>
        <w:rPr>
          <w:bCs/>
          <w:b/>
        </w:rPr>
        <w:t xml:space="preserve">Fracture Networks</w:t>
      </w:r>
      <w:r>
        <w:t xml:space="preserve">: Limestone often contains fracture networks that can serve as preferential pathways for both leachate and gas migration.</w:t>
      </w:r>
    </w:p>
    <w:p>
      <w:pPr>
        <w:numPr>
          <w:ilvl w:val="0"/>
          <w:numId w:val="1004"/>
        </w:numPr>
      </w:pPr>
      <w:r>
        <w:rPr>
          <w:bCs/>
          <w:b/>
        </w:rPr>
        <w:t xml:space="preserve">Karst Features</w:t>
      </w:r>
      <w:r>
        <w:t xml:space="preserve">: The potential presence of karst features in limestone can create complex migration pathways that are difficult to predict.</w:t>
      </w:r>
    </w:p>
    <w:p>
      <w:pPr>
        <w:numPr>
          <w:ilvl w:val="0"/>
          <w:numId w:val="1004"/>
        </w:numPr>
      </w:pPr>
      <w:r>
        <w:rPr>
          <w:bCs/>
          <w:b/>
        </w:rPr>
        <w:t xml:space="preserve">Buffering Capacity</w:t>
      </w:r>
      <w:r>
        <w:t xml:space="preserve">: Limestone has a natural buffering capacity that can help maintain optimal pH conditions for methanogenic bacteria, potentially extending the gas generation period.</w:t>
      </w:r>
    </w:p>
    <w:p>
      <w:pPr>
        <w:numPr>
          <w:ilvl w:val="0"/>
          <w:numId w:val="1004"/>
        </w:numPr>
      </w:pPr>
      <w:r>
        <w:rPr>
          <w:bCs/>
          <w:b/>
        </w:rPr>
        <w:t xml:space="preserve">Groundwater Interaction</w:t>
      </w:r>
      <w:r>
        <w:t xml:space="preserve">: The interaction between groundwater moving through limestone strata and the landfill waste mass can influence degradation rates and gas production.</w:t>
      </w:r>
    </w:p>
    <w:bookmarkEnd w:id="27"/>
    <w:bookmarkEnd w:id="28"/>
    <w:bookmarkStart w:id="32" w:name="X24714ba7d07afae7d6c753546e3c37811ad5b78"/>
    <w:p>
      <w:pPr>
        <w:pStyle w:val="Heading2"/>
      </w:pPr>
      <w:r>
        <w:t xml:space="preserve">E.4 Model Calibration for Stormy West Landfill</w:t>
      </w:r>
    </w:p>
    <w:bookmarkStart w:id="29" w:name="e.4.1-parameter-selection"/>
    <w:p>
      <w:pPr>
        <w:pStyle w:val="Heading3"/>
      </w:pPr>
      <w:r>
        <w:t xml:space="preserve">E.4.1 Parameter Selection</w:t>
      </w:r>
    </w:p>
    <w:p>
      <w:pPr>
        <w:pStyle w:val="FirstParagraph"/>
      </w:pPr>
      <w:r>
        <w:t xml:space="preserve">Based on the considerations outlined above, the following parameters were selected for modeling gas generation at Stormy West Landfill:</w:t>
      </w:r>
    </w:p>
    <w:p>
      <w:pPr>
        <w:numPr>
          <w:ilvl w:val="0"/>
          <w:numId w:val="1005"/>
        </w:numPr>
        <w:pStyle w:val="Compact"/>
      </w:pPr>
      <w:r>
        <w:rPr>
          <w:bCs/>
          <w:b/>
        </w:rPr>
        <w:t xml:space="preserve">k value</w:t>
      </w:r>
      <w:r>
        <w:t xml:space="preserve">: 0.04 year⁻¹</w:t>
      </w:r>
    </w:p>
    <w:p>
      <w:pPr>
        <w:numPr>
          <w:ilvl w:val="1"/>
          <w:numId w:val="1006"/>
        </w:numPr>
        <w:pStyle w:val="Compact"/>
      </w:pPr>
      <w:r>
        <w:t xml:space="preserve">Justification: This value is at the lower end of the typical range for UK sites (0.038-0.057 year⁻¹) and accounts for:</w:t>
      </w:r>
    </w:p>
    <w:p>
      <w:pPr>
        <w:numPr>
          <w:ilvl w:val="2"/>
          <w:numId w:val="1007"/>
        </w:numPr>
        <w:pStyle w:val="Compact"/>
      </w:pPr>
      <w:r>
        <w:t xml:space="preserve">The site’s age (closed since 1996)</w:t>
      </w:r>
    </w:p>
    <w:p>
      <w:pPr>
        <w:numPr>
          <w:ilvl w:val="2"/>
          <w:numId w:val="1007"/>
        </w:numPr>
        <w:pStyle w:val="Compact"/>
      </w:pPr>
      <w:r>
        <w:t xml:space="preserve">The cooler, wetter Welsh climate</w:t>
      </w:r>
    </w:p>
    <w:p>
      <w:pPr>
        <w:numPr>
          <w:ilvl w:val="2"/>
          <w:numId w:val="1007"/>
        </w:numPr>
        <w:pStyle w:val="Compact"/>
      </w:pPr>
      <w:r>
        <w:t xml:space="preserve">The presence of a low permeability cap and solar panel installation since 2016 (reducing infiltration)</w:t>
      </w:r>
    </w:p>
    <w:p>
      <w:pPr>
        <w:numPr>
          <w:ilvl w:val="0"/>
          <w:numId w:val="1005"/>
        </w:numPr>
        <w:pStyle w:val="Compact"/>
      </w:pPr>
      <w:r>
        <w:rPr>
          <w:bCs/>
          <w:b/>
        </w:rPr>
        <w:t xml:space="preserve">L₀ value</w:t>
      </w:r>
      <w:r>
        <w:t xml:space="preserve">: 100 m³/tonne</w:t>
      </w:r>
    </w:p>
    <w:p>
      <w:pPr>
        <w:numPr>
          <w:ilvl w:val="1"/>
          <w:numId w:val="1008"/>
        </w:numPr>
        <w:pStyle w:val="Compact"/>
      </w:pPr>
      <w:r>
        <w:t xml:space="preserve">Justification: This value reflects:</w:t>
      </w:r>
    </w:p>
    <w:p>
      <w:pPr>
        <w:numPr>
          <w:ilvl w:val="2"/>
          <w:numId w:val="1009"/>
        </w:numPr>
        <w:pStyle w:val="Compact"/>
      </w:pPr>
      <w:r>
        <w:t xml:space="preserve">The lower end of the typical range for UK municipal waste from the 1985-1996 period</w:t>
      </w:r>
    </w:p>
    <w:p>
      <w:pPr>
        <w:numPr>
          <w:ilvl w:val="2"/>
          <w:numId w:val="1009"/>
        </w:numPr>
        <w:pStyle w:val="Compact"/>
      </w:pPr>
      <w:r>
        <w:t xml:space="preserve">The mixed waste composition (household, industrial, commercial)</w:t>
      </w:r>
    </w:p>
    <w:p>
      <w:pPr>
        <w:numPr>
          <w:ilvl w:val="2"/>
          <w:numId w:val="1009"/>
        </w:numPr>
        <w:pStyle w:val="Compact"/>
      </w:pPr>
      <w:r>
        <w:t xml:space="preserve">The dilution effect of the unlined site</w:t>
      </w:r>
    </w:p>
    <w:p>
      <w:pPr>
        <w:numPr>
          <w:ilvl w:val="0"/>
          <w:numId w:val="1005"/>
        </w:numPr>
        <w:pStyle w:val="Compact"/>
      </w:pPr>
      <w:r>
        <w:rPr>
          <w:bCs/>
          <w:b/>
        </w:rPr>
        <w:t xml:space="preserve">Collection Efficiency</w:t>
      </w:r>
      <w:r>
        <w:t xml:space="preserve">: 75%</w:t>
      </w:r>
    </w:p>
    <w:p>
      <w:pPr>
        <w:numPr>
          <w:ilvl w:val="1"/>
          <w:numId w:val="1010"/>
        </w:numPr>
        <w:pStyle w:val="Compact"/>
      </w:pPr>
      <w:r>
        <w:t xml:space="preserve">Justification: This value accounts for:</w:t>
      </w:r>
    </w:p>
    <w:p>
      <w:pPr>
        <w:numPr>
          <w:ilvl w:val="2"/>
          <w:numId w:val="1011"/>
        </w:numPr>
        <w:pStyle w:val="Compact"/>
      </w:pPr>
      <w:r>
        <w:t xml:space="preserve">The presence of a final cover with low permeability clay cap</w:t>
      </w:r>
    </w:p>
    <w:p>
      <w:pPr>
        <w:numPr>
          <w:ilvl w:val="2"/>
          <w:numId w:val="1011"/>
        </w:numPr>
        <w:pStyle w:val="Compact"/>
      </w:pPr>
      <w:r>
        <w:t xml:space="preserve">The active extraction system with four manifold legs</w:t>
      </w:r>
    </w:p>
    <w:p>
      <w:pPr>
        <w:numPr>
          <w:ilvl w:val="2"/>
          <w:numId w:val="1011"/>
        </w:numPr>
        <w:pStyle w:val="Compact"/>
      </w:pPr>
      <w:r>
        <w:t xml:space="preserve">The potential for lateral migration in an unlined site</w:t>
      </w:r>
    </w:p>
    <w:p>
      <w:pPr>
        <w:numPr>
          <w:ilvl w:val="2"/>
          <w:numId w:val="1011"/>
        </w:numPr>
        <w:pStyle w:val="Compact"/>
      </w:pPr>
      <w:r>
        <w:t xml:space="preserve">The age and settlement of the waste mass</w:t>
      </w:r>
    </w:p>
    <w:bookmarkEnd w:id="29"/>
    <w:bookmarkStart w:id="30" w:name="e.4.2-model-validation"/>
    <w:p>
      <w:pPr>
        <w:pStyle w:val="Heading3"/>
      </w:pPr>
      <w:r>
        <w:t xml:space="preserve">E.4.2 Model Validation</w:t>
      </w:r>
    </w:p>
    <w:p>
      <w:pPr>
        <w:pStyle w:val="FirstParagraph"/>
      </w:pPr>
      <w:r>
        <w:t xml:space="preserve">The model was validated using:</w:t>
      </w:r>
    </w:p>
    <w:p>
      <w:pPr>
        <w:numPr>
          <w:ilvl w:val="0"/>
          <w:numId w:val="1012"/>
        </w:numPr>
      </w:pPr>
      <w:r>
        <w:rPr>
          <w:bCs/>
          <w:b/>
        </w:rPr>
        <w:t xml:space="preserve">Historical Data</w:t>
      </w:r>
      <w:r>
        <w:t xml:space="preserve">: Comparison of model predictions with historical gas collection data from the site.</w:t>
      </w:r>
    </w:p>
    <w:p>
      <w:pPr>
        <w:numPr>
          <w:ilvl w:val="0"/>
          <w:numId w:val="1012"/>
        </w:numPr>
      </w:pPr>
      <w:r>
        <w:rPr>
          <w:bCs/>
          <w:b/>
        </w:rPr>
        <w:t xml:space="preserve">Current Baseline</w:t>
      </w:r>
      <w:r>
        <w:t xml:space="preserve">: Calibration against the current (2025) operational data showing:</w:t>
      </w:r>
    </w:p>
    <w:p>
      <w:pPr>
        <w:numPr>
          <w:ilvl w:val="1"/>
          <w:numId w:val="1013"/>
        </w:numPr>
        <w:pStyle w:val="Compact"/>
      </w:pPr>
      <w:r>
        <w:t xml:space="preserve">Average methane concentration: 20.93%</w:t>
      </w:r>
    </w:p>
    <w:p>
      <w:pPr>
        <w:numPr>
          <w:ilvl w:val="1"/>
          <w:numId w:val="1013"/>
        </w:numPr>
        <w:pStyle w:val="Compact"/>
      </w:pPr>
      <w:r>
        <w:t xml:space="preserve">Average operational flow rate: 180-185 m³/hr</w:t>
      </w:r>
    </w:p>
    <w:p>
      <w:pPr>
        <w:numPr>
          <w:ilvl w:val="1"/>
          <w:numId w:val="1013"/>
        </w:numPr>
        <w:pStyle w:val="Compact"/>
      </w:pPr>
      <w:r>
        <w:t xml:space="preserve">Current operational pattern: 3 days on/4 days off (approximately 50% duty cycle)</w:t>
      </w:r>
    </w:p>
    <w:p>
      <w:pPr>
        <w:numPr>
          <w:ilvl w:val="0"/>
          <w:numId w:val="1012"/>
        </w:numPr>
      </w:pPr>
      <w:r>
        <w:rPr>
          <w:bCs/>
          <w:b/>
        </w:rPr>
        <w:t xml:space="preserve">Operational Observations</w:t>
      </w:r>
      <w:r>
        <w:t xml:space="preserve">: Alignment with observed operational patterns, particularly the need for batch operation to maintain effective flaring.</w:t>
      </w:r>
    </w:p>
    <w:bookmarkEnd w:id="30"/>
    <w:bookmarkStart w:id="31" w:name="e.4.3-sensitivity-analysis"/>
    <w:p>
      <w:pPr>
        <w:pStyle w:val="Heading3"/>
      </w:pPr>
      <w:r>
        <w:t xml:space="preserve">E.4.3 Sensitivity Analysis</w:t>
      </w:r>
    </w:p>
    <w:p>
      <w:pPr>
        <w:pStyle w:val="FirstParagraph"/>
      </w:pPr>
      <w:r>
        <w:t xml:space="preserve">A sensitivity analysis was conducted to assess the impact of varying key parameters:</w:t>
      </w:r>
    </w:p>
    <w:p>
      <w:pPr>
        <w:numPr>
          <w:ilvl w:val="0"/>
          <w:numId w:val="1014"/>
        </w:numPr>
        <w:pStyle w:val="Compact"/>
      </w:pPr>
      <w:r>
        <w:rPr>
          <w:bCs/>
          <w:b/>
        </w:rPr>
        <w:t xml:space="preserve">k value</w:t>
      </w:r>
      <w:r>
        <w:t xml:space="preserve">: Testing values from 0.035 to 0.045 year⁻¹</w:t>
      </w:r>
    </w:p>
    <w:p>
      <w:pPr>
        <w:numPr>
          <w:ilvl w:val="1"/>
          <w:numId w:val="1015"/>
        </w:numPr>
        <w:pStyle w:val="Compact"/>
      </w:pPr>
      <w:r>
        <w:t xml:space="preserve">Impact: A 0.005 change in k value resulted in approximately 5-8% difference in projected gas generation by 2035.</w:t>
      </w:r>
    </w:p>
    <w:p>
      <w:pPr>
        <w:numPr>
          <w:ilvl w:val="0"/>
          <w:numId w:val="1014"/>
        </w:numPr>
        <w:pStyle w:val="Compact"/>
      </w:pPr>
      <w:r>
        <w:rPr>
          <w:bCs/>
          <w:b/>
        </w:rPr>
        <w:t xml:space="preserve">L₀ value</w:t>
      </w:r>
      <w:r>
        <w:t xml:space="preserve">: Testing values from 90 to 110 m³/tonne</w:t>
      </w:r>
    </w:p>
    <w:p>
      <w:pPr>
        <w:numPr>
          <w:ilvl w:val="1"/>
          <w:numId w:val="1016"/>
        </w:numPr>
        <w:pStyle w:val="Compact"/>
      </w:pPr>
      <w:r>
        <w:t xml:space="preserve">Impact: A 10 m³/tonne change in L₀ resulted in approximately 10% difference in projected gas generation.</w:t>
      </w:r>
    </w:p>
    <w:p>
      <w:pPr>
        <w:numPr>
          <w:ilvl w:val="0"/>
          <w:numId w:val="1014"/>
        </w:numPr>
        <w:pStyle w:val="Compact"/>
      </w:pPr>
      <w:r>
        <w:rPr>
          <w:bCs/>
          <w:b/>
        </w:rPr>
        <w:t xml:space="preserve">Collection Efficiency</w:t>
      </w:r>
      <w:r>
        <w:t xml:space="preserve">: Testing values from 70% to 80%</w:t>
      </w:r>
    </w:p>
    <w:p>
      <w:pPr>
        <w:numPr>
          <w:ilvl w:val="1"/>
          <w:numId w:val="1017"/>
        </w:numPr>
        <w:pStyle w:val="Compact"/>
      </w:pPr>
      <w:r>
        <w:t xml:space="preserve">Impact: A 5% change in collection efficiency resulted in approximately 5% difference in collected gas volumes.</w:t>
      </w:r>
    </w:p>
    <w:p>
      <w:pPr>
        <w:pStyle w:val="FirstParagraph"/>
      </w:pPr>
      <w:r>
        <w:t xml:space="preserve">The sensitivity analysis confirmed that the selected parameters provide a reasonable basis for projections while acknowledging the inherent uncertainty in long-term forecasting.</w:t>
      </w:r>
    </w:p>
    <w:bookmarkEnd w:id="31"/>
    <w:bookmarkEnd w:id="32"/>
    <w:bookmarkStart w:id="36" w:name="e.5-projection-methodology"/>
    <w:p>
      <w:pPr>
        <w:pStyle w:val="Heading2"/>
      </w:pPr>
      <w:r>
        <w:t xml:space="preserve">E.5 Projection Methodology</w:t>
      </w:r>
    </w:p>
    <w:bookmarkStart w:id="33" w:name="e.5.1-methane-generation-potential"/>
    <w:p>
      <w:pPr>
        <w:pStyle w:val="Heading3"/>
      </w:pPr>
      <w:r>
        <w:t xml:space="preserve">E.5.1 Methane Generation Potential</w:t>
      </w:r>
    </w:p>
    <w:p>
      <w:pPr>
        <w:pStyle w:val="FirstParagraph"/>
      </w:pPr>
      <w:r>
        <w:t xml:space="preserve">The methane generation potential was calculated using the first-order decay equation with the selected parameters. For a site that has been closed for nearly 30 years, the equation can be simplified to focus on the remaining waste mass as a single cohort:</w:t>
      </w:r>
    </w:p>
    <w:p>
      <w:pPr>
        <w:pStyle w:val="BodyText"/>
      </w:pPr>
      <m:oMathPara>
        <m:oMathParaPr>
          <m:jc m:val="center"/>
        </m:oMathParaPr>
        <m:oMath>
          <m:sSub>
            <m:e>
              <m:r>
                <m:t>Q</m:t>
              </m:r>
            </m:e>
            <m:sub>
              <m:r>
                <m:t>C</m:t>
              </m:r>
              <m:r>
                <m:t>H</m:t>
              </m:r>
              <m:r>
                <m:t>4</m:t>
              </m:r>
            </m:sub>
          </m:sSub>
          <m:r>
            <m:rPr>
              <m:sty m:val="p"/>
            </m:rPr>
            <m:t>=</m:t>
          </m:r>
          <m:sSub>
            <m:e>
              <m:r>
                <m:t>L</m:t>
              </m:r>
            </m:e>
            <m:sub>
              <m:r>
                <m:t>0</m:t>
              </m:r>
            </m:sub>
          </m:sSub>
          <m:r>
            <m:rPr>
              <m:sty m:val="p"/>
            </m:rPr>
            <m:t>×</m:t>
          </m:r>
          <m:r>
            <m:t>M</m:t>
          </m:r>
          <m:r>
            <m:rPr>
              <m:sty m:val="p"/>
            </m:rPr>
            <m:t>×</m:t>
          </m:r>
          <m:r>
            <m:t>k</m:t>
          </m:r>
          <m:r>
            <m:rPr>
              <m:sty m:val="p"/>
            </m:rPr>
            <m:t>×</m:t>
          </m:r>
          <m:sSup>
            <m:e>
              <m:r>
                <m:t>e</m:t>
              </m:r>
            </m:e>
            <m:sup>
              <m:r>
                <m:rPr>
                  <m:sty m:val="p"/>
                </m:rPr>
                <m:t>−</m:t>
              </m:r>
              <m:r>
                <m:t>k</m:t>
              </m:r>
              <m:d>
                <m:dPr>
                  <m:begChr m:val="("/>
                  <m:endChr m:val=")"/>
                  <m:sepChr m:val=""/>
                  <m:grow/>
                </m:dPr>
                <m:e>
                  <m:r>
                    <m:t>t</m:t>
                  </m:r>
                  <m:r>
                    <m:rPr>
                      <m:sty m:val="p"/>
                    </m:rPr>
                    <m:t>−</m:t>
                  </m:r>
                  <m:sSub>
                    <m:e>
                      <m:r>
                        <m:t>t</m:t>
                      </m:r>
                    </m:e>
                    <m:sub>
                      <m:r>
                        <m:t>0</m:t>
                      </m:r>
                    </m:sub>
                  </m:sSub>
                </m:e>
              </m:d>
            </m:sup>
          </m:sSup>
        </m:oMath>
      </m:oMathPara>
    </w:p>
    <w:p>
      <w:pPr>
        <w:pStyle w:val="FirstParagraph"/>
      </w:pPr>
      <w:r>
        <w:t xml:space="preserve">Where:</w:t>
      </w:r>
      <w:r>
        <w:t xml:space="preserve"> </w:t>
      </w:r>
      <w:r>
        <w:t xml:space="preserve">-</w:t>
      </w:r>
      <w:r>
        <w:t xml:space="preserve"> </w:t>
      </w:r>
      <m:oMath>
        <m:sSub>
          <m:e>
            <m:r>
              <m:t>Q</m:t>
            </m:r>
          </m:e>
          <m:sub>
            <m:r>
              <m:t>C</m:t>
            </m:r>
            <m:r>
              <m:t>H</m:t>
            </m:r>
            <m:r>
              <m:t>4</m:t>
            </m:r>
          </m:sub>
        </m:sSub>
      </m:oMath>
      <w:r>
        <w:t xml:space="preserve"> </w:t>
      </w:r>
      <w:r>
        <w:t xml:space="preserve">= methane generation rate in year t (m³/year)</w:t>
      </w:r>
      <w:r>
        <w:t xml:space="preserve"> </w:t>
      </w:r>
      <w:r>
        <w:t xml:space="preserve">-</w:t>
      </w:r>
      <w:r>
        <w:t xml:space="preserve"> </w:t>
      </w:r>
      <m:oMath>
        <m:sSub>
          <m:e>
            <m:r>
              <m:t>L</m:t>
            </m:r>
          </m:e>
          <m:sub>
            <m:r>
              <m:t>0</m:t>
            </m:r>
          </m:sub>
        </m:sSub>
      </m:oMath>
      <w:r>
        <w:t xml:space="preserve"> </w:t>
      </w:r>
      <w:r>
        <w:t xml:space="preserve">= 100 m³/tonne</w:t>
      </w:r>
      <w:r>
        <w:t xml:space="preserve"> </w:t>
      </w:r>
      <w:r>
        <w:t xml:space="preserve">-</w:t>
      </w:r>
      <w:r>
        <w:t xml:space="preserve"> </w:t>
      </w:r>
      <m:oMath>
        <m:r>
          <m:t>M</m:t>
        </m:r>
      </m:oMath>
      <w:r>
        <w:t xml:space="preserve"> </w:t>
      </w:r>
      <w:r>
        <w:t xml:space="preserve">= 800,000 tonnes (estimated waste in place)</w:t>
      </w:r>
      <w:r>
        <w:t xml:space="preserve"> </w:t>
      </w:r>
      <w:r>
        <w:t xml:space="preserve">-</w:t>
      </w:r>
      <w:r>
        <w:t xml:space="preserve"> </w:t>
      </w:r>
      <m:oMath>
        <m:r>
          <m:t>k</m:t>
        </m:r>
      </m:oMath>
      <w:r>
        <w:t xml:space="preserve"> </w:t>
      </w:r>
      <w:r>
        <w:t xml:space="preserve">= 0.04 year⁻¹</w:t>
      </w:r>
      <w:r>
        <w:t xml:space="preserve"> </w:t>
      </w:r>
      <w:r>
        <w:t xml:space="preserve">-</w:t>
      </w:r>
      <w:r>
        <w:t xml:space="preserve"> </w:t>
      </w:r>
      <m:oMath>
        <m:r>
          <m:t>t</m:t>
        </m:r>
      </m:oMath>
      <w:r>
        <w:t xml:space="preserve"> </w:t>
      </w:r>
      <w:r>
        <w:t xml:space="preserve">= current year</w:t>
      </w:r>
      <w:r>
        <w:t xml:space="preserve"> </w:t>
      </w:r>
      <w:r>
        <w:t xml:space="preserve">-</w:t>
      </w:r>
      <w:r>
        <w:t xml:space="preserve"> </w:t>
      </w:r>
      <m:oMath>
        <m:sSub>
          <m:e>
            <m:r>
              <m:t>t</m:t>
            </m:r>
          </m:e>
          <m:sub>
            <m:r>
              <m:t>0</m:t>
            </m:r>
          </m:sub>
        </m:sSub>
      </m:oMath>
      <w:r>
        <w:t xml:space="preserve"> </w:t>
      </w:r>
      <w:r>
        <w:t xml:space="preserve">= average waste placement year (approximately 1990)</w:t>
      </w:r>
    </w:p>
    <w:bookmarkEnd w:id="33"/>
    <w:bookmarkStart w:id="34" w:name="e.5.2-collected-gas-flow"/>
    <w:p>
      <w:pPr>
        <w:pStyle w:val="Heading3"/>
      </w:pPr>
      <w:r>
        <w:t xml:space="preserve">E.5.2 Collected Gas Flow</w:t>
      </w:r>
    </w:p>
    <w:p>
      <w:pPr>
        <w:pStyle w:val="FirstParagraph"/>
      </w:pPr>
      <w:r>
        <w:t xml:space="preserve">The collected gas flow was calculated by applying the collection efficiency to the methane generation potential:</w:t>
      </w:r>
    </w:p>
    <w:p>
      <w:pPr>
        <w:pStyle w:val="BodyText"/>
      </w:pPr>
      <m:oMathPara>
        <m:oMathParaPr>
          <m:jc m:val="center"/>
        </m:oMathParaPr>
        <m:oMath>
          <m:sSub>
            <m:e>
              <m:r>
                <m:t>Q</m:t>
              </m:r>
            </m:e>
            <m:sub>
              <m:r>
                <m:t>c</m:t>
              </m:r>
              <m:r>
                <m:t>o</m:t>
              </m:r>
              <m:r>
                <m:t>l</m:t>
              </m:r>
              <m:r>
                <m:t>l</m:t>
              </m:r>
              <m:r>
                <m:t>e</m:t>
              </m:r>
              <m:r>
                <m:t>c</m:t>
              </m:r>
              <m:r>
                <m:t>t</m:t>
              </m:r>
              <m:r>
                <m:t>e</m:t>
              </m:r>
              <m:r>
                <m:t>d</m:t>
              </m:r>
            </m:sub>
          </m:sSub>
          <m:r>
            <m:rPr>
              <m:sty m:val="p"/>
            </m:rPr>
            <m:t>=</m:t>
          </m:r>
          <m:sSub>
            <m:e>
              <m:r>
                <m:t>Q</m:t>
              </m:r>
            </m:e>
            <m:sub>
              <m:r>
                <m:t>C</m:t>
              </m:r>
              <m:r>
                <m:t>H</m:t>
              </m:r>
              <m:r>
                <m:t>4</m:t>
              </m:r>
            </m:sub>
          </m:sSub>
          <m:r>
            <m:rPr>
              <m:sty m:val="p"/>
            </m:rPr>
            <m:t>×</m:t>
          </m:r>
          <m:r>
            <m:rPr>
              <m:nor/>
              <m:sty m:val="p"/>
            </m:rPr>
            <m:t>Collection Efficiency</m:t>
          </m:r>
        </m:oMath>
      </m:oMathPara>
    </w:p>
    <w:p>
      <w:pPr>
        <w:pStyle w:val="FirstParagraph"/>
      </w:pPr>
      <w:r>
        <w:t xml:space="preserve">Where:</w:t>
      </w:r>
      <w:r>
        <w:t xml:space="preserve"> </w:t>
      </w:r>
      <w:r>
        <w:t xml:space="preserve">-</w:t>
      </w:r>
      <w:r>
        <w:t xml:space="preserve"> </w:t>
      </w:r>
      <m:oMath>
        <m:sSub>
          <m:e>
            <m:r>
              <m:t>Q</m:t>
            </m:r>
          </m:e>
          <m:sub>
            <m:r>
              <m:t>c</m:t>
            </m:r>
            <m:r>
              <m:t>o</m:t>
            </m:r>
            <m:r>
              <m:t>l</m:t>
            </m:r>
            <m:r>
              <m:t>l</m:t>
            </m:r>
            <m:r>
              <m:t>e</m:t>
            </m:r>
            <m:r>
              <m:t>c</m:t>
            </m:r>
            <m:r>
              <m:t>t</m:t>
            </m:r>
            <m:r>
              <m:t>e</m:t>
            </m:r>
            <m:r>
              <m:t>d</m:t>
            </m:r>
          </m:sub>
        </m:sSub>
      </m:oMath>
      <w:r>
        <w:t xml:space="preserve"> </w:t>
      </w:r>
      <w:r>
        <w:t xml:space="preserve">= collected methane flow rate (m³/year)</w:t>
      </w:r>
      <w:r>
        <w:t xml:space="preserve"> </w:t>
      </w:r>
      <w:r>
        <w:t xml:space="preserve">- Collection Efficiency = 75%</w:t>
      </w:r>
    </w:p>
    <w:bookmarkEnd w:id="34"/>
    <w:bookmarkStart w:id="35" w:name="e.5.3-methane-concentration-projection"/>
    <w:p>
      <w:pPr>
        <w:pStyle w:val="Heading3"/>
      </w:pPr>
      <w:r>
        <w:t xml:space="preserve">E.5.3 Methane Concentration Projection</w:t>
      </w:r>
    </w:p>
    <w:p>
      <w:pPr>
        <w:pStyle w:val="FirstParagraph"/>
      </w:pPr>
      <w:r>
        <w:t xml:space="preserve">Methane concentration in the collected gas was projected using a slightly modified decay function to account for increasing air infiltration over time:</w:t>
      </w:r>
    </w:p>
    <w:p>
      <w:pPr>
        <w:pStyle w:val="BodyText"/>
      </w:pPr>
      <m:oMathPara>
        <m:oMathParaPr>
          <m:jc m:val="center"/>
        </m:oMathParaPr>
        <m:oMath>
          <m:r>
            <m:t>C</m:t>
          </m:r>
          <m:sSub>
            <m:e>
              <m:r>
                <m:t>H</m:t>
              </m:r>
            </m:e>
            <m:sub>
              <m:r>
                <m:t>4</m:t>
              </m:r>
            </m:sub>
          </m:sSub>
          <m:r>
            <m:rPr>
              <m:sty m:val="p"/>
            </m:rPr>
            <m:t>%</m:t>
          </m:r>
          <m:r>
            <m:rPr>
              <m:sty m:val="p"/>
            </m:rPr>
            <m:t>=</m:t>
          </m:r>
          <m:r>
            <m:t>C</m:t>
          </m:r>
          <m:sSub>
            <m:e>
              <m:r>
                <m:t>H</m:t>
              </m:r>
            </m:e>
            <m:sub>
              <m:r>
                <m:t>4</m:t>
              </m:r>
              <m:r>
                <m:rPr>
                  <m:sty m:val="p"/>
                </m:rPr>
                <m:t>,</m:t>
              </m:r>
              <m:r>
                <m:t>i</m:t>
              </m:r>
              <m:r>
                <m:t>n</m:t>
              </m:r>
              <m:r>
                <m:t>i</m:t>
              </m:r>
              <m:r>
                <m:t>t</m:t>
              </m:r>
              <m:r>
                <m:t>i</m:t>
              </m:r>
              <m:r>
                <m:t>a</m:t>
              </m:r>
              <m:r>
                <m:t>l</m:t>
              </m:r>
            </m:sub>
          </m:sSub>
          <m:r>
            <m:rPr>
              <m:sty m:val="p"/>
            </m:rPr>
            <m:t>×</m:t>
          </m:r>
          <m:sSup>
            <m:e>
              <m:r>
                <m:t>e</m:t>
              </m:r>
            </m:e>
            <m:sup>
              <m:r>
                <m:rPr>
                  <m:sty m:val="p"/>
                </m:rPr>
                <m:t>−</m:t>
              </m:r>
              <m:sSub>
                <m:e>
                  <m:r>
                    <m:t>k</m:t>
                  </m:r>
                </m:e>
                <m:sub>
                  <m:r>
                    <m:t>a</m:t>
                  </m:r>
                  <m:r>
                    <m:t>i</m:t>
                  </m:r>
                  <m:r>
                    <m:t>r</m:t>
                  </m:r>
                </m:sub>
              </m:sSub>
              <m:r>
                <m:rPr>
                  <m:sty m:val="p"/>
                </m:rPr>
                <m:t>×</m:t>
              </m:r>
              <m:d>
                <m:dPr>
                  <m:begChr m:val="("/>
                  <m:endChr m:val=")"/>
                  <m:sepChr m:val=""/>
                  <m:grow/>
                </m:dPr>
                <m:e>
                  <m:r>
                    <m:t>t</m:t>
                  </m:r>
                  <m:r>
                    <m:rPr>
                      <m:sty m:val="p"/>
                    </m:rPr>
                    <m:t>−</m:t>
                  </m:r>
                  <m:sSub>
                    <m:e>
                      <m:r>
                        <m:t>t</m:t>
                      </m:r>
                    </m:e>
                    <m:sub>
                      <m:r>
                        <m:t>i</m:t>
                      </m:r>
                      <m:r>
                        <m:t>n</m:t>
                      </m:r>
                      <m:r>
                        <m:t>i</m:t>
                      </m:r>
                      <m:r>
                        <m:t>t</m:t>
                      </m:r>
                      <m:r>
                        <m:t>i</m:t>
                      </m:r>
                      <m:r>
                        <m:t>a</m:t>
                      </m:r>
                      <m:r>
                        <m:t>l</m:t>
                      </m:r>
                    </m:sub>
                  </m:sSub>
                </m:e>
              </m:d>
            </m:sup>
          </m:sSup>
        </m:oMath>
      </m:oMathPara>
    </w:p>
    <w:p>
      <w:pPr>
        <w:pStyle w:val="FirstParagraph"/>
      </w:pPr>
      <w:r>
        <w:t xml:space="preserve">Where:</w:t>
      </w:r>
      <w:r>
        <w:t xml:space="preserve"> </w:t>
      </w:r>
      <w:r>
        <w:t xml:space="preserve">-</w:t>
      </w:r>
      <w:r>
        <w:t xml:space="preserve"> </w:t>
      </w:r>
      <m:oMath>
        <m:r>
          <m:t>C</m:t>
        </m:r>
        <m:sSub>
          <m:e>
            <m:r>
              <m:t>H</m:t>
            </m:r>
          </m:e>
          <m:sub>
            <m:r>
              <m:t>4</m:t>
            </m:r>
          </m:sub>
        </m:sSub>
        <m:r>
          <m:rPr>
            <m:sty m:val="p"/>
          </m:rPr>
          <m:t>%</m:t>
        </m:r>
      </m:oMath>
      <w:r>
        <w:t xml:space="preserve"> </w:t>
      </w:r>
      <w:r>
        <w:t xml:space="preserve">= projected methane concentration in year t</w:t>
      </w:r>
      <w:r>
        <w:t xml:space="preserve"> </w:t>
      </w:r>
      <w:r>
        <w:t xml:space="preserve">-</w:t>
      </w:r>
      <w:r>
        <w:t xml:space="preserve"> </w:t>
      </w:r>
      <m:oMath>
        <m:r>
          <m:t>C</m:t>
        </m:r>
        <m:sSub>
          <m:e>
            <m:r>
              <m:t>H</m:t>
            </m:r>
          </m:e>
          <m:sub>
            <m:r>
              <m:t>4</m:t>
            </m:r>
            <m:r>
              <m:rPr>
                <m:sty m:val="p"/>
              </m:rPr>
              <m:t>,</m:t>
            </m:r>
            <m:r>
              <m:t>i</m:t>
            </m:r>
            <m:r>
              <m:t>n</m:t>
            </m:r>
            <m:r>
              <m:t>i</m:t>
            </m:r>
            <m:r>
              <m:t>t</m:t>
            </m:r>
            <m:r>
              <m:t>i</m:t>
            </m:r>
            <m:r>
              <m:t>a</m:t>
            </m:r>
            <m:r>
              <m:t>l</m:t>
            </m:r>
          </m:sub>
        </m:sSub>
      </m:oMath>
      <w:r>
        <w:t xml:space="preserve"> </w:t>
      </w:r>
      <w:r>
        <w:t xml:space="preserve">= 20.93% (2025 baseline)</w:t>
      </w:r>
      <w:r>
        <w:t xml:space="preserve"> </w:t>
      </w:r>
      <w:r>
        <w:t xml:space="preserve">-</w:t>
      </w:r>
      <w:r>
        <w:t xml:space="preserve"> </w:t>
      </w:r>
      <m:oMath>
        <m:sSub>
          <m:e>
            <m:r>
              <m:t>k</m:t>
            </m:r>
          </m:e>
          <m:sub>
            <m:r>
              <m:t>a</m:t>
            </m:r>
            <m:r>
              <m:t>i</m:t>
            </m:r>
            <m:r>
              <m:t>r</m:t>
            </m:r>
          </m:sub>
        </m:sSub>
      </m:oMath>
      <w:r>
        <w:t xml:space="preserve"> </w:t>
      </w:r>
      <w:r>
        <w:t xml:space="preserve">= 0.035 year⁻¹ (air infiltration rate constant)</w:t>
      </w:r>
      <w:r>
        <w:t xml:space="preserve"> </w:t>
      </w:r>
      <w:r>
        <w:t xml:space="preserve">-</w:t>
      </w:r>
      <w:r>
        <w:t xml:space="preserve"> </w:t>
      </w:r>
      <m:oMath>
        <m:r>
          <m:t>t</m:t>
        </m:r>
      </m:oMath>
      <w:r>
        <w:t xml:space="preserve"> </w:t>
      </w:r>
      <w:r>
        <w:t xml:space="preserve">= projection year</w:t>
      </w:r>
      <w:r>
        <w:t xml:space="preserve"> </w:t>
      </w:r>
      <w:r>
        <w:t xml:space="preserve">-</w:t>
      </w:r>
      <w:r>
        <w:t xml:space="preserve"> </w:t>
      </w:r>
      <m:oMath>
        <m:sSub>
          <m:e>
            <m:r>
              <m:t>t</m:t>
            </m:r>
          </m:e>
          <m:sub>
            <m:r>
              <m:t>i</m:t>
            </m:r>
            <m:r>
              <m:t>n</m:t>
            </m:r>
            <m:r>
              <m:t>i</m:t>
            </m:r>
            <m:r>
              <m:t>t</m:t>
            </m:r>
            <m:r>
              <m:t>i</m:t>
            </m:r>
            <m:r>
              <m:t>a</m:t>
            </m:r>
            <m:r>
              <m:t>l</m:t>
            </m:r>
          </m:sub>
        </m:sSub>
      </m:oMath>
      <w:r>
        <w:t xml:space="preserve"> </w:t>
      </w:r>
      <w:r>
        <w:t xml:space="preserve">= 2025</w:t>
      </w:r>
    </w:p>
    <w:p>
      <w:pPr>
        <w:pStyle w:val="BodyText"/>
      </w:pPr>
      <w:r>
        <w:t xml:space="preserve">The air infiltration rate constant (</w:t>
      </w:r>
      <m:oMath>
        <m:sSub>
          <m:e>
            <m:r>
              <m:t>k</m:t>
            </m:r>
          </m:e>
          <m:sub>
            <m:r>
              <m:t>a</m:t>
            </m:r>
            <m:r>
              <m:t>i</m:t>
            </m:r>
            <m:r>
              <m:t>r</m:t>
            </m:r>
          </m:sub>
        </m:sSub>
      </m:oMath>
      <w:r>
        <w:t xml:space="preserve">) was calibrated based on observed trends in methane concentration at similar aged UK landfill sites.</w:t>
      </w:r>
    </w:p>
    <w:bookmarkEnd w:id="35"/>
    <w:bookmarkEnd w:id="36"/>
    <w:bookmarkStart w:id="37" w:name="e.6-comparison-with-linear-projection"/>
    <w:p>
      <w:pPr>
        <w:pStyle w:val="Heading2"/>
      </w:pPr>
      <w:r>
        <w:t xml:space="preserve">E.6 Comparison with Linear Projection</w:t>
      </w:r>
    </w:p>
    <w:p>
      <w:pPr>
        <w:pStyle w:val="FirstParagraph"/>
      </w:pPr>
      <w:r>
        <w:t xml:space="preserve">To illustrate the importance of using an appropriate decay model, a comparison was made between:</w:t>
      </w:r>
    </w:p>
    <w:p>
      <w:pPr>
        <w:numPr>
          <w:ilvl w:val="0"/>
          <w:numId w:val="1018"/>
        </w:numPr>
        <w:pStyle w:val="Compact"/>
      </w:pPr>
      <w:r>
        <w:rPr>
          <w:bCs/>
          <w:b/>
        </w:rPr>
        <w:t xml:space="preserve">First-Order Decay Model</w:t>
      </w:r>
      <w:r>
        <w:t xml:space="preserve">: The exponential decay approach described above</w:t>
      </w:r>
    </w:p>
    <w:p>
      <w:pPr>
        <w:numPr>
          <w:ilvl w:val="0"/>
          <w:numId w:val="1018"/>
        </w:numPr>
        <w:pStyle w:val="Compact"/>
      </w:pPr>
      <w:r>
        <w:rPr>
          <w:bCs/>
          <w:b/>
        </w:rPr>
        <w:t xml:space="preserve">Linear Projection</w:t>
      </w:r>
      <w:r>
        <w:t xml:space="preserve">: A simple straight-line decline based on extrapolating recent trends</w:t>
      </w:r>
    </w:p>
    <w:p>
      <w:pPr>
        <w:pStyle w:val="FirstParagraph"/>
      </w:pPr>
      <w:r>
        <w:t xml:space="preserve">The comparison (shown in Figure 1 in the main report) demonstrates that a linear projection would significantly underestimate gas generation in the early years and potentially overestimate it in later years. By 2035, the first-order decay model projects:</w:t>
      </w:r>
      <w:r>
        <w:t xml:space="preserve"> </w:t>
      </w:r>
      <w:r>
        <w:t xml:space="preserve">- Flow rate: 120 m³/hr (compared to 80 m³/hr in the linear model)</w:t>
      </w:r>
      <w:r>
        <w:t xml:space="preserve"> </w:t>
      </w:r>
      <w:r>
        <w:t xml:space="preserve">- Methane concentration: 13.6% (compared to 9.9% in the linear model)</w:t>
      </w:r>
    </w:p>
    <w:p>
      <w:pPr>
        <w:pStyle w:val="BodyText"/>
      </w:pPr>
      <w:r>
        <w:t xml:space="preserve">These differences have important implications for gas management planning, particularly regarding the timing of transitions between different management approaches.</w:t>
      </w:r>
    </w:p>
    <w:bookmarkEnd w:id="37"/>
    <w:bookmarkStart w:id="38" w:name="e.7-limitations-and-uncertainties"/>
    <w:p>
      <w:pPr>
        <w:pStyle w:val="Heading2"/>
      </w:pPr>
      <w:r>
        <w:t xml:space="preserve">E.7 Limitations and Uncertainties</w:t>
      </w:r>
    </w:p>
    <w:p>
      <w:pPr>
        <w:pStyle w:val="FirstParagraph"/>
      </w:pPr>
      <w:r>
        <w:t xml:space="preserve">While the modified first-order decay model provides a scientifically sound basis for projections, several limitations and uncertainties should be acknowledged:</w:t>
      </w:r>
    </w:p>
    <w:p>
      <w:pPr>
        <w:numPr>
          <w:ilvl w:val="0"/>
          <w:numId w:val="1019"/>
        </w:numPr>
      </w:pPr>
      <w:r>
        <w:rPr>
          <w:bCs/>
          <w:b/>
        </w:rPr>
        <w:t xml:space="preserve">Historical Data Limitations</w:t>
      </w:r>
      <w:r>
        <w:t xml:space="preserve">: Limited historical data on waste composition and quantities introduces uncertainty in model parameters.</w:t>
      </w:r>
    </w:p>
    <w:p>
      <w:pPr>
        <w:numPr>
          <w:ilvl w:val="0"/>
          <w:numId w:val="1019"/>
        </w:numPr>
      </w:pPr>
      <w:r>
        <w:rPr>
          <w:bCs/>
          <w:b/>
        </w:rPr>
        <w:t xml:space="preserve">Geological Complexity</w:t>
      </w:r>
      <w:r>
        <w:t xml:space="preserve">: The limestone geology beneath the site creates complex pathways for gas and leachate movement that are difficult to model precisely.</w:t>
      </w:r>
    </w:p>
    <w:p>
      <w:pPr>
        <w:numPr>
          <w:ilvl w:val="0"/>
          <w:numId w:val="1019"/>
        </w:numPr>
      </w:pPr>
      <w:r>
        <w:rPr>
          <w:bCs/>
          <w:b/>
        </w:rPr>
        <w:t xml:space="preserve">Climate Change Impacts</w:t>
      </w:r>
      <w:r>
        <w:t xml:space="preserve">: Potential changes in precipitation patterns and temperatures due to climate change could affect future degradation rates.</w:t>
      </w:r>
    </w:p>
    <w:p>
      <w:pPr>
        <w:numPr>
          <w:ilvl w:val="0"/>
          <w:numId w:val="1019"/>
        </w:numPr>
      </w:pPr>
      <w:r>
        <w:rPr>
          <w:bCs/>
          <w:b/>
        </w:rPr>
        <w:t xml:space="preserve">Solar Panel Effects</w:t>
      </w:r>
      <w:r>
        <w:t xml:space="preserve">: The long-term impact of the solar panel installation on infiltration and waste degradation rates is not fully understood.</w:t>
      </w:r>
    </w:p>
    <w:p>
      <w:pPr>
        <w:numPr>
          <w:ilvl w:val="0"/>
          <w:numId w:val="1019"/>
        </w:numPr>
      </w:pPr>
      <w:r>
        <w:rPr>
          <w:bCs/>
          <w:b/>
        </w:rPr>
        <w:t xml:space="preserve">Operational Factors</w:t>
      </w:r>
      <w:r>
        <w:t xml:space="preserve">: Changes in gas extraction operations, well performance, and system maintenance can affect collection efficiency over time.</w:t>
      </w:r>
    </w:p>
    <w:p>
      <w:pPr>
        <w:numPr>
          <w:ilvl w:val="0"/>
          <w:numId w:val="1019"/>
        </w:numPr>
      </w:pPr>
      <w:r>
        <w:rPr>
          <w:bCs/>
          <w:b/>
        </w:rPr>
        <w:t xml:space="preserve">Model Simplifications</w:t>
      </w:r>
      <w:r>
        <w:t xml:space="preserve">: All models involve simplifications of complex biological, chemical, and physical processes.</w:t>
      </w:r>
    </w:p>
    <w:bookmarkEnd w:id="38"/>
    <w:bookmarkStart w:id="39" w:name="X095b09b5266dba2c114217b8325eff4e871479d"/>
    <w:p>
      <w:pPr>
        <w:pStyle w:val="Heading2"/>
      </w:pPr>
      <w:r>
        <w:t xml:space="preserve">E.8 Monitoring and Model Refinement Recommendations</w:t>
      </w:r>
    </w:p>
    <w:p>
      <w:pPr>
        <w:pStyle w:val="FirstParagraph"/>
      </w:pPr>
      <w:r>
        <w:t xml:space="preserve">To address these limitations and improve the accuracy of future projections, the following monitoring and model refinement approach is recommended:</w:t>
      </w:r>
    </w:p>
    <w:p>
      <w:pPr>
        <w:numPr>
          <w:ilvl w:val="0"/>
          <w:numId w:val="1020"/>
        </w:numPr>
        <w:pStyle w:val="Compact"/>
      </w:pPr>
      <w:r>
        <w:rPr>
          <w:bCs/>
          <w:b/>
        </w:rPr>
        <w:t xml:space="preserve">Regular Data Collection</w:t>
      </w:r>
      <w:r>
        <w:t xml:space="preserve">:</w:t>
      </w:r>
    </w:p>
    <w:p>
      <w:pPr>
        <w:numPr>
          <w:ilvl w:val="1"/>
          <w:numId w:val="1021"/>
        </w:numPr>
        <w:pStyle w:val="Compact"/>
      </w:pPr>
      <w:r>
        <w:t xml:space="preserve">Monthly monitoring of gas flow rates and composition</w:t>
      </w:r>
    </w:p>
    <w:p>
      <w:pPr>
        <w:numPr>
          <w:ilvl w:val="1"/>
          <w:numId w:val="1021"/>
        </w:numPr>
        <w:pStyle w:val="Compact"/>
      </w:pPr>
      <w:r>
        <w:t xml:space="preserve">Quarterly assessment of system performance</w:t>
      </w:r>
    </w:p>
    <w:p>
      <w:pPr>
        <w:numPr>
          <w:ilvl w:val="1"/>
          <w:numId w:val="1021"/>
        </w:numPr>
        <w:pStyle w:val="Compact"/>
      </w:pPr>
      <w:r>
        <w:t xml:space="preserve">Annual review of gas generation trends</w:t>
      </w:r>
    </w:p>
    <w:p>
      <w:pPr>
        <w:numPr>
          <w:ilvl w:val="0"/>
          <w:numId w:val="1020"/>
        </w:numPr>
        <w:pStyle w:val="Compact"/>
      </w:pPr>
      <w:r>
        <w:rPr>
          <w:bCs/>
          <w:b/>
        </w:rPr>
        <w:t xml:space="preserve">Model Recalibration</w:t>
      </w:r>
      <w:r>
        <w:t xml:space="preserve">:</w:t>
      </w:r>
    </w:p>
    <w:p>
      <w:pPr>
        <w:numPr>
          <w:ilvl w:val="1"/>
          <w:numId w:val="1022"/>
        </w:numPr>
        <w:pStyle w:val="Compact"/>
      </w:pPr>
      <w:r>
        <w:t xml:space="preserve">Annual recalibration of model parameters based on observed data</w:t>
      </w:r>
    </w:p>
    <w:p>
      <w:pPr>
        <w:numPr>
          <w:ilvl w:val="1"/>
          <w:numId w:val="1022"/>
        </w:numPr>
        <w:pStyle w:val="Compact"/>
      </w:pPr>
      <w:r>
        <w:t xml:space="preserve">Adjustment of projections to reflect actual decline rates</w:t>
      </w:r>
    </w:p>
    <w:p>
      <w:pPr>
        <w:numPr>
          <w:ilvl w:val="0"/>
          <w:numId w:val="1020"/>
        </w:numPr>
        <w:pStyle w:val="Compact"/>
      </w:pPr>
      <w:r>
        <w:rPr>
          <w:bCs/>
          <w:b/>
        </w:rPr>
        <w:t xml:space="preserve">Comprehensive Review</w:t>
      </w:r>
      <w:r>
        <w:t xml:space="preserve">:</w:t>
      </w:r>
    </w:p>
    <w:p>
      <w:pPr>
        <w:numPr>
          <w:ilvl w:val="1"/>
          <w:numId w:val="1023"/>
        </w:numPr>
        <w:pStyle w:val="Compact"/>
      </w:pPr>
      <w:r>
        <w:t xml:space="preserve">Biennial comprehensive review of gas management strategy</w:t>
      </w:r>
    </w:p>
    <w:p>
      <w:pPr>
        <w:numPr>
          <w:ilvl w:val="1"/>
          <w:numId w:val="1023"/>
        </w:numPr>
        <w:pStyle w:val="Compact"/>
      </w:pPr>
      <w:r>
        <w:t xml:space="preserve">Reassessment of the timeline for transitioning between management approaches</w:t>
      </w:r>
    </w:p>
    <w:p>
      <w:pPr>
        <w:pStyle w:val="FirstParagraph"/>
      </w:pPr>
      <w:r>
        <w:t xml:space="preserve">This adaptive approach will ensure that gas management decisions are based on the most accurate and up-to-date understanding of gas generation at Stormy West Landfill.</w:t>
      </w:r>
    </w:p>
    <w:bookmarkEnd w:id="39"/>
    <w:bookmarkStart w:id="40" w:name="e.9-references"/>
    <w:p>
      <w:pPr>
        <w:pStyle w:val="Heading2"/>
      </w:pPr>
      <w:r>
        <w:t xml:space="preserve">E.9 References</w:t>
      </w:r>
    </w:p>
    <w:p>
      <w:pPr>
        <w:numPr>
          <w:ilvl w:val="0"/>
          <w:numId w:val="1024"/>
        </w:numPr>
      </w:pPr>
      <w:r>
        <w:t xml:space="preserve">U.S. EPA. (2005). Landfill Gas Emissions Model (LandGEM) Version 3.02 User’s Guide. EPA-600/R-05/047.</w:t>
      </w:r>
    </w:p>
    <w:p>
      <w:pPr>
        <w:numPr>
          <w:ilvl w:val="0"/>
          <w:numId w:val="1024"/>
        </w:numPr>
      </w:pPr>
      <w:r>
        <w:t xml:space="preserve">Environment Agency. (2004). Guidance on the management of landfill gas. LFTGN 03.</w:t>
      </w:r>
    </w:p>
    <w:p>
      <w:pPr>
        <w:numPr>
          <w:ilvl w:val="0"/>
          <w:numId w:val="1024"/>
        </w:numPr>
      </w:pPr>
      <w:r>
        <w:t xml:space="preserve">Gregory, R.G., Revans, A.J., Hill, M.D., Meadows, M.P., Paul, L. and Ferguson, C.C. (1999). A Framework to Assess the Risks to Human Health and the Environment from Landfill Gas. R&amp;D Technical Report P271. Environment Agency, Bristol.</w:t>
      </w:r>
    </w:p>
    <w:p>
      <w:pPr>
        <w:numPr>
          <w:ilvl w:val="0"/>
          <w:numId w:val="1024"/>
        </w:numPr>
      </w:pPr>
      <w:r>
        <w:t xml:space="preserve">Caine, M., Steele, A., Beaven, R., Powrie, W., and Hudson, A. (2019). Landfill gas management at dilute and disperse landfill sites in the UK. Waste Management &amp; Research, 37(1), pp.78-88.</w:t>
      </w:r>
    </w:p>
    <w:p>
      <w:pPr>
        <w:numPr>
          <w:ilvl w:val="0"/>
          <w:numId w:val="1024"/>
        </w:numPr>
      </w:pPr>
      <w:r>
        <w:t xml:space="preserve">Farquhar, G.J. and Rovers, F.A. (1973). Gas production during refuse decomposition. Water, Air, and Soil Pollution, 2(4), pp.483-495.</w:t>
      </w:r>
    </w:p>
    <w:p>
      <w:pPr>
        <w:numPr>
          <w:ilvl w:val="0"/>
          <w:numId w:val="1024"/>
        </w:numPr>
      </w:pPr>
      <w:r>
        <w:t xml:space="preserve">Oonk, H. (2010). Literature Review: Methane from landfills, methods to quantify generation, oxidation and emission. Innovations in Environmental Technology.</w:t>
      </w:r>
    </w:p>
    <w:p>
      <w:pPr>
        <w:numPr>
          <w:ilvl w:val="0"/>
          <w:numId w:val="1024"/>
        </w:numPr>
      </w:pPr>
      <w:r>
        <w:t xml:space="preserve">Spokas, K., Bogner, J., Chanton, J.P., Morcet, M., Aran, C., Graff, C., Golvan, Y.M. and Hebe, I. (2006). Methane mass balance at three landfill sites: What is the efficiency of capture by gas collection systems? Waste Management, 26(5), pp.516-525.</w:t>
      </w:r>
    </w:p>
    <w:p>
      <w:pPr>
        <w:numPr>
          <w:ilvl w:val="0"/>
          <w:numId w:val="1024"/>
        </w:numPr>
      </w:pPr>
      <w:r>
        <w:t xml:space="preserve">Environment Agency. (2010). Guidance on monitoring landfill gas surface emissions. LFTGN 07.</w:t>
      </w:r>
    </w:p>
    <w:p>
      <w:pPr>
        <w:numPr>
          <w:ilvl w:val="0"/>
          <w:numId w:val="1024"/>
        </w:numPr>
      </w:pPr>
      <w:r>
        <w:t xml:space="preserve">Defra. (2007). Waste Strategy for England 2007. Department for Environment, Food and Rural Affairs, London.</w:t>
      </w:r>
    </w:p>
    <w:bookmarkEnd w:id="40"/>
    <w:bookmarkEnd w:id="4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411">
    <w:nsid w:val="A99411"/>
    <w:multiLevelType w:val="multilevel"/>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1"/>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1"/>
  </w:num>
  <w:num w:numId="1016">
    <w:abstractNumId w:val="991"/>
  </w:num>
  <w:num w:numId="1017">
    <w:abstractNumId w:val="991"/>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customXml" Target="../customXml/item5.xml"/><Relationship Id="rId3" Type="http://schemas.openxmlformats.org/officeDocument/2006/relationships/settings" Target="settings.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11" Type="http://schemas.openxmlformats.org/officeDocument/2006/relationships/customXml" Target="../customXml/item3.xml"/><Relationship Id="rId5" Type="http://schemas.openxmlformats.org/officeDocument/2006/relationships/fontTable" Target="fontTable.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84" ma:contentTypeDescription="Permitting &amp; Compliance Word Document" ma:contentTypeScope="" ma:versionID="c8f4588f70cd0c6d46d4f177e6bdfa96">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5b2a9aac52d4526ff02e2de4154738a7"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dexed="tru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Stormy West Landfill</Site_x0020_Name>
    <Internal_x002f_External xmlns="859f7ad6-93f6-4205-b62b-a17f28acbbac">Incoming document</Internal_x002f_External>
    <Post_x0020_code xmlns="859f7ad6-93f6-4205-b62b-a17f28acbbac">CF32 0NP</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Mr Richard Beattie 121 Moffat Street Glasgow G5 0ND 0141 4297724</Addressee>
    <Process_x0020_Type xmlns="859f7ad6-93f6-4205-b62b-a17f28acbbac">Monitoring</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2025-10-13T23:00:00+00:00</Document_x0020_Date>
    <Facility_x0020_Address xmlns="859f7ad6-93f6-4205-b62b-a17f28acbbac">Stormy West landfill, Pyle, Bridgend</Facility_x0020_Address>
    <Environment_x0020_Sub_x0020_Folder xmlns="859f7ad6-93f6-4205-b62b-a17f28acbbac">Engineering</Environment_x0020_Sub_x0020_Folder>
    <Customer_x0020_Name xmlns="859f7ad6-93f6-4205-b62b-a17f28acbbac">Landcare (Manchester) Limited</Customer_x0020_Name>
    <Surrendered_x002f_Expired_x0020_Date xmlns="859f7ad6-93f6-4205-b62b-a17f28acbbac" xsi:nil="true"/>
    <_dlc_DocId xmlns="9be56660-2c31-41ef-bc00-23e72f632f2a">REGU-219-5543452</_dlc_DocId>
    <_dlc_DocIdUrl xmlns="9be56660-2c31-41ef-bc00-23e72f632f2a">
      <Url>https://cyfoethnaturiolcymru.sharepoint.com/teams/Regulatory/Permitting/_layouts/15/DocIdRedir.aspx?ID=REGU-219-5543452</Url>
      <Description>REGU-219-5543452</Description>
    </_dlc_DocIdUrl>
  </documentManagement>
</p:properties>
</file>

<file path=customXml/itemProps1.xml><?xml version="1.0" encoding="utf-8"?>
<ds:datastoreItem xmlns:ds="http://schemas.openxmlformats.org/officeDocument/2006/customXml" ds:itemID="{ED2463B5-DDE6-413C-98A1-6A1D365318D2}"/>
</file>

<file path=customXml/itemProps2.xml><?xml version="1.0" encoding="utf-8"?>
<ds:datastoreItem xmlns:ds="http://schemas.openxmlformats.org/officeDocument/2006/customXml" ds:itemID="{7B0EA040-0DEA-48E0-A5A5-C1AC968BC31C}"/>
</file>

<file path=customXml/itemProps3.xml><?xml version="1.0" encoding="utf-8"?>
<ds:datastoreItem xmlns:ds="http://schemas.openxmlformats.org/officeDocument/2006/customXml" ds:itemID="{7FEE2EB0-A912-4D3C-BC33-76833E0DB642}"/>
</file>

<file path=customXml/itemProps4.xml><?xml version="1.0" encoding="utf-8"?>
<ds:datastoreItem xmlns:ds="http://schemas.openxmlformats.org/officeDocument/2006/customXml" ds:itemID="{D55540C6-06AB-4DA5-A32F-5B31CC37C94D}"/>
</file>

<file path=customXml/itemProps5.xml><?xml version="1.0" encoding="utf-8"?>
<ds:datastoreItem xmlns:ds="http://schemas.openxmlformats.org/officeDocument/2006/customXml" ds:itemID="{83DB3096-A0C3-4508-9766-85A7F4C1560B}"/>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2025-09-15T21:47:50Z</dcterms:created>
  <dcterms:modified xsi:type="dcterms:W3CDTF">2025-09-15T21:47:50Z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936159af-c666-4965-8940-99d968ec599a</vt:lpwstr>
  </property>
  <property fmtid="{D5CDD505-2E9C-101B-9397-08002B2CF9AE}" pid="4" name="Order">
    <vt:r8>554345200</vt:r8>
  </property>
  <property fmtid="{D5CDD505-2E9C-101B-9397-08002B2CF9AE}" pid="5" name="MediaServiceImageTags">
    <vt:lpwstr/>
  </property>
</Properties>
</file>