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Appendix D: Regulatory Requirements</w:t>
      </w:r>
    </w:p>
    <w:p>
      <w:pPr>
        <w:pStyle w:val="Heading2"/>
      </w:pPr>
      <w:r>
        <w:t>D.1 Introduction</w:t>
      </w:r>
    </w:p>
    <w:p>
      <w:r>
        <w:t>This appendix provides a comprehensive overview of the regulatory framework governing landfill gas management at Stormy West Landfill Site in Wales. The regulatory requirements are derived from European Union directives, UK and Welsh legislation, and site-specific permit conditions.</w:t>
      </w:r>
    </w:p>
    <w:p>
      <w:pPr>
        <w:pStyle w:val="Heading2"/>
      </w:pPr>
      <w:r>
        <w:t>D.2 Regulatory Framework Hierarchy</w:t>
      </w:r>
    </w:p>
    <w:p>
      <w:r>
        <w:t>The regulatory framework for landfill gas management operates at multiple levels:</w:t>
      </w:r>
    </w:p>
    <w:p>
      <w:pPr>
        <w:pStyle w:val="Heading2"/>
      </w:pPr>
      <w:r>
        <w:t>D.3 European Union Directives</w:t>
      </w:r>
    </w:p>
    <w:p>
      <w:pPr>
        <w:pStyle w:val="Heading3"/>
      </w:pPr>
      <w:r>
        <w:t>D.3.1 Landfill Directive (1999/31/EC)</w:t>
      </w:r>
    </w:p>
    <w:p>
      <w:r>
        <w:rPr>
          <w:b/>
        </w:rPr>
        <w:t>Directive: Council Directive 1999/31/EC of 26 April 1999 on the landfill of waste</w:t>
      </w:r>
    </w:p>
    <w:p>
      <w:r>
        <w:rPr>
          <w:b/>
        </w:rPr>
        <w:t>Key Requirements for Landfill Gas:</w:t>
      </w:r>
    </w:p>
    <w:p>
      <w:r>
        <w:rPr>
          <w:b/>
        </w:rPr>
        <w:t>Article 6 - Waste Acceptance:</w:t>
      </w:r>
    </w:p>
    <w:p>
      <w:pPr>
        <w:pStyle w:val="ListBullet"/>
      </w:pPr>
      <w:r>
        <w:t>Landfills must be classified and operated according to waste categories</w:t>
      </w:r>
    </w:p>
    <w:p>
      <w:pPr>
        <w:pStyle w:val="ListBullet"/>
      </w:pPr>
      <w:r>
        <w:t>Waste acceptance procedures must minimize gas generation potential</w:t>
      </w:r>
    </w:p>
    <w:p>
      <w:r>
        <w:rPr>
          <w:b/>
        </w:rPr>
        <w:t>Article 8 - Landfill Gas Control:</w:t>
      </w:r>
    </w:p>
    <w:p>
      <w:r>
        <w:t>"Landfill gas shall be collected from all landfills receiving biodegradable waste and the landfill gas must be treated and used. If the gas collected cannot be used to produce energy, it must be flared."</w:t>
      </w:r>
    </w:p>
    <w:p>
      <w:r>
        <w:rPr>
          <w:b/>
        </w:rPr>
        <w:t>Specific Requirements:</w:t>
      </w:r>
    </w:p>
    <w:p>
      <w:pPr>
        <w:pStyle w:val="ListNumber"/>
      </w:pPr>
      <w:r>
        <w:t>Gas collection systems must be installed at all landfills receiving biodegradable waste</w:t>
      </w:r>
    </w:p>
    <w:p>
      <w:pPr>
        <w:pStyle w:val="ListNumber"/>
      </w:pPr>
      <w:r>
        <w:t>Collected gas must be:</w:t>
      </w:r>
    </w:p>
    <w:p>
      <w:pPr>
        <w:pStyle w:val="ListBullet"/>
      </w:pPr>
      <w:r>
        <w:t>Used to produce energy (preferred option), OR</w:t>
      </w:r>
    </w:p>
    <w:p>
      <w:pPr>
        <w:pStyle w:val="ListBullet"/>
      </w:pPr>
      <w:r>
        <w:t>Flared (if energy production not economically viable), OR</w:t>
      </w:r>
    </w:p>
    <w:p>
      <w:pPr>
        <w:pStyle w:val="ListBullet"/>
      </w:pPr>
      <w:r>
        <w:t>Treated in some other way</w:t>
      </w:r>
    </w:p>
    <w:p>
      <w:pPr>
        <w:pStyle w:val="ListNumber"/>
      </w:pPr>
      <w:r>
        <w:t>Gas collection and treatment must continue after closure until the competent authority accepts that the landfill no longer poses a threat to the environment</w:t>
      </w:r>
    </w:p>
    <w:p>
      <w:r>
        <w:rPr>
          <w:b/>
        </w:rPr>
        <w:t>Annex I - General Requirements:</w:t>
      </w:r>
    </w:p>
    <w:p>
      <w:pPr>
        <w:pStyle w:val="ListBullet"/>
      </w:pPr>
      <w:r>
        <w:t>Landfill gas control and monitoring procedures</w:t>
      </w:r>
    </w:p>
    <w:p>
      <w:pPr>
        <w:pStyle w:val="ListBullet"/>
      </w:pPr>
      <w:r>
        <w:t>Protection of soil, groundwater, and surface water</w:t>
      </w:r>
    </w:p>
    <w:p>
      <w:pPr>
        <w:pStyle w:val="ListBullet"/>
      </w:pPr>
      <w:r>
        <w:t>Nuisance and hazard control</w:t>
      </w:r>
    </w:p>
    <w:p>
      <w:pPr>
        <w:pStyle w:val="ListBullet"/>
      </w:pPr>
      <w:r>
        <w:t>Stability of the landfill body</w:t>
      </w:r>
    </w:p>
    <w:p>
      <w:r>
        <w:rPr>
          <w:b/>
        </w:rPr>
        <w:t>Implications for Stormy West:</w:t>
      </w:r>
    </w:p>
    <w:p>
      <w:pPr>
        <w:pStyle w:val="ListBullet"/>
      </w:pPr>
      <w:r>
        <w:t>Active gas collection and treatment required</w:t>
      </w:r>
    </w:p>
    <w:p>
      <w:pPr>
        <w:pStyle w:val="ListBullet"/>
      </w:pPr>
      <w:r>
        <w:t>Flaring is acceptable as gas quality insufficient for energy recovery</w:t>
      </w:r>
    </w:p>
    <w:p>
      <w:pPr>
        <w:pStyle w:val="ListBullet"/>
      </w:pPr>
      <w:r>
        <w:t>Gas management must continue indefinitely until NRW determines no further risk</w:t>
      </w:r>
    </w:p>
    <w:p>
      <w:pPr>
        <w:pStyle w:val="ListBullet"/>
      </w:pPr>
      <w:r>
        <w:t>Alternative treatment methods require demonstration of equivalent environmental protection</w:t>
      </w:r>
    </w:p>
    <w:p>
      <w:pPr>
        <w:pStyle w:val="Heading3"/>
      </w:pPr>
      <w:r>
        <w:t>D.3.2 Industrial Emissions Directive (2010/75/EU)</w:t>
      </w:r>
    </w:p>
    <w:p>
      <w:r>
        <w:rPr>
          <w:b/>
        </w:rPr>
        <w:t>Directive: Directive 2010/75/EU of the European Parliament and of the Council on industrial emissions (integrated pollution prevention and control)</w:t>
      </w:r>
    </w:p>
    <w:p>
      <w:r>
        <w:rPr>
          <w:b/>
        </w:rPr>
        <w:t>Relevant Requirements:</w:t>
      </w:r>
    </w:p>
    <w:p>
      <w:pPr>
        <w:pStyle w:val="ListBullet"/>
      </w:pPr>
      <w:r>
        <w:t>Application of Best Available Techniques (BAT)</w:t>
      </w:r>
    </w:p>
    <w:p>
      <w:pPr>
        <w:pStyle w:val="ListBullet"/>
      </w:pPr>
      <w:r>
        <w:t>Emission limit values for air pollutants</w:t>
      </w:r>
    </w:p>
    <w:p>
      <w:pPr>
        <w:pStyle w:val="ListBullet"/>
      </w:pPr>
      <w:r>
        <w:t>Monitoring and reporting requirements</w:t>
      </w:r>
    </w:p>
    <w:p>
      <w:pPr>
        <w:pStyle w:val="ListBullet"/>
      </w:pPr>
      <w:r>
        <w:t>Periodic permit reviews</w:t>
      </w:r>
    </w:p>
    <w:p>
      <w:r>
        <w:rPr>
          <w:b/>
        </w:rPr>
        <w:t>BAT for Landfill Gas Management:</w:t>
      </w:r>
    </w:p>
    <w:p>
      <w:pPr>
        <w:pStyle w:val="ListNumber"/>
      </w:pPr>
      <w:r>
        <w:t>Efficient gas collection systems</w:t>
      </w:r>
    </w:p>
    <w:p>
      <w:pPr>
        <w:pStyle w:val="ListNumber"/>
      </w:pPr>
      <w:r>
        <w:t>High-temperature flaring (&gt;1,000°C) with adequate retention time</w:t>
      </w:r>
    </w:p>
    <w:p>
      <w:pPr>
        <w:pStyle w:val="ListNumber"/>
      </w:pPr>
      <w:r>
        <w:t>Continuous monitoring of flare performance</w:t>
      </w:r>
    </w:p>
    <w:p>
      <w:pPr>
        <w:pStyle w:val="ListNumber"/>
      </w:pPr>
      <w:r>
        <w:t>Optimization of gas extraction rates</w:t>
      </w:r>
    </w:p>
    <w:p>
      <w:pPr>
        <w:pStyle w:val="ListNumber"/>
      </w:pPr>
      <w:r>
        <w:t>Minimization of fugitive emissions</w:t>
      </w:r>
    </w:p>
    <w:p>
      <w:pPr>
        <w:pStyle w:val="Heading3"/>
      </w:pPr>
      <w:r>
        <w:t>D.3.3 Waste Framework Directive (2008/98/EC)</w:t>
      </w:r>
    </w:p>
    <w:p>
      <w:r>
        <w:rPr>
          <w:b/>
        </w:rPr>
        <w:t>Directive: Directive 2008/98/EC on waste</w:t>
      </w:r>
    </w:p>
    <w:p>
      <w:r>
        <w:rPr>
          <w:b/>
        </w:rPr>
        <w:t>Relevant Principles:</w:t>
      </w:r>
    </w:p>
    <w:p>
      <w:pPr>
        <w:pStyle w:val="ListBullet"/>
      </w:pPr>
      <w:r>
        <w:t>Waste hierarchy (prevention, reuse, recycling, recovery, disposal)</w:t>
      </w:r>
    </w:p>
    <w:p>
      <w:pPr>
        <w:pStyle w:val="ListBullet"/>
      </w:pPr>
      <w:r>
        <w:t>Duty of care for waste management</w:t>
      </w:r>
    </w:p>
    <w:p>
      <w:pPr>
        <w:pStyle w:val="ListBullet"/>
      </w:pPr>
      <w:r>
        <w:t>Protection of human health and environment</w:t>
      </w:r>
    </w:p>
    <w:p>
      <w:pPr>
        <w:pStyle w:val="ListBullet"/>
      </w:pPr>
      <w:r>
        <w:t>Polluter pays principle</w:t>
      </w:r>
    </w:p>
    <w:p>
      <w:r>
        <w:rPr>
          <w:b/>
        </w:rPr>
        <w:t>Application to Landfill Gas:</w:t>
      </w:r>
    </w:p>
    <w:p>
      <w:pPr>
        <w:pStyle w:val="ListBullet"/>
      </w:pPr>
      <w:r>
        <w:t>Energy recovery from landfill gas preferred over flaring</w:t>
      </w:r>
    </w:p>
    <w:p>
      <w:pPr>
        <w:pStyle w:val="ListBullet"/>
      </w:pPr>
      <w:r>
        <w:t>Gas management must protect human health and environment</w:t>
      </w:r>
    </w:p>
    <w:p>
      <w:pPr>
        <w:pStyle w:val="ListBullet"/>
      </w:pPr>
      <w:r>
        <w:t>Operator responsible for all environmental impacts</w:t>
      </w:r>
    </w:p>
    <w:p>
      <w:pPr>
        <w:pStyle w:val="Heading2"/>
      </w:pPr>
      <w:r>
        <w:t>D.4 UK and Welsh Legislation</w:t>
      </w:r>
    </w:p>
    <w:p>
      <w:pPr>
        <w:pStyle w:val="Heading3"/>
      </w:pPr>
      <w:r>
        <w:t>D.4.1 Environmental Permitting (England and Wales) Regulations 2016</w:t>
      </w:r>
    </w:p>
    <w:p>
      <w:r>
        <w:rPr>
          <w:b/>
        </w:rPr>
        <w:t>Regulation: The Environmental Permitting (England and Wales) Regulations 2016 (as amended)</w:t>
      </w:r>
    </w:p>
    <w:p>
      <w:r>
        <w:rPr>
          <w:b/>
        </w:rPr>
        <w:t>Key Provisions:</w:t>
      </w:r>
    </w:p>
    <w:p>
      <w:r>
        <w:rPr>
          <w:b/>
        </w:rPr>
        <w:t>Schedule 5 - Landfill Activities:</w:t>
      </w:r>
    </w:p>
    <w:p>
      <w:pPr>
        <w:pStyle w:val="ListBullet"/>
      </w:pPr>
      <w:r>
        <w:t>Defines landfill as a regulated facility</w:t>
      </w:r>
    </w:p>
    <w:p>
      <w:pPr>
        <w:pStyle w:val="ListBullet"/>
      </w:pPr>
      <w:r>
        <w:t>Requires environmental permit for operation</w:t>
      </w:r>
    </w:p>
    <w:p>
      <w:pPr>
        <w:pStyle w:val="ListBullet"/>
      </w:pPr>
      <w:r>
        <w:t>Specifies permit conditions and requirements</w:t>
      </w:r>
    </w:p>
    <w:p>
      <w:r>
        <w:rPr>
          <w:b/>
        </w:rPr>
        <w:t>Schedule 9 - Landfill Directive Requirements:</w:t>
      </w:r>
    </w:p>
    <w:p>
      <w:pPr>
        <w:pStyle w:val="ListBullet"/>
      </w:pPr>
      <w:r>
        <w:t>Incorporates Landfill Directive requirements into UK law</w:t>
      </w:r>
    </w:p>
    <w:p>
      <w:pPr>
        <w:pStyle w:val="ListBullet"/>
      </w:pPr>
      <w:r>
        <w:t>Specifies gas management obligations</w:t>
      </w:r>
    </w:p>
    <w:p>
      <w:pPr>
        <w:pStyle w:val="ListBullet"/>
      </w:pPr>
      <w:r>
        <w:t>Defines monitoring and reporting requirements</w:t>
      </w:r>
    </w:p>
    <w:p>
      <w:r>
        <w:rPr>
          <w:b/>
        </w:rPr>
        <w:t>Regulation 38 - Permit Conditions:</w:t>
      </w:r>
    </w:p>
    <w:p>
      <w:r>
        <w:t>Environmental permits must include conditions to ensure:</w:t>
      </w:r>
    </w:p>
    <w:p>
      <w:pPr>
        <w:pStyle w:val="ListNumber"/>
      </w:pPr>
      <w:r>
        <w:t>Prevention of pollution</w:t>
      </w:r>
    </w:p>
    <w:p>
      <w:pPr>
        <w:pStyle w:val="ListNumber"/>
      </w:pPr>
      <w:r>
        <w:t>Protection of human health</w:t>
      </w:r>
    </w:p>
    <w:p>
      <w:pPr>
        <w:pStyle w:val="ListNumber"/>
      </w:pPr>
      <w:r>
        <w:t>Compliance with emission limits</w:t>
      </w:r>
    </w:p>
    <w:p>
      <w:pPr>
        <w:pStyle w:val="ListNumber"/>
      </w:pPr>
      <w:r>
        <w:t>Monitoring and reporting</w:t>
      </w:r>
    </w:p>
    <w:p>
      <w:pPr>
        <w:pStyle w:val="ListNumber"/>
      </w:pPr>
      <w:r>
        <w:t>Incident management</w:t>
      </w:r>
    </w:p>
    <w:p>
      <w:r>
        <w:rPr>
          <w:b/>
        </w:rPr>
        <w:t>Regulation 60 - Enforcement:</w:t>
      </w:r>
    </w:p>
    <w:p>
      <w:pPr>
        <w:pStyle w:val="ListBullet"/>
      </w:pPr>
      <w:r>
        <w:t>NRW has powers to enforce permit conditions</w:t>
      </w:r>
    </w:p>
    <w:p>
      <w:pPr>
        <w:pStyle w:val="ListBullet"/>
      </w:pPr>
      <w:r>
        <w:t>Penalties for non-compliance</w:t>
      </w:r>
    </w:p>
    <w:p>
      <w:pPr>
        <w:pStyle w:val="ListBullet"/>
      </w:pPr>
      <w:r>
        <w:t>Suspension or revocation of permits for serious breaches</w:t>
      </w:r>
    </w:p>
    <w:p>
      <w:r>
        <w:rPr>
          <w:b/>
        </w:rPr>
        <w:t>Implications for Stormy West:</w:t>
      </w:r>
    </w:p>
    <w:p>
      <w:pPr>
        <w:pStyle w:val="ListBullet"/>
      </w:pPr>
      <w:r>
        <w:t>Environmental Permit EAWML34009 governs all operations</w:t>
      </w:r>
    </w:p>
    <w:p>
      <w:pPr>
        <w:pStyle w:val="ListBullet"/>
      </w:pPr>
      <w:r>
        <w:t>Permit conditions legally binding</w:t>
      </w:r>
    </w:p>
    <w:p>
      <w:pPr>
        <w:pStyle w:val="ListBullet"/>
      </w:pPr>
      <w:r>
        <w:t>Non-compliance can result in enforcement action</w:t>
      </w:r>
    </w:p>
    <w:p>
      <w:pPr>
        <w:pStyle w:val="ListBullet"/>
      </w:pPr>
      <w:r>
        <w:t>Regular permit reviews required</w:t>
      </w:r>
    </w:p>
    <w:p>
      <w:pPr>
        <w:pStyle w:val="Heading3"/>
      </w:pPr>
      <w:r>
        <w:t>D.4.2 Environment (Wales) Act 2016</w:t>
      </w:r>
    </w:p>
    <w:p>
      <w:r>
        <w:rPr>
          <w:b/>
        </w:rPr>
        <w:t>Act: Environment (Wales) Act 2016</w:t>
      </w:r>
    </w:p>
    <w:p>
      <w:r>
        <w:rPr>
          <w:b/>
        </w:rPr>
        <w:t>Relevant Provisions:</w:t>
      </w:r>
    </w:p>
    <w:p>
      <w:r>
        <w:rPr>
          <w:b/>
        </w:rPr>
        <w:t>Part 1 - Sustainable Management of Natural Resources:</w:t>
      </w:r>
    </w:p>
    <w:p>
      <w:pPr>
        <w:pStyle w:val="ListBullet"/>
      </w:pPr>
      <w:r>
        <w:t>Duty to pursue sustainable management of natural resources</w:t>
      </w:r>
    </w:p>
    <w:p>
      <w:pPr>
        <w:pStyle w:val="ListBullet"/>
      </w:pPr>
      <w:r>
        <w:t>Principles of sustainable resource management</w:t>
      </w:r>
    </w:p>
    <w:p>
      <w:pPr>
        <w:pStyle w:val="ListBullet"/>
      </w:pPr>
      <w:r>
        <w:t>Long-term environmental protection</w:t>
      </w:r>
    </w:p>
    <w:p>
      <w:r>
        <w:rPr>
          <w:b/>
        </w:rPr>
        <w:t>Part 2 - Climate Change:</w:t>
      </w:r>
    </w:p>
    <w:p>
      <w:pPr>
        <w:pStyle w:val="ListBullet"/>
      </w:pPr>
      <w:r>
        <w:t>Emissions reduction targets for Wales</w:t>
      </w:r>
    </w:p>
    <w:p>
      <w:pPr>
        <w:pStyle w:val="ListBullet"/>
      </w:pPr>
      <w:r>
        <w:t>Methane as a significant greenhouse gas</w:t>
      </w:r>
    </w:p>
    <w:p>
      <w:pPr>
        <w:pStyle w:val="ListBullet"/>
      </w:pPr>
      <w:r>
        <w:t>Requirement to minimize greenhouse gas emissions</w:t>
      </w:r>
    </w:p>
    <w:p>
      <w:r>
        <w:rPr>
          <w:b/>
        </w:rPr>
        <w:t>Implications:</w:t>
      </w:r>
    </w:p>
    <w:p>
      <w:pPr>
        <w:pStyle w:val="ListBullet"/>
      </w:pPr>
      <w:r>
        <w:t>Landfill gas management contributes to Welsh climate change targets</w:t>
      </w:r>
    </w:p>
    <w:p>
      <w:pPr>
        <w:pStyle w:val="ListBullet"/>
      </w:pPr>
      <w:r>
        <w:t>Effective methane destruction reduces greenhouse gas emissions</w:t>
      </w:r>
    </w:p>
    <w:p>
      <w:pPr>
        <w:pStyle w:val="ListBullet"/>
      </w:pPr>
      <w:r>
        <w:t>Long-term sustainability of gas management approach</w:t>
      </w:r>
    </w:p>
    <w:p>
      <w:pPr>
        <w:pStyle w:val="Heading3"/>
      </w:pPr>
      <w:r>
        <w:t>D.4.3 Well-being of Future Generations (Wales) Act 2015</w:t>
      </w:r>
    </w:p>
    <w:p>
      <w:r>
        <w:rPr>
          <w:b/>
        </w:rPr>
        <w:t>Act: Well-being of Future Generations (Wales) Act 2015</w:t>
      </w:r>
    </w:p>
    <w:p>
      <w:r>
        <w:rPr>
          <w:b/>
        </w:rPr>
        <w:t>Seven Well-being Goals:</w:t>
      </w:r>
    </w:p>
    <w:p>
      <w:pPr>
        <w:pStyle w:val="ListNumber"/>
      </w:pPr>
      <w:r>
        <w:t>A prosperous Wales</w:t>
      </w:r>
    </w:p>
    <w:p>
      <w:pPr>
        <w:pStyle w:val="ListNumber"/>
      </w:pPr>
      <w:r>
        <w:t>A resilient Wales</w:t>
      </w:r>
    </w:p>
    <w:p>
      <w:pPr>
        <w:pStyle w:val="ListNumber"/>
      </w:pPr>
      <w:r>
        <w:t>A healthier Wales</w:t>
      </w:r>
    </w:p>
    <w:p>
      <w:pPr>
        <w:pStyle w:val="ListNumber"/>
      </w:pPr>
      <w:r>
        <w:t>A more equal Wales</w:t>
      </w:r>
    </w:p>
    <w:p>
      <w:pPr>
        <w:pStyle w:val="ListNumber"/>
      </w:pPr>
      <w:r>
        <w:t>A Wales of cohesive communities</w:t>
      </w:r>
    </w:p>
    <w:p>
      <w:pPr>
        <w:pStyle w:val="ListNumber"/>
      </w:pPr>
      <w:r>
        <w:t>A Wales of vibrant culture and thriving Welsh language</w:t>
      </w:r>
    </w:p>
    <w:p>
      <w:pPr>
        <w:pStyle w:val="ListNumber"/>
      </w:pPr>
      <w:r>
        <w:t>A globally responsible Wales</w:t>
      </w:r>
    </w:p>
    <w:p>
      <w:r>
        <w:rPr>
          <w:b/>
        </w:rPr>
        <w:t>Relevance to Landfill Gas Management:</w:t>
      </w:r>
    </w:p>
    <w:p>
      <w:pPr>
        <w:pStyle w:val="ListBullet"/>
      </w:pPr>
      <w:r>
        <w:t>Long-term thinking in gas management planning</w:t>
      </w:r>
    </w:p>
    <w:p>
      <w:pPr>
        <w:pStyle w:val="ListBullet"/>
      </w:pPr>
      <w:r>
        <w:t>Prevention of environmental harm</w:t>
      </w:r>
    </w:p>
    <w:p>
      <w:pPr>
        <w:pStyle w:val="ListBullet"/>
      </w:pPr>
      <w:r>
        <w:t>Integration with community well-being</w:t>
      </w:r>
    </w:p>
    <w:p>
      <w:pPr>
        <w:pStyle w:val="ListBullet"/>
      </w:pPr>
      <w:r>
        <w:t>Sustainable resource use</w:t>
      </w:r>
    </w:p>
    <w:p>
      <w:pPr>
        <w:pStyle w:val="Heading2"/>
      </w:pPr>
      <w:r>
        <w:t>D.5 Regulatory Guidance</w:t>
      </w:r>
    </w:p>
    <w:p>
      <w:pPr>
        <w:pStyle w:val="Heading3"/>
      </w:pPr>
      <w:r>
        <w:t>D.5.1 Environment Agency Guidance</w:t>
      </w:r>
    </w:p>
    <w:p>
      <w:r>
        <w:rPr>
          <w:b/>
        </w:rPr>
        <w:t>LFTGN 03 - Guidance on the management of landfill gas (2004)</w:t>
      </w:r>
    </w:p>
    <w:p>
      <w:r>
        <w:rPr>
          <w:b/>
        </w:rPr>
        <w:t>Key Guidance Points:</w:t>
      </w:r>
    </w:p>
    <w:p>
      <w:r>
        <w:rPr>
          <w:b/>
        </w:rPr>
        <w:t>Gas Collection Systems:</w:t>
      </w:r>
    </w:p>
    <w:p>
      <w:pPr>
        <w:pStyle w:val="ListBullet"/>
      </w:pPr>
      <w:r>
        <w:t>Design principles for gas extraction systems</w:t>
      </w:r>
    </w:p>
    <w:p>
      <w:pPr>
        <w:pStyle w:val="ListBullet"/>
      </w:pPr>
      <w:r>
        <w:t>Well spacing and depth recommendations</w:t>
      </w:r>
    </w:p>
    <w:p>
      <w:pPr>
        <w:pStyle w:val="ListBullet"/>
      </w:pPr>
      <w:r>
        <w:t>Manifold and header design</w:t>
      </w:r>
    </w:p>
    <w:p>
      <w:pPr>
        <w:pStyle w:val="ListBullet"/>
      </w:pPr>
      <w:r>
        <w:t>Blower and flare specifications</w:t>
      </w:r>
    </w:p>
    <w:p>
      <w:r>
        <w:rPr>
          <w:b/>
        </w:rPr>
        <w:t>Gas Monitoring:</w:t>
      </w:r>
    </w:p>
    <w:p>
      <w:pPr>
        <w:pStyle w:val="ListBullet"/>
      </w:pPr>
      <w:r>
        <w:t>Frequency of monitoring</w:t>
      </w:r>
    </w:p>
    <w:p>
      <w:pPr>
        <w:pStyle w:val="ListBullet"/>
      </w:pPr>
      <w:r>
        <w:t>Parameters to be monitored</w:t>
      </w:r>
    </w:p>
    <w:p>
      <w:pPr>
        <w:pStyle w:val="ListBullet"/>
      </w:pPr>
      <w:r>
        <w:t>Quality assurance procedures</w:t>
      </w:r>
    </w:p>
    <w:p>
      <w:pPr>
        <w:pStyle w:val="ListBullet"/>
      </w:pPr>
      <w:r>
        <w:t>Data recording and reporting</w:t>
      </w:r>
    </w:p>
    <w:p>
      <w:r>
        <w:rPr>
          <w:b/>
        </w:rPr>
        <w:t>Flare Operation:</w:t>
      </w:r>
    </w:p>
    <w:p>
      <w:pPr>
        <w:pStyle w:val="ListBullet"/>
      </w:pPr>
      <w:r>
        <w:t>Temperature requirements (&gt;1,000°C)</w:t>
      </w:r>
    </w:p>
    <w:p>
      <w:pPr>
        <w:pStyle w:val="ListBullet"/>
      </w:pPr>
      <w:r>
        <w:t>Retention time requirements (&gt;0.3 seconds)</w:t>
      </w:r>
    </w:p>
    <w:p>
      <w:pPr>
        <w:pStyle w:val="ListBullet"/>
      </w:pPr>
      <w:r>
        <w:t>Destruction efficiency (&gt;98% for methane)</w:t>
      </w:r>
    </w:p>
    <w:p>
      <w:pPr>
        <w:pStyle w:val="ListBullet"/>
      </w:pPr>
      <w:r>
        <w:t>Monitoring and maintenance</w:t>
      </w:r>
    </w:p>
    <w:p>
      <w:r>
        <w:rPr>
          <w:b/>
        </w:rPr>
        <w:t>Risk Assessment:</w:t>
      </w:r>
    </w:p>
    <w:p>
      <w:pPr>
        <w:pStyle w:val="ListBullet"/>
      </w:pPr>
      <w:r>
        <w:t>Lateral migration assessment</w:t>
      </w:r>
    </w:p>
    <w:p>
      <w:pPr>
        <w:pStyle w:val="ListBullet"/>
      </w:pPr>
      <w:r>
        <w:t>Surface emission monitoring</w:t>
      </w:r>
    </w:p>
    <w:p>
      <w:pPr>
        <w:pStyle w:val="ListBullet"/>
      </w:pPr>
      <w:r>
        <w:t>Groundwater monitoring</w:t>
      </w:r>
    </w:p>
    <w:p>
      <w:pPr>
        <w:pStyle w:val="ListBullet"/>
      </w:pPr>
      <w:r>
        <w:t>Odor management</w:t>
      </w:r>
    </w:p>
    <w:p>
      <w:r>
        <w:rPr>
          <w:b/>
        </w:rPr>
        <w:t>LFTGN 07 - Guidance on monitoring landfill gas surface emissions (2010)</w:t>
      </w:r>
    </w:p>
    <w:p>
      <w:r>
        <w:rPr>
          <w:b/>
        </w:rPr>
        <w:t>Surface Emissions Monitoring:</w:t>
      </w:r>
    </w:p>
    <w:p>
      <w:pPr>
        <w:pStyle w:val="ListBullet"/>
      </w:pPr>
      <w:r>
        <w:t>Monitoring methodology</w:t>
      </w:r>
    </w:p>
    <w:p>
      <w:pPr>
        <w:pStyle w:val="ListBullet"/>
      </w:pPr>
      <w:r>
        <w:t>Frequency and coverage</w:t>
      </w:r>
    </w:p>
    <w:p>
      <w:pPr>
        <w:pStyle w:val="ListBullet"/>
      </w:pPr>
      <w:r>
        <w:t>Action levels and response procedures</w:t>
      </w:r>
    </w:p>
    <w:p>
      <w:pPr>
        <w:pStyle w:val="ListBullet"/>
      </w:pPr>
      <w:r>
        <w:t>Reporting requirements</w:t>
      </w:r>
    </w:p>
    <w:p>
      <w:r>
        <w:rPr>
          <w:b/>
        </w:rPr>
        <w:t>AG6 - Surface VOC Emissions Monitoring on Landfill Facilities (2010)</w:t>
      </w:r>
    </w:p>
    <w:p>
      <w:r>
        <w:rPr>
          <w:b/>
        </w:rPr>
        <w:t>VOC Monitoring:</w:t>
      </w:r>
    </w:p>
    <w:p>
      <w:pPr>
        <w:pStyle w:val="ListBullet"/>
      </w:pPr>
      <w:r>
        <w:t>Monitoring techniques</w:t>
      </w:r>
    </w:p>
    <w:p>
      <w:pPr>
        <w:pStyle w:val="ListBullet"/>
      </w:pPr>
      <w:r>
        <w:t>Equipment specifications</w:t>
      </w:r>
    </w:p>
    <w:p>
      <w:pPr>
        <w:pStyle w:val="ListBullet"/>
      </w:pPr>
      <w:r>
        <w:t>Data interpretation</w:t>
      </w:r>
    </w:p>
    <w:p>
      <w:pPr>
        <w:pStyle w:val="ListBullet"/>
      </w:pPr>
      <w:r>
        <w:t>Compliance assessment</w:t>
      </w:r>
    </w:p>
    <w:p>
      <w:pPr>
        <w:pStyle w:val="Heading3"/>
      </w:pPr>
      <w:r>
        <w:t>D.5.2 Technical Guidance</w:t>
      </w:r>
    </w:p>
    <w:p>
      <w:r>
        <w:rPr>
          <w:b/>
        </w:rPr>
        <w:t>BS EN 12599:2012 - Ventilation for buildings</w:t>
      </w:r>
    </w:p>
    <w:p>
      <w:pPr>
        <w:pStyle w:val="ListBullet"/>
      </w:pPr>
      <w:r>
        <w:t>Test procedures for air flow measurement</w:t>
      </w:r>
    </w:p>
    <w:p>
      <w:pPr>
        <w:pStyle w:val="ListBullet"/>
      </w:pPr>
      <w:r>
        <w:t>Measurement accuracy requirements</w:t>
      </w:r>
    </w:p>
    <w:p>
      <w:pPr>
        <w:pStyle w:val="ListBullet"/>
      </w:pPr>
      <w:r>
        <w:t>Calibration procedures</w:t>
      </w:r>
    </w:p>
    <w:p>
      <w:r>
        <w:rPr>
          <w:b/>
        </w:rPr>
        <w:t>ISO 5167 - Measurement of fluid flow</w:t>
      </w:r>
    </w:p>
    <w:p>
      <w:pPr>
        <w:pStyle w:val="ListBullet"/>
      </w:pPr>
      <w:r>
        <w:t>Flow measurement principles</w:t>
      </w:r>
    </w:p>
    <w:p>
      <w:pPr>
        <w:pStyle w:val="ListBullet"/>
      </w:pPr>
      <w:r>
        <w:t>Uncertainty analysis</w:t>
      </w:r>
    </w:p>
    <w:p>
      <w:pPr>
        <w:pStyle w:val="ListBullet"/>
      </w:pPr>
      <w:r>
        <w:t>Quality assurance</w:t>
      </w:r>
    </w:p>
    <w:p>
      <w:pPr>
        <w:pStyle w:val="Heading2"/>
      </w:pPr>
      <w:r>
        <w:t>D.6 Site-Specific Environmental Permit</w:t>
      </w:r>
    </w:p>
    <w:p>
      <w:pPr>
        <w:pStyle w:val="Heading3"/>
      </w:pPr>
      <w:r>
        <w:t>D.6.1 Environmental Permit EAWML34009</w:t>
      </w:r>
    </w:p>
    <w:p>
      <w:r>
        <w:rPr>
          <w:b/>
        </w:rPr>
        <w:t>Permit Holder: [Site Operator]</w:t>
      </w:r>
    </w:p>
    <w:p>
      <w:r>
        <w:rPr>
          <w:b/>
        </w:rPr>
        <w:t>Regulated Facility: Stormy West Landfill Site, Pyle, South Wales</w:t>
      </w:r>
    </w:p>
    <w:p>
      <w:r>
        <w:rPr>
          <w:b/>
        </w:rPr>
        <w:t>Permit Type: Landfill Directive Installation</w:t>
      </w:r>
    </w:p>
    <w:p>
      <w:r>
        <w:rPr>
          <w:b/>
        </w:rPr>
        <w:t>Regulator: Natural Resources Wales (NRW)</w:t>
      </w:r>
    </w:p>
    <w:p>
      <w:r>
        <w:rPr>
          <w:b/>
        </w:rPr>
        <w:t>Key Permit Conditions:</w:t>
      </w:r>
    </w:p>
    <w:p>
      <w:r>
        <w:rPr>
          <w:b/>
        </w:rPr>
        <w:t>Condition 1 - Management:</w:t>
      </w:r>
    </w:p>
    <w:p>
      <w:pPr>
        <w:pStyle w:val="ListBullet"/>
      </w:pPr>
      <w:r>
        <w:t>Site must be managed in accordance with approved management system</w:t>
      </w:r>
    </w:p>
    <w:p>
      <w:pPr>
        <w:pStyle w:val="ListBullet"/>
      </w:pPr>
      <w:r>
        <w:t>Competent management required</w:t>
      </w:r>
    </w:p>
    <w:p>
      <w:pPr>
        <w:pStyle w:val="ListBullet"/>
      </w:pPr>
      <w:r>
        <w:t>Staff training and competence</w:t>
      </w:r>
    </w:p>
    <w:p>
      <w:r>
        <w:rPr>
          <w:b/>
        </w:rPr>
        <w:t>Condition 2 - Operations:</w:t>
      </w:r>
    </w:p>
    <w:p>
      <w:pPr>
        <w:pStyle w:val="ListBullet"/>
      </w:pPr>
      <w:r>
        <w:t>Operations must be conducted in accordance with approved procedures</w:t>
      </w:r>
    </w:p>
    <w:p>
      <w:pPr>
        <w:pStyle w:val="ListBullet"/>
      </w:pPr>
      <w:r>
        <w:t>Waste acceptance procedures</w:t>
      </w:r>
    </w:p>
    <w:p>
      <w:pPr>
        <w:pStyle w:val="ListBullet"/>
      </w:pPr>
      <w:r>
        <w:t>Operational controls</w:t>
      </w:r>
    </w:p>
    <w:p>
      <w:r>
        <w:rPr>
          <w:b/>
        </w:rPr>
        <w:t>Condition 3 - Emissions:</w:t>
      </w:r>
    </w:p>
    <w:p>
      <w:pPr>
        <w:pStyle w:val="ListBullet"/>
      </w:pPr>
      <w:r>
        <w:t>Emissions to air, water, and land must be prevented or minimized</w:t>
      </w:r>
    </w:p>
    <w:p>
      <w:pPr>
        <w:pStyle w:val="ListBullet"/>
      </w:pPr>
      <w:r>
        <w:t>Emission limit values must be met</w:t>
      </w:r>
    </w:p>
    <w:p>
      <w:pPr>
        <w:pStyle w:val="ListBullet"/>
      </w:pPr>
      <w:r>
        <w:t>Monitoring and reporting required</w:t>
      </w:r>
    </w:p>
    <w:p>
      <w:r>
        <w:rPr>
          <w:b/>
        </w:rPr>
        <w:t>Condition 4 - Landfill Gas Management:</w:t>
      </w:r>
    </w:p>
    <w:p>
      <w:pPr>
        <w:pStyle w:val="ListBullet"/>
      </w:pPr>
      <w:r>
        <w:t>Active gas collection system must be maintained and operated</w:t>
      </w:r>
    </w:p>
    <w:p>
      <w:pPr>
        <w:pStyle w:val="ListBullet"/>
      </w:pPr>
      <w:r>
        <w:t>Gas must be flared or used for energy recovery</w:t>
      </w:r>
    </w:p>
    <w:p>
      <w:pPr>
        <w:pStyle w:val="ListBullet"/>
      </w:pPr>
      <w:r>
        <w:t>Flare must operate at &gt;1,000°C with &gt;0.3 seconds retention time</w:t>
      </w:r>
    </w:p>
    <w:p>
      <w:pPr>
        <w:pStyle w:val="ListBullet"/>
      </w:pPr>
      <w:r>
        <w:t>Continuous monitoring of flare temperature</w:t>
      </w:r>
    </w:p>
    <w:p>
      <w:pPr>
        <w:pStyle w:val="ListBullet"/>
      </w:pPr>
      <w:r>
        <w:t>Gas composition monitoring (minimum quarterly)</w:t>
      </w:r>
    </w:p>
    <w:p>
      <w:pPr>
        <w:pStyle w:val="ListBullet"/>
      </w:pPr>
      <w:r>
        <w:t>Surface emissions monitoring (minimum quarterly)</w:t>
      </w:r>
    </w:p>
    <w:p>
      <w:pPr>
        <w:pStyle w:val="ListBullet"/>
      </w:pPr>
      <w:r>
        <w:t>Lateral migration monitoring (minimum quarterly)</w:t>
      </w:r>
    </w:p>
    <w:p>
      <w:r>
        <w:rPr>
          <w:b/>
        </w:rPr>
        <w:t>Condition 5 - Monitoring:</w:t>
      </w:r>
    </w:p>
    <w:p>
      <w:pPr>
        <w:pStyle w:val="ListBullet"/>
      </w:pPr>
      <w:r>
        <w:t>Monitoring program must be implemented as approved</w:t>
      </w:r>
    </w:p>
    <w:p>
      <w:pPr>
        <w:pStyle w:val="ListBullet"/>
      </w:pPr>
      <w:r>
        <w:t>Results must be recorded and reported</w:t>
      </w:r>
    </w:p>
    <w:p>
      <w:pPr>
        <w:pStyle w:val="ListBullet"/>
      </w:pPr>
      <w:r>
        <w:t>Exceedances must be investigated and reported</w:t>
      </w:r>
    </w:p>
    <w:p>
      <w:r>
        <w:rPr>
          <w:b/>
        </w:rPr>
        <w:t>Condition 6 - Records:</w:t>
      </w:r>
    </w:p>
    <w:p>
      <w:pPr>
        <w:pStyle w:val="ListBullet"/>
      </w:pPr>
      <w:r>
        <w:t>All monitoring data must be retained for minimum 6 years</w:t>
      </w:r>
    </w:p>
    <w:p>
      <w:pPr>
        <w:pStyle w:val="ListBullet"/>
      </w:pPr>
      <w:r>
        <w:t>Records must be available for inspection by NRW</w:t>
      </w:r>
    </w:p>
    <w:p>
      <w:pPr>
        <w:pStyle w:val="ListBullet"/>
      </w:pPr>
      <w:r>
        <w:t>Annual reporting to NRW</w:t>
      </w:r>
    </w:p>
    <w:p>
      <w:r>
        <w:rPr>
          <w:b/>
        </w:rPr>
        <w:t>Condition 7 - Incidents:</w:t>
      </w:r>
    </w:p>
    <w:p>
      <w:pPr>
        <w:pStyle w:val="ListBullet"/>
      </w:pPr>
      <w:r>
        <w:t>Incidents must be reported to NRW immediately</w:t>
      </w:r>
    </w:p>
    <w:p>
      <w:pPr>
        <w:pStyle w:val="ListBullet"/>
      </w:pPr>
      <w:r>
        <w:t>Investigation and corrective actions required</w:t>
      </w:r>
    </w:p>
    <w:p>
      <w:pPr>
        <w:pStyle w:val="ListBullet"/>
      </w:pPr>
      <w:r>
        <w:t>Prevention of recurrence</w:t>
      </w:r>
    </w:p>
    <w:p>
      <w:r>
        <w:rPr>
          <w:b/>
        </w:rPr>
        <w:t>Condition 8 - Closure and Aftercare:</w:t>
      </w:r>
    </w:p>
    <w:p>
      <w:pPr>
        <w:pStyle w:val="ListBullet"/>
      </w:pPr>
      <w:r>
        <w:t>Closure plan must be approved by NRW</w:t>
      </w:r>
    </w:p>
    <w:p>
      <w:pPr>
        <w:pStyle w:val="ListBullet"/>
      </w:pPr>
      <w:r>
        <w:t>Aftercare period minimum 30 years (or until NRW accepts no further risk)</w:t>
      </w:r>
    </w:p>
    <w:p>
      <w:pPr>
        <w:pStyle w:val="ListBullet"/>
      </w:pPr>
      <w:r>
        <w:t>Gas management must continue during aftercare</w:t>
      </w:r>
    </w:p>
    <w:p>
      <w:pPr>
        <w:pStyle w:val="Heading3"/>
      </w:pPr>
      <w:r>
        <w:t>D.6.2 Permit Variations</w:t>
      </w:r>
    </w:p>
    <w:p>
      <w:r>
        <w:rPr>
          <w:b/>
        </w:rPr>
        <w:t>Process for Permit Variation:</w:t>
      </w:r>
    </w:p>
    <w:p>
      <w:pPr>
        <w:pStyle w:val="ListNumber"/>
      </w:pPr>
      <w:r>
        <w:t>Pre-application Discussion:</w:t>
      </w:r>
    </w:p>
    <w:p>
      <w:pPr>
        <w:pStyle w:val="ListBullet"/>
      </w:pPr>
      <w:r>
        <w:t>Consultation with NRW regarding proposed changes</w:t>
      </w:r>
    </w:p>
    <w:p>
      <w:pPr>
        <w:pStyle w:val="ListBullet"/>
      </w:pPr>
      <w:r>
        <w:t>Discussion of technical approach</w:t>
      </w:r>
    </w:p>
    <w:p>
      <w:pPr>
        <w:pStyle w:val="ListBullet"/>
      </w:pPr>
      <w:r>
        <w:t>Identification of information requirements</w:t>
      </w:r>
    </w:p>
    <w:p>
      <w:pPr>
        <w:pStyle w:val="ListNumber"/>
      </w:pPr>
      <w:r>
        <w:t>Application Submission:</w:t>
      </w:r>
    </w:p>
    <w:p>
      <w:pPr>
        <w:pStyle w:val="ListBullet"/>
      </w:pPr>
      <w:r>
        <w:t>Completed application form</w:t>
      </w:r>
    </w:p>
    <w:p>
      <w:pPr>
        <w:pStyle w:val="ListBullet"/>
      </w:pPr>
      <w:r>
        <w:t>Technical justification</w:t>
      </w:r>
    </w:p>
    <w:p>
      <w:pPr>
        <w:pStyle w:val="ListBullet"/>
      </w:pPr>
      <w:r>
        <w:t>Environmental risk assessment</w:t>
      </w:r>
    </w:p>
    <w:p>
      <w:pPr>
        <w:pStyle w:val="ListBullet"/>
      </w:pPr>
      <w:r>
        <w:t>Proposed monitoring and management procedures</w:t>
      </w:r>
    </w:p>
    <w:p>
      <w:pPr>
        <w:pStyle w:val="ListNumber"/>
      </w:pPr>
      <w:r>
        <w:t>Determination:</w:t>
      </w:r>
    </w:p>
    <w:p>
      <w:pPr>
        <w:pStyle w:val="ListBullet"/>
      </w:pPr>
      <w:r>
        <w:t>NRW review of application (typically 13 weeks)</w:t>
      </w:r>
    </w:p>
    <w:p>
      <w:pPr>
        <w:pStyle w:val="ListBullet"/>
      </w:pPr>
      <w:r>
        <w:t>Public consultation if required</w:t>
      </w:r>
    </w:p>
    <w:p>
      <w:pPr>
        <w:pStyle w:val="ListBullet"/>
      </w:pPr>
      <w:r>
        <w:t>Decision notice issued</w:t>
      </w:r>
    </w:p>
    <w:p>
      <w:pPr>
        <w:pStyle w:val="ListNumber"/>
      </w:pPr>
      <w:r>
        <w:t>Implementation:</w:t>
      </w:r>
    </w:p>
    <w:p>
      <w:pPr>
        <w:pStyle w:val="ListBullet"/>
      </w:pPr>
      <w:r>
        <w:t>Compliance with varied permit conditions</w:t>
      </w:r>
    </w:p>
    <w:p>
      <w:pPr>
        <w:pStyle w:val="ListBullet"/>
      </w:pPr>
      <w:r>
        <w:t>Notification to NRW of implementation</w:t>
      </w:r>
    </w:p>
    <w:p>
      <w:pPr>
        <w:pStyle w:val="ListBullet"/>
      </w:pPr>
      <w:r>
        <w:t>Updated procedures and records</w:t>
      </w:r>
    </w:p>
    <w:p>
      <w:r>
        <w:rPr>
          <w:b/>
        </w:rPr>
        <w:t>Potential Variations for Stormy West:</w:t>
      </w:r>
    </w:p>
    <w:p>
      <w:pPr>
        <w:pStyle w:val="ListBullet"/>
      </w:pPr>
      <w:r>
        <w:t>Installation of new low-CV flare system</w:t>
      </w:r>
    </w:p>
    <w:p>
      <w:pPr>
        <w:pStyle w:val="ListBullet"/>
      </w:pPr>
      <w:r>
        <w:t>Changes to monitoring frequency</w:t>
      </w:r>
    </w:p>
    <w:p>
      <w:pPr>
        <w:pStyle w:val="ListBullet"/>
      </w:pPr>
      <w:r>
        <w:t>Implementation of biofilter/biocover (if approved)</w:t>
      </w:r>
    </w:p>
    <w:p>
      <w:pPr>
        <w:pStyle w:val="ListBullet"/>
      </w:pPr>
      <w:r>
        <w:t>Modifications to gas collection system</w:t>
      </w:r>
    </w:p>
    <w:p>
      <w:pPr>
        <w:pStyle w:val="Heading2"/>
      </w:pPr>
      <w:r>
        <w:t>D.7 Monitoring and Reporting Requirements</w:t>
      </w:r>
    </w:p>
    <w:p>
      <w:pPr>
        <w:pStyle w:val="Heading3"/>
      </w:pPr>
      <w:r>
        <w:t>D.7.1 Routine Monitoring</w:t>
      </w:r>
    </w:p>
    <w:p>
      <w:r>
        <w:rPr>
          <w:b/>
        </w:rPr>
        <w:t>Gas Composition Monitoring:</w:t>
      </w:r>
    </w:p>
    <w:tbl>
      <w:tblPr>
        <w:tblStyle w:val="LightGrid-Accent1"/>
        <w:tblW w:type="auto" w:w="0"/>
        <w:tblLook w:firstColumn="1" w:firstRow="1" w:lastColumn="0" w:lastRow="0" w:noHBand="0" w:noVBand="1" w:val="04A0"/>
      </w:tblPr>
      <w:tblGrid>
        <w:gridCol w:w="2160"/>
        <w:gridCol w:w="2160"/>
        <w:gridCol w:w="2160"/>
        <w:gridCol w:w="2160"/>
      </w:tblGrid>
      <w:tr>
        <w:tc>
          <w:tcPr>
            <w:tcW w:type="dxa" w:w="2160"/>
          </w:tcPr>
          <w:p>
            <w:r>
              <w:rPr>
                <w:b/>
              </w:rPr>
              <w:t>Parameter</w:t>
            </w:r>
          </w:p>
        </w:tc>
        <w:tc>
          <w:tcPr>
            <w:tcW w:type="dxa" w:w="2160"/>
          </w:tcPr>
          <w:p>
            <w:r>
              <w:rPr>
                <w:b/>
              </w:rPr>
              <w:t>Frequency</w:t>
            </w:r>
          </w:p>
        </w:tc>
        <w:tc>
          <w:tcPr>
            <w:tcW w:type="dxa" w:w="2160"/>
          </w:tcPr>
          <w:p>
            <w:r>
              <w:rPr>
                <w:b/>
              </w:rPr>
              <w:t>Location</w:t>
            </w:r>
          </w:p>
        </w:tc>
        <w:tc>
          <w:tcPr>
            <w:tcW w:type="dxa" w:w="2160"/>
          </w:tcPr>
          <w:p>
            <w:r>
              <w:rPr>
                <w:b/>
              </w:rPr>
              <w:t>Method</w:t>
            </w:r>
          </w:p>
        </w:tc>
      </w:tr>
      <w:tr>
        <w:tc>
          <w:tcPr>
            <w:tcW w:type="dxa" w:w="2160"/>
          </w:tcPr>
          <w:p>
            <w:r>
              <w:t>CH₄, CO₂, O₂, N₂</w:t>
            </w:r>
          </w:p>
        </w:tc>
        <w:tc>
          <w:tcPr>
            <w:tcW w:type="dxa" w:w="2160"/>
          </w:tcPr>
          <w:p>
            <w:r>
              <w:t>Quarterly (minimum)</w:t>
            </w:r>
          </w:p>
        </w:tc>
        <w:tc>
          <w:tcPr>
            <w:tcW w:type="dxa" w:w="2160"/>
          </w:tcPr>
          <w:p>
            <w:r>
              <w:t>Flare inlet</w:t>
            </w:r>
          </w:p>
        </w:tc>
        <w:tc>
          <w:tcPr>
            <w:tcW w:type="dxa" w:w="2160"/>
          </w:tcPr>
          <w:p>
            <w:r>
              <w:t>Portable gas analyzer</w:t>
            </w:r>
          </w:p>
        </w:tc>
      </w:tr>
      <w:tr>
        <w:tc>
          <w:tcPr>
            <w:tcW w:type="dxa" w:w="2160"/>
          </w:tcPr>
          <w:p>
            <w:r>
              <w:t>CH₄, CO₂, O₂</w:t>
            </w:r>
          </w:p>
        </w:tc>
        <w:tc>
          <w:tcPr>
            <w:tcW w:type="dxa" w:w="2160"/>
          </w:tcPr>
          <w:p>
            <w:r>
              <w:t>Quarterly</w:t>
            </w:r>
          </w:p>
        </w:tc>
        <w:tc>
          <w:tcPr>
            <w:tcW w:type="dxa" w:w="2160"/>
          </w:tcPr>
          <w:p>
            <w:r>
              <w:t>Each manifold leg</w:t>
            </w:r>
          </w:p>
        </w:tc>
        <w:tc>
          <w:tcPr>
            <w:tcW w:type="dxa" w:w="2160"/>
          </w:tcPr>
          <w:p>
            <w:r>
              <w:t>Portable gas analyzer</w:t>
            </w:r>
          </w:p>
        </w:tc>
      </w:tr>
      <w:tr>
        <w:tc>
          <w:tcPr>
            <w:tcW w:type="dxa" w:w="2160"/>
          </w:tcPr>
          <w:p>
            <w:r>
              <w:t>CH₄, CO₂, O₂</w:t>
            </w:r>
          </w:p>
        </w:tc>
        <w:tc>
          <w:tcPr>
            <w:tcW w:type="dxa" w:w="2160"/>
          </w:tcPr>
          <w:p>
            <w:r>
              <w:t>Quarterly</w:t>
            </w:r>
          </w:p>
        </w:tc>
        <w:tc>
          <w:tcPr>
            <w:tcW w:type="dxa" w:w="2160"/>
          </w:tcPr>
          <w:p>
            <w:r>
              <w:t>In-waste wells</w:t>
            </w:r>
          </w:p>
        </w:tc>
        <w:tc>
          <w:tcPr>
            <w:tcW w:type="dxa" w:w="2160"/>
          </w:tcPr>
          <w:p>
            <w:r>
              <w:t>Portable gas analyzer</w:t>
            </w:r>
          </w:p>
        </w:tc>
      </w:tr>
      <w:tr>
        <w:tc>
          <w:tcPr>
            <w:tcW w:type="dxa" w:w="2160"/>
          </w:tcPr>
          <w:p>
            <w:r>
              <w:t>Flow rate</w:t>
            </w:r>
          </w:p>
        </w:tc>
        <w:tc>
          <w:tcPr>
            <w:tcW w:type="dxa" w:w="2160"/>
          </w:tcPr>
          <w:p>
            <w:r>
              <w:t>Quarterly</w:t>
            </w:r>
          </w:p>
        </w:tc>
        <w:tc>
          <w:tcPr>
            <w:tcW w:type="dxa" w:w="2160"/>
          </w:tcPr>
          <w:p>
            <w:r>
              <w:t>Flare inlet</w:t>
            </w:r>
          </w:p>
        </w:tc>
        <w:tc>
          <w:tcPr>
            <w:tcW w:type="dxa" w:w="2160"/>
          </w:tcPr>
          <w:p>
            <w:r>
              <w:t>Velocity measurement</w:t>
            </w:r>
          </w:p>
        </w:tc>
      </w:tr>
      <w:tr>
        <w:tc>
          <w:tcPr>
            <w:tcW w:type="dxa" w:w="2160"/>
          </w:tcPr>
          <w:p>
            <w:r>
              <w:t>Temperature</w:t>
            </w:r>
          </w:p>
        </w:tc>
        <w:tc>
          <w:tcPr>
            <w:tcW w:type="dxa" w:w="2160"/>
          </w:tcPr>
          <w:p>
            <w:r>
              <w:t>Continuous</w:t>
            </w:r>
          </w:p>
        </w:tc>
        <w:tc>
          <w:tcPr>
            <w:tcW w:type="dxa" w:w="2160"/>
          </w:tcPr>
          <w:p>
            <w:r>
              <w:t>Flare chamber</w:t>
            </w:r>
          </w:p>
        </w:tc>
        <w:tc>
          <w:tcPr>
            <w:tcW w:type="dxa" w:w="2160"/>
          </w:tcPr>
          <w:p>
            <w:r>
              <w:t>Thermocouple</w:t>
            </w:r>
          </w:p>
        </w:tc>
      </w:tr>
    </w:tbl>
    <w:p/>
    <w:p>
      <w:r>
        <w:rPr>
          <w:b/>
        </w:rPr>
        <w:t>Surface Emissions Monitoring:</w:t>
      </w:r>
    </w:p>
    <w:tbl>
      <w:tblPr>
        <w:tblStyle w:val="LightGrid-Accent1"/>
        <w:tblW w:type="auto" w:w="0"/>
        <w:tblLook w:firstColumn="1" w:firstRow="1" w:lastColumn="0" w:lastRow="0" w:noHBand="0" w:noVBand="1" w:val="04A0"/>
      </w:tblPr>
      <w:tblGrid>
        <w:gridCol w:w="2160"/>
        <w:gridCol w:w="2160"/>
        <w:gridCol w:w="2160"/>
        <w:gridCol w:w="2160"/>
      </w:tblGrid>
      <w:tr>
        <w:tc>
          <w:tcPr>
            <w:tcW w:type="dxa" w:w="2160"/>
          </w:tcPr>
          <w:p>
            <w:r>
              <w:rPr>
                <w:b/>
              </w:rPr>
              <w:t>Parameter</w:t>
            </w:r>
          </w:p>
        </w:tc>
        <w:tc>
          <w:tcPr>
            <w:tcW w:type="dxa" w:w="2160"/>
          </w:tcPr>
          <w:p>
            <w:r>
              <w:rPr>
                <w:b/>
              </w:rPr>
              <w:t>Frequency</w:t>
            </w:r>
          </w:p>
        </w:tc>
        <w:tc>
          <w:tcPr>
            <w:tcW w:type="dxa" w:w="2160"/>
          </w:tcPr>
          <w:p>
            <w:r>
              <w:rPr>
                <w:b/>
              </w:rPr>
              <w:t>Coverage</w:t>
            </w:r>
          </w:p>
        </w:tc>
        <w:tc>
          <w:tcPr>
            <w:tcW w:type="dxa" w:w="2160"/>
          </w:tcPr>
          <w:p>
            <w:r>
              <w:rPr>
                <w:b/>
              </w:rPr>
              <w:t>Action Level</w:t>
            </w:r>
          </w:p>
        </w:tc>
      </w:tr>
      <w:tr>
        <w:tc>
          <w:tcPr>
            <w:tcW w:type="dxa" w:w="2160"/>
          </w:tcPr>
          <w:p>
            <w:r>
              <w:t>CH₄</w:t>
            </w:r>
          </w:p>
        </w:tc>
        <w:tc>
          <w:tcPr>
            <w:tcW w:type="dxa" w:w="2160"/>
          </w:tcPr>
          <w:p>
            <w:r>
              <w:t>Quarterly</w:t>
            </w:r>
          </w:p>
        </w:tc>
        <w:tc>
          <w:tcPr>
            <w:tcW w:type="dxa" w:w="2160"/>
          </w:tcPr>
          <w:p>
            <w:r>
              <w:t>100% of capped area</w:t>
            </w:r>
          </w:p>
        </w:tc>
        <w:tc>
          <w:tcPr>
            <w:tcW w:type="dxa" w:w="2160"/>
          </w:tcPr>
          <w:p>
            <w:r>
              <w:t>&gt;500 ppm above background</w:t>
            </w:r>
          </w:p>
        </w:tc>
      </w:tr>
      <w:tr>
        <w:tc>
          <w:tcPr>
            <w:tcW w:type="dxa" w:w="2160"/>
          </w:tcPr>
          <w:p>
            <w:r>
              <w:t>VOCs</w:t>
            </w:r>
          </w:p>
        </w:tc>
        <w:tc>
          <w:tcPr>
            <w:tcW w:type="dxa" w:w="2160"/>
          </w:tcPr>
          <w:p>
            <w:r>
              <w:t>Quarterly</w:t>
            </w:r>
          </w:p>
        </w:tc>
        <w:tc>
          <w:tcPr>
            <w:tcW w:type="dxa" w:w="2160"/>
          </w:tcPr>
          <w:p>
            <w:r>
              <w:t>100% of capped area</w:t>
            </w:r>
          </w:p>
        </w:tc>
        <w:tc>
          <w:tcPr>
            <w:tcW w:type="dxa" w:w="2160"/>
          </w:tcPr>
          <w:p>
            <w:r>
              <w:t>Site-specific levels</w:t>
            </w:r>
          </w:p>
        </w:tc>
      </w:tr>
    </w:tbl>
    <w:p/>
    <w:p>
      <w:r>
        <w:rPr>
          <w:b/>
        </w:rPr>
        <w:t>Lateral Migration Monitoring:</w:t>
      </w:r>
    </w:p>
    <w:tbl>
      <w:tblPr>
        <w:tblStyle w:val="LightGrid-Accent1"/>
        <w:tblW w:type="auto" w:w="0"/>
        <w:tblLook w:firstColumn="1" w:firstRow="1" w:lastColumn="0" w:lastRow="0" w:noHBand="0" w:noVBand="1" w:val="04A0"/>
      </w:tblPr>
      <w:tblGrid>
        <w:gridCol w:w="2160"/>
        <w:gridCol w:w="2160"/>
        <w:gridCol w:w="2160"/>
        <w:gridCol w:w="2160"/>
      </w:tblGrid>
      <w:tr>
        <w:tc>
          <w:tcPr>
            <w:tcW w:type="dxa" w:w="2160"/>
          </w:tcPr>
          <w:p>
            <w:r>
              <w:rPr>
                <w:b/>
              </w:rPr>
              <w:t>Parameter</w:t>
            </w:r>
          </w:p>
        </w:tc>
        <w:tc>
          <w:tcPr>
            <w:tcW w:type="dxa" w:w="2160"/>
          </w:tcPr>
          <w:p>
            <w:r>
              <w:rPr>
                <w:b/>
              </w:rPr>
              <w:t>Frequency</w:t>
            </w:r>
          </w:p>
        </w:tc>
        <w:tc>
          <w:tcPr>
            <w:tcW w:type="dxa" w:w="2160"/>
          </w:tcPr>
          <w:p>
            <w:r>
              <w:rPr>
                <w:b/>
              </w:rPr>
              <w:t>Location</w:t>
            </w:r>
          </w:p>
        </w:tc>
        <w:tc>
          <w:tcPr>
            <w:tcW w:type="dxa" w:w="2160"/>
          </w:tcPr>
          <w:p>
            <w:r>
              <w:rPr>
                <w:b/>
              </w:rPr>
              <w:t>Action Level</w:t>
            </w:r>
          </w:p>
        </w:tc>
      </w:tr>
      <w:tr>
        <w:tc>
          <w:tcPr>
            <w:tcW w:type="dxa" w:w="2160"/>
          </w:tcPr>
          <w:p>
            <w:r>
              <w:t>CH₄, CO₂, O₂</w:t>
            </w:r>
          </w:p>
        </w:tc>
        <w:tc>
          <w:tcPr>
            <w:tcW w:type="dxa" w:w="2160"/>
          </w:tcPr>
          <w:p>
            <w:r>
              <w:t>Quarterly</w:t>
            </w:r>
          </w:p>
        </w:tc>
        <w:tc>
          <w:tcPr>
            <w:tcW w:type="dxa" w:w="2160"/>
          </w:tcPr>
          <w:p>
            <w:r>
              <w:t>Perimeter boreholes</w:t>
            </w:r>
          </w:p>
        </w:tc>
        <w:tc>
          <w:tcPr>
            <w:tcW w:type="dxa" w:w="2160"/>
          </w:tcPr>
          <w:p>
            <w:r>
              <w:t>&gt;1.0% CH₄</w:t>
            </w:r>
          </w:p>
        </w:tc>
      </w:tr>
    </w:tbl>
    <w:p/>
    <w:p>
      <w:r>
        <w:rPr>
          <w:b/>
        </w:rPr>
        <w:t>Groundwater Monitoring:</w:t>
      </w:r>
    </w:p>
    <w:tbl>
      <w:tblPr>
        <w:tblStyle w:val="LightGrid-Accent1"/>
        <w:tblW w:type="auto" w:w="0"/>
        <w:tblLook w:firstColumn="1" w:firstRow="1" w:lastColumn="0" w:lastRow="0" w:noHBand="0" w:noVBand="1" w:val="04A0"/>
      </w:tblPr>
      <w:tblGrid>
        <w:gridCol w:w="2160"/>
        <w:gridCol w:w="2160"/>
        <w:gridCol w:w="2160"/>
        <w:gridCol w:w="2160"/>
      </w:tblGrid>
      <w:tr>
        <w:tc>
          <w:tcPr>
            <w:tcW w:type="dxa" w:w="2160"/>
          </w:tcPr>
          <w:p>
            <w:r>
              <w:rPr>
                <w:b/>
              </w:rPr>
              <w:t>Parameter</w:t>
            </w:r>
          </w:p>
        </w:tc>
        <w:tc>
          <w:tcPr>
            <w:tcW w:type="dxa" w:w="2160"/>
          </w:tcPr>
          <w:p>
            <w:r>
              <w:rPr>
                <w:b/>
              </w:rPr>
              <w:t>Frequency</w:t>
            </w:r>
          </w:p>
        </w:tc>
        <w:tc>
          <w:tcPr>
            <w:tcW w:type="dxa" w:w="2160"/>
          </w:tcPr>
          <w:p>
            <w:r>
              <w:rPr>
                <w:b/>
              </w:rPr>
              <w:t>Location</w:t>
            </w:r>
          </w:p>
        </w:tc>
        <w:tc>
          <w:tcPr>
            <w:tcW w:type="dxa" w:w="2160"/>
          </w:tcPr>
          <w:p>
            <w:r>
              <w:rPr>
                <w:b/>
              </w:rPr>
              <w:t>Standards</w:t>
            </w:r>
          </w:p>
        </w:tc>
      </w:tr>
      <w:tr>
        <w:tc>
          <w:tcPr>
            <w:tcW w:type="dxa" w:w="2160"/>
          </w:tcPr>
          <w:p>
            <w:r>
              <w:t>Standard suite</w:t>
            </w:r>
          </w:p>
        </w:tc>
        <w:tc>
          <w:tcPr>
            <w:tcW w:type="dxa" w:w="2160"/>
          </w:tcPr>
          <w:p>
            <w:r>
              <w:t>Quarterly</w:t>
            </w:r>
          </w:p>
        </w:tc>
        <w:tc>
          <w:tcPr>
            <w:tcW w:type="dxa" w:w="2160"/>
          </w:tcPr>
          <w:p>
            <w:r>
              <w:t>Monitoring boreholes</w:t>
            </w:r>
          </w:p>
        </w:tc>
        <w:tc>
          <w:tcPr>
            <w:tcW w:type="dxa" w:w="2160"/>
          </w:tcPr>
          <w:p>
            <w:r>
              <w:t>Groundwater Directive</w:t>
            </w:r>
          </w:p>
        </w:tc>
      </w:tr>
    </w:tbl>
    <w:p/>
    <w:p>
      <w:pPr>
        <w:pStyle w:val="Heading3"/>
      </w:pPr>
      <w:r>
        <w:t>D.7.2 Reporting Requirements</w:t>
      </w:r>
    </w:p>
    <w:p>
      <w:r>
        <w:rPr>
          <w:b/>
        </w:rPr>
        <w:t>Quarterly Reports:</w:t>
      </w:r>
    </w:p>
    <w:p>
      <w:pPr>
        <w:pStyle w:val="ListBullet"/>
      </w:pPr>
      <w:r>
        <w:t>Summary of monitoring results</w:t>
      </w:r>
    </w:p>
    <w:p>
      <w:pPr>
        <w:pStyle w:val="ListBullet"/>
      </w:pPr>
      <w:r>
        <w:t>Comparison with previous quarters</w:t>
      </w:r>
    </w:p>
    <w:p>
      <w:pPr>
        <w:pStyle w:val="ListBullet"/>
      </w:pPr>
      <w:r>
        <w:t>Identification of trends</w:t>
      </w:r>
    </w:p>
    <w:p>
      <w:pPr>
        <w:pStyle w:val="ListBullet"/>
      </w:pPr>
      <w:r>
        <w:t>Exceedances and corrective actions</w:t>
      </w:r>
    </w:p>
    <w:p>
      <w:pPr>
        <w:pStyle w:val="ListBullet"/>
      </w:pPr>
      <w:r>
        <w:t>Operational issues and resolutions</w:t>
      </w:r>
    </w:p>
    <w:p>
      <w:r>
        <w:rPr>
          <w:b/>
        </w:rPr>
        <w:t>Annual Environmental Monitoring Report (AEMR):</w:t>
      </w:r>
    </w:p>
    <w:p>
      <w:pPr>
        <w:pStyle w:val="ListBullet"/>
      </w:pPr>
      <w:r>
        <w:t>Comprehensive review of all monitoring data</w:t>
      </w:r>
    </w:p>
    <w:p>
      <w:pPr>
        <w:pStyle w:val="ListBullet"/>
      </w:pPr>
      <w:r>
        <w:t>Analysis of trends and patterns</w:t>
      </w:r>
    </w:p>
    <w:p>
      <w:pPr>
        <w:pStyle w:val="ListBullet"/>
      </w:pPr>
      <w:r>
        <w:t>Assessment of environmental performance</w:t>
      </w:r>
    </w:p>
    <w:p>
      <w:pPr>
        <w:pStyle w:val="ListBullet"/>
      </w:pPr>
      <w:r>
        <w:t>Evaluation of management system effectiveness</w:t>
      </w:r>
    </w:p>
    <w:p>
      <w:pPr>
        <w:pStyle w:val="ListBullet"/>
      </w:pPr>
      <w:r>
        <w:t>Forward planning and improvements</w:t>
      </w:r>
    </w:p>
    <w:p>
      <w:pPr>
        <w:pStyle w:val="ListBullet"/>
      </w:pPr>
      <w:r>
        <w:t>Submission deadline: 31 January following reporting year</w:t>
      </w:r>
    </w:p>
    <w:p>
      <w:r>
        <w:rPr>
          <w:b/>
        </w:rPr>
        <w:t>Incident Reports:</w:t>
      </w:r>
    </w:p>
    <w:p>
      <w:pPr>
        <w:pStyle w:val="ListBullet"/>
      </w:pPr>
      <w:r>
        <w:t>Immediate notification to NRW (within 24 hours)</w:t>
      </w:r>
    </w:p>
    <w:p>
      <w:pPr>
        <w:pStyle w:val="ListBullet"/>
      </w:pPr>
      <w:r>
        <w:t>Written report within 14 days</w:t>
      </w:r>
    </w:p>
    <w:p>
      <w:pPr>
        <w:pStyle w:val="ListBullet"/>
      </w:pPr>
      <w:r>
        <w:t>Investigation findings</w:t>
      </w:r>
    </w:p>
    <w:p>
      <w:pPr>
        <w:pStyle w:val="ListBullet"/>
      </w:pPr>
      <w:r>
        <w:t>Corrective actions implemented</w:t>
      </w:r>
    </w:p>
    <w:p>
      <w:pPr>
        <w:pStyle w:val="ListBullet"/>
      </w:pPr>
      <w:r>
        <w:t>Prevention of recurrence</w:t>
      </w:r>
    </w:p>
    <w:p>
      <w:pPr>
        <w:pStyle w:val="Heading3"/>
      </w:pPr>
      <w:r>
        <w:t>D.7.3 Record Keeping</w:t>
      </w:r>
    </w:p>
    <w:p>
      <w:r>
        <w:rPr>
          <w:b/>
        </w:rPr>
        <w:t>Required Records:</w:t>
      </w:r>
    </w:p>
    <w:p>
      <w:pPr>
        <w:pStyle w:val="ListBullet"/>
      </w:pPr>
      <w:r>
        <w:t>All monitoring data (raw and processed)</w:t>
      </w:r>
    </w:p>
    <w:p>
      <w:pPr>
        <w:pStyle w:val="ListBullet"/>
      </w:pPr>
      <w:r>
        <w:t>Calibration certificates for equipment</w:t>
      </w:r>
    </w:p>
    <w:p>
      <w:pPr>
        <w:pStyle w:val="ListBullet"/>
      </w:pPr>
      <w:r>
        <w:t>Maintenance records for gas management system</w:t>
      </w:r>
    </w:p>
    <w:p>
      <w:pPr>
        <w:pStyle w:val="ListBullet"/>
      </w:pPr>
      <w:r>
        <w:t>Operational logs (flare operating hours, etc.)</w:t>
      </w:r>
    </w:p>
    <w:p>
      <w:pPr>
        <w:pStyle w:val="ListBullet"/>
      </w:pPr>
      <w:r>
        <w:t>Incident reports and investigations</w:t>
      </w:r>
    </w:p>
    <w:p>
      <w:pPr>
        <w:pStyle w:val="ListBullet"/>
      </w:pPr>
      <w:r>
        <w:t>Correspondence with NRW</w:t>
      </w:r>
    </w:p>
    <w:p>
      <w:pPr>
        <w:pStyle w:val="ListBullet"/>
      </w:pPr>
      <w:r>
        <w:t>Training records for staff</w:t>
      </w:r>
    </w:p>
    <w:p>
      <w:r>
        <w:rPr>
          <w:b/>
        </w:rPr>
        <w:t>Retention Period: Minimum 6 years (or longer if specified by NRW)</w:t>
      </w:r>
    </w:p>
    <w:p>
      <w:pPr>
        <w:pStyle w:val="Heading2"/>
      </w:pPr>
      <w:r>
        <w:t>D.8 Emission Standards and Limits</w:t>
      </w:r>
    </w:p>
    <w:p>
      <w:pPr>
        <w:pStyle w:val="Heading3"/>
      </w:pPr>
      <w:r>
        <w:t>D.8.1 Air Emissions</w:t>
      </w:r>
    </w:p>
    <w:p>
      <w:r>
        <w:rPr>
          <w:b/>
        </w:rPr>
        <w:t>Flare Performance Standards:</w:t>
      </w:r>
    </w:p>
    <w:tbl>
      <w:tblPr>
        <w:tblStyle w:val="LightGrid-Accent1"/>
        <w:tblW w:type="auto" w:w="0"/>
        <w:tblLook w:firstColumn="1" w:firstRow="1" w:lastColumn="0" w:lastRow="0" w:noHBand="0" w:noVBand="1" w:val="04A0"/>
      </w:tblPr>
      <w:tblGrid>
        <w:gridCol w:w="2880"/>
        <w:gridCol w:w="2880"/>
        <w:gridCol w:w="2880"/>
      </w:tblGrid>
      <w:tr>
        <w:tc>
          <w:tcPr>
            <w:tcW w:type="dxa" w:w="2880"/>
          </w:tcPr>
          <w:p>
            <w:r>
              <w:rPr>
                <w:b/>
              </w:rPr>
              <w:t>Parameter</w:t>
            </w:r>
          </w:p>
        </w:tc>
        <w:tc>
          <w:tcPr>
            <w:tcW w:type="dxa" w:w="2880"/>
          </w:tcPr>
          <w:p>
            <w:r>
              <w:rPr>
                <w:b/>
              </w:rPr>
              <w:t>Requirement</w:t>
            </w:r>
          </w:p>
        </w:tc>
        <w:tc>
          <w:tcPr>
            <w:tcW w:type="dxa" w:w="2880"/>
          </w:tcPr>
          <w:p>
            <w:r>
              <w:rPr>
                <w:b/>
              </w:rPr>
              <w:t>Basis</w:t>
            </w:r>
          </w:p>
        </w:tc>
      </w:tr>
      <w:tr>
        <w:tc>
          <w:tcPr>
            <w:tcW w:type="dxa" w:w="2880"/>
          </w:tcPr>
          <w:p>
            <w:r>
              <w:t>Operating Temperature</w:t>
            </w:r>
          </w:p>
        </w:tc>
        <w:tc>
          <w:tcPr>
            <w:tcW w:type="dxa" w:w="2880"/>
          </w:tcPr>
          <w:p>
            <w:r>
              <w:t>&gt;1,000°C</w:t>
            </w:r>
          </w:p>
        </w:tc>
        <w:tc>
          <w:tcPr>
            <w:tcW w:type="dxa" w:w="2880"/>
          </w:tcPr>
          <w:p>
            <w:r>
              <w:t>Landfill Directive</w:t>
            </w:r>
          </w:p>
        </w:tc>
      </w:tr>
      <w:tr>
        <w:tc>
          <w:tcPr>
            <w:tcW w:type="dxa" w:w="2880"/>
          </w:tcPr>
          <w:p>
            <w:r>
              <w:t>Retention Time</w:t>
            </w:r>
          </w:p>
        </w:tc>
        <w:tc>
          <w:tcPr>
            <w:tcW w:type="dxa" w:w="2880"/>
          </w:tcPr>
          <w:p>
            <w:r>
              <w:t>&gt;0.3 seconds</w:t>
            </w:r>
          </w:p>
        </w:tc>
        <w:tc>
          <w:tcPr>
            <w:tcW w:type="dxa" w:w="2880"/>
          </w:tcPr>
          <w:p>
            <w:r>
              <w:t>Landfill Directive</w:t>
            </w:r>
          </w:p>
        </w:tc>
      </w:tr>
      <w:tr>
        <w:tc>
          <w:tcPr>
            <w:tcW w:type="dxa" w:w="2880"/>
          </w:tcPr>
          <w:p>
            <w:r>
              <w:t>Destruction Efficiency</w:t>
            </w:r>
          </w:p>
        </w:tc>
        <w:tc>
          <w:tcPr>
            <w:tcW w:type="dxa" w:w="2880"/>
          </w:tcPr>
          <w:p>
            <w:r>
              <w:t>&gt;98% for CH₄</w:t>
            </w:r>
          </w:p>
        </w:tc>
        <w:tc>
          <w:tcPr>
            <w:tcW w:type="dxa" w:w="2880"/>
          </w:tcPr>
          <w:p>
            <w:r>
              <w:t>BAT</w:t>
            </w:r>
          </w:p>
        </w:tc>
      </w:tr>
      <w:tr>
        <w:tc>
          <w:tcPr>
            <w:tcW w:type="dxa" w:w="2880"/>
          </w:tcPr>
          <w:p>
            <w:r>
              <w:t>Visible Smoke</w:t>
            </w:r>
          </w:p>
        </w:tc>
        <w:tc>
          <w:tcPr>
            <w:tcW w:type="dxa" w:w="2880"/>
          </w:tcPr>
          <w:p>
            <w:r>
              <w:t>None (except startup/shutdown)</w:t>
            </w:r>
          </w:p>
        </w:tc>
        <w:tc>
          <w:tcPr>
            <w:tcW w:type="dxa" w:w="2880"/>
          </w:tcPr>
          <w:p>
            <w:r>
              <w:t>Permit condition</w:t>
            </w:r>
          </w:p>
        </w:tc>
      </w:tr>
    </w:tbl>
    <w:p/>
    <w:p>
      <w:r>
        <w:rPr>
          <w:b/>
        </w:rPr>
        <w:t>Fugitive Emissions:</w:t>
      </w:r>
    </w:p>
    <w:tbl>
      <w:tblPr>
        <w:tblStyle w:val="LightGrid-Accent1"/>
        <w:tblW w:type="auto" w:w="0"/>
        <w:tblLook w:firstColumn="1" w:firstRow="1" w:lastColumn="0" w:lastRow="0" w:noHBand="0" w:noVBand="1" w:val="04A0"/>
      </w:tblPr>
      <w:tblGrid>
        <w:gridCol w:w="2880"/>
        <w:gridCol w:w="2880"/>
        <w:gridCol w:w="2880"/>
      </w:tblGrid>
      <w:tr>
        <w:tc>
          <w:tcPr>
            <w:tcW w:type="dxa" w:w="2880"/>
          </w:tcPr>
          <w:p>
            <w:r>
              <w:rPr>
                <w:b/>
              </w:rPr>
              <w:t>Source</w:t>
            </w:r>
          </w:p>
        </w:tc>
        <w:tc>
          <w:tcPr>
            <w:tcW w:type="dxa" w:w="2880"/>
          </w:tcPr>
          <w:p>
            <w:r>
              <w:rPr>
                <w:b/>
              </w:rPr>
              <w:t>Action Level</w:t>
            </w:r>
          </w:p>
        </w:tc>
        <w:tc>
          <w:tcPr>
            <w:tcW w:type="dxa" w:w="2880"/>
          </w:tcPr>
          <w:p>
            <w:r>
              <w:rPr>
                <w:b/>
              </w:rPr>
              <w:t>Response</w:t>
            </w:r>
          </w:p>
        </w:tc>
      </w:tr>
      <w:tr>
        <w:tc>
          <w:tcPr>
            <w:tcW w:type="dxa" w:w="2880"/>
          </w:tcPr>
          <w:p>
            <w:r>
              <w:t>Surface emissions</w:t>
            </w:r>
          </w:p>
        </w:tc>
        <w:tc>
          <w:tcPr>
            <w:tcW w:type="dxa" w:w="2880"/>
          </w:tcPr>
          <w:p>
            <w:r>
              <w:t>&gt;500 ppm CH₄ above background</w:t>
            </w:r>
          </w:p>
        </w:tc>
        <w:tc>
          <w:tcPr>
            <w:tcW w:type="dxa" w:w="2880"/>
          </w:tcPr>
          <w:p>
            <w:r>
              <w:t>Investigation and remediation</w:t>
            </w:r>
          </w:p>
        </w:tc>
      </w:tr>
      <w:tr>
        <w:tc>
          <w:tcPr>
            <w:tcW w:type="dxa" w:w="2880"/>
          </w:tcPr>
          <w:p>
            <w:r>
              <w:t>Lateral migration</w:t>
            </w:r>
          </w:p>
        </w:tc>
        <w:tc>
          <w:tcPr>
            <w:tcW w:type="dxa" w:w="2880"/>
          </w:tcPr>
          <w:p>
            <w:r>
              <w:t>&gt;1.0% CH₄ in perimeter boreholes</w:t>
            </w:r>
          </w:p>
        </w:tc>
        <w:tc>
          <w:tcPr>
            <w:tcW w:type="dxa" w:w="2880"/>
          </w:tcPr>
          <w:p>
            <w:r>
              <w:t>Enhanced monitoring and control</w:t>
            </w:r>
          </w:p>
        </w:tc>
      </w:tr>
    </w:tbl>
    <w:p/>
    <w:p>
      <w:pPr>
        <w:pStyle w:val="Heading3"/>
      </w:pPr>
      <w:r>
        <w:t>D.8.2 Greenhouse Gas Reporting</w:t>
      </w:r>
    </w:p>
    <w:p>
      <w:r>
        <w:rPr>
          <w:b/>
        </w:rPr>
        <w:t>Climate Change Act 2008:</w:t>
      </w:r>
    </w:p>
    <w:p>
      <w:pPr>
        <w:pStyle w:val="ListBullet"/>
      </w:pPr>
      <w:r>
        <w:t>Annual reporting of greenhouse gas emissions</w:t>
      </w:r>
    </w:p>
    <w:p>
      <w:pPr>
        <w:pStyle w:val="ListBullet"/>
      </w:pPr>
      <w:r>
        <w:t>Methane emissions from landfills included in national inventory</w:t>
      </w:r>
    </w:p>
    <w:p>
      <w:pPr>
        <w:pStyle w:val="ListBullet"/>
      </w:pPr>
      <w:r>
        <w:t>Contribution to UK/Welsh emissions reduction targets</w:t>
      </w:r>
    </w:p>
    <w:p>
      <w:r>
        <w:rPr>
          <w:b/>
        </w:rPr>
        <w:t>Calculation Methodology:</w:t>
      </w:r>
    </w:p>
    <w:p>
      <w:pPr>
        <w:pStyle w:val="ListBullet"/>
      </w:pPr>
      <w:r>
        <w:t>Methane generation estimated using approved models</w:t>
      </w:r>
    </w:p>
    <w:p>
      <w:pPr>
        <w:pStyle w:val="ListBullet"/>
      </w:pPr>
      <w:r>
        <w:t>Collection efficiency applied</w:t>
      </w:r>
    </w:p>
    <w:p>
      <w:pPr>
        <w:pStyle w:val="ListBullet"/>
      </w:pPr>
      <w:r>
        <w:t>Uncollected methane reported as fugitive emissions</w:t>
      </w:r>
    </w:p>
    <w:p>
      <w:pPr>
        <w:pStyle w:val="ListBullet"/>
      </w:pPr>
      <w:r>
        <w:t>Flare destruction efficiency applied to collected gas</w:t>
      </w:r>
    </w:p>
    <w:p>
      <w:r>
        <w:rPr>
          <w:b/>
        </w:rPr>
        <w:t>Reporting Format:</w:t>
      </w:r>
    </w:p>
    <w:p>
      <w:pPr>
        <w:pStyle w:val="ListBullet"/>
      </w:pPr>
      <w:r>
        <w:t>Tonnes CO₂ equivalent (using GWP of 25 for methane over 100-year period)</w:t>
      </w:r>
    </w:p>
    <w:p>
      <w:pPr>
        <w:pStyle w:val="ListBullet"/>
      </w:pPr>
      <w:r>
        <w:t>Breakdown by source (collected and destroyed vs. fugitive)</w:t>
      </w:r>
    </w:p>
    <w:p>
      <w:pPr>
        <w:pStyle w:val="ListBullet"/>
      </w:pPr>
      <w:r>
        <w:t>Comparison with previous years</w:t>
      </w:r>
    </w:p>
    <w:p>
      <w:pPr>
        <w:pStyle w:val="Heading2"/>
      </w:pPr>
      <w:r>
        <w:t>D.9 Compliance and Enforcement</w:t>
      </w:r>
    </w:p>
    <w:p>
      <w:pPr>
        <w:pStyle w:val="Heading3"/>
      </w:pPr>
      <w:r>
        <w:t>D.9.1 NRW Inspection and Enforcement Powers</w:t>
      </w:r>
    </w:p>
    <w:p>
      <w:r>
        <w:rPr>
          <w:b/>
        </w:rPr>
        <w:t>Inspection Powers:</w:t>
      </w:r>
    </w:p>
    <w:p>
      <w:pPr>
        <w:pStyle w:val="ListBullet"/>
      </w:pPr>
      <w:r>
        <w:t>Right of entry to site at any reasonable time</w:t>
      </w:r>
    </w:p>
    <w:p>
      <w:pPr>
        <w:pStyle w:val="ListBullet"/>
      </w:pPr>
      <w:r>
        <w:t>Right to inspect records and monitoring data</w:t>
      </w:r>
    </w:p>
    <w:p>
      <w:pPr>
        <w:pStyle w:val="ListBullet"/>
      </w:pPr>
      <w:r>
        <w:t>Right to take samples and measurements</w:t>
      </w:r>
    </w:p>
    <w:p>
      <w:pPr>
        <w:pStyle w:val="ListBullet"/>
      </w:pPr>
      <w:r>
        <w:t>Right to interview staff</w:t>
      </w:r>
    </w:p>
    <w:p>
      <w:r>
        <w:rPr>
          <w:b/>
        </w:rPr>
        <w:t>Enforcement Tools:</w:t>
      </w:r>
    </w:p>
    <w:p>
      <w:pPr>
        <w:pStyle w:val="ListNumber"/>
      </w:pPr>
      <w:r>
        <w:t>Advisory Letter:</w:t>
      </w:r>
    </w:p>
    <w:p>
      <w:pPr>
        <w:pStyle w:val="ListBullet"/>
      </w:pPr>
      <w:r>
        <w:t>Informal notification of minor non-compliance</w:t>
      </w:r>
    </w:p>
    <w:p>
      <w:pPr>
        <w:pStyle w:val="ListBullet"/>
      </w:pPr>
      <w:r>
        <w:t>Advice on corrective actions</w:t>
      </w:r>
    </w:p>
    <w:p>
      <w:pPr>
        <w:pStyle w:val="ListBullet"/>
      </w:pPr>
      <w:r>
        <w:t>No formal enforcement action</w:t>
      </w:r>
    </w:p>
    <w:p>
      <w:pPr>
        <w:pStyle w:val="ListNumber"/>
      </w:pPr>
      <w:r>
        <w:t>Enforcement Notice:</w:t>
      </w:r>
    </w:p>
    <w:p>
      <w:pPr>
        <w:pStyle w:val="ListBullet"/>
      </w:pPr>
      <w:r>
        <w:t>Formal notice requiring specific actions</w:t>
      </w:r>
    </w:p>
    <w:p>
      <w:pPr>
        <w:pStyle w:val="ListBullet"/>
      </w:pPr>
      <w:r>
        <w:t>Timescale for compliance specified</w:t>
      </w:r>
    </w:p>
    <w:p>
      <w:pPr>
        <w:pStyle w:val="ListBullet"/>
      </w:pPr>
      <w:r>
        <w:t>Failure to comply is an offense</w:t>
      </w:r>
    </w:p>
    <w:p>
      <w:pPr>
        <w:pStyle w:val="ListNumber"/>
      </w:pPr>
      <w:r>
        <w:t>Suspension Notice:</w:t>
      </w:r>
    </w:p>
    <w:p>
      <w:pPr>
        <w:pStyle w:val="ListBullet"/>
      </w:pPr>
      <w:r>
        <w:t>Immediate suspension of permitted activities</w:t>
      </w:r>
    </w:p>
    <w:p>
      <w:pPr>
        <w:pStyle w:val="ListBullet"/>
      </w:pPr>
      <w:r>
        <w:t>Used for serious breaches posing immediate risk</w:t>
      </w:r>
    </w:p>
    <w:p>
      <w:pPr>
        <w:pStyle w:val="ListBullet"/>
      </w:pPr>
      <w:r>
        <w:t>Activities cannot resume until notice lifted</w:t>
      </w:r>
    </w:p>
    <w:p>
      <w:pPr>
        <w:pStyle w:val="ListNumber"/>
      </w:pPr>
      <w:r>
        <w:t>Revocation Notice:</w:t>
      </w:r>
    </w:p>
    <w:p>
      <w:pPr>
        <w:pStyle w:val="ListBullet"/>
      </w:pPr>
      <w:r>
        <w:t>Permanent revocation of environmental permit</w:t>
      </w:r>
    </w:p>
    <w:p>
      <w:pPr>
        <w:pStyle w:val="ListBullet"/>
      </w:pPr>
      <w:r>
        <w:t>Used for persistent or serious breaches</w:t>
      </w:r>
    </w:p>
    <w:p>
      <w:pPr>
        <w:pStyle w:val="ListBullet"/>
      </w:pPr>
      <w:r>
        <w:t>Requires site closure and remediation</w:t>
      </w:r>
    </w:p>
    <w:p>
      <w:pPr>
        <w:pStyle w:val="ListNumber"/>
      </w:pPr>
      <w:r>
        <w:t>Prosecution:</w:t>
      </w:r>
    </w:p>
    <w:p>
      <w:pPr>
        <w:pStyle w:val="ListBullet"/>
      </w:pPr>
      <w:r>
        <w:t>Criminal prosecution for permit breaches</w:t>
      </w:r>
    </w:p>
    <w:p>
      <w:pPr>
        <w:pStyle w:val="ListBullet"/>
      </w:pPr>
      <w:r>
        <w:t>Unlimited fines in Crown Court</w:t>
      </w:r>
    </w:p>
    <w:p>
      <w:pPr>
        <w:pStyle w:val="ListBullet"/>
      </w:pPr>
      <w:r>
        <w:t>Potential imprisonment for serious offenses</w:t>
      </w:r>
    </w:p>
    <w:p>
      <w:pPr>
        <w:pStyle w:val="Heading3"/>
      </w:pPr>
      <w:r>
        <w:t>D.9.2 Compliance Strategy</w:t>
      </w:r>
    </w:p>
    <w:p>
      <w:r>
        <w:rPr>
          <w:b/>
        </w:rPr>
        <w:t>Proactive Compliance:</w:t>
      </w:r>
    </w:p>
    <w:p>
      <w:pPr>
        <w:pStyle w:val="ListNumber"/>
      </w:pPr>
      <w:r>
        <w:t>Regular self-monitoring and auditing</w:t>
      </w:r>
    </w:p>
    <w:p>
      <w:pPr>
        <w:pStyle w:val="ListNumber"/>
      </w:pPr>
      <w:r>
        <w:t>Prompt reporting of issues to NRW</w:t>
      </w:r>
    </w:p>
    <w:p>
      <w:pPr>
        <w:pStyle w:val="ListNumber"/>
      </w:pPr>
      <w:r>
        <w:t>Implementation of corrective actions</w:t>
      </w:r>
    </w:p>
    <w:p>
      <w:pPr>
        <w:pStyle w:val="ListNumber"/>
      </w:pPr>
      <w:r>
        <w:t>Continuous improvement of management systems</w:t>
      </w:r>
    </w:p>
    <w:p>
      <w:pPr>
        <w:pStyle w:val="ListNumber"/>
      </w:pPr>
      <w:r>
        <w:t>Staff training and competence development</w:t>
      </w:r>
    </w:p>
    <w:p>
      <w:r>
        <w:rPr>
          <w:b/>
        </w:rPr>
        <w:t>Reactive Compliance:</w:t>
      </w:r>
    </w:p>
    <w:p>
      <w:pPr>
        <w:pStyle w:val="ListNumber"/>
      </w:pPr>
      <w:r>
        <w:t>Immediate response to incidents</w:t>
      </w:r>
    </w:p>
    <w:p>
      <w:pPr>
        <w:pStyle w:val="ListNumber"/>
      </w:pPr>
      <w:r>
        <w:t>Investigation and root cause analysis</w:t>
      </w:r>
    </w:p>
    <w:p>
      <w:pPr>
        <w:pStyle w:val="ListNumber"/>
      </w:pPr>
      <w:r>
        <w:t>Implementation of preventive measures</w:t>
      </w:r>
    </w:p>
    <w:p>
      <w:pPr>
        <w:pStyle w:val="ListNumber"/>
      </w:pPr>
      <w:r>
        <w:t>Communication with NRW</w:t>
      </w:r>
    </w:p>
    <w:p>
      <w:pPr>
        <w:pStyle w:val="ListNumber"/>
      </w:pPr>
      <w:r>
        <w:t>Documentation of actions taken</w:t>
      </w:r>
    </w:p>
    <w:p>
      <w:pPr>
        <w:pStyle w:val="Heading2"/>
      </w:pPr>
      <w:r>
        <w:t>D.10 Future Regulatory Developments</w:t>
      </w:r>
    </w:p>
    <w:p>
      <w:pPr>
        <w:pStyle w:val="Heading3"/>
      </w:pPr>
      <w:r>
        <w:t>D.10.1 Potential Changes</w:t>
      </w:r>
    </w:p>
    <w:p>
      <w:r>
        <w:rPr>
          <w:b/>
        </w:rPr>
        <w:t>UK Exit from European Union:</w:t>
      </w:r>
    </w:p>
    <w:p>
      <w:pPr>
        <w:pStyle w:val="ListBullet"/>
      </w:pPr>
      <w:r>
        <w:t>EU directives retained in UK law through European Union (Withdrawal) Act 2018</w:t>
      </w:r>
    </w:p>
    <w:p>
      <w:pPr>
        <w:pStyle w:val="ListBullet"/>
      </w:pPr>
      <w:r>
        <w:t>Future divergence from EU standards possible</w:t>
      </w:r>
    </w:p>
    <w:p>
      <w:pPr>
        <w:pStyle w:val="ListBullet"/>
      </w:pPr>
      <w:r>
        <w:t>Welsh Government committed to maintaining high environmental standards</w:t>
      </w:r>
    </w:p>
    <w:p>
      <w:r>
        <w:rPr>
          <w:b/>
        </w:rPr>
        <w:t>Climate Change Legislation:</w:t>
      </w:r>
    </w:p>
    <w:p>
      <w:pPr>
        <w:pStyle w:val="ListBullet"/>
      </w:pPr>
      <w:r>
        <w:t>Increasing focus on greenhouse gas emissions</w:t>
      </w:r>
    </w:p>
    <w:p>
      <w:pPr>
        <w:pStyle w:val="ListBullet"/>
      </w:pPr>
      <w:r>
        <w:t>Potential for stricter methane emission controls</w:t>
      </w:r>
    </w:p>
    <w:p>
      <w:pPr>
        <w:pStyle w:val="ListBullet"/>
      </w:pPr>
      <w:r>
        <w:t>Enhanced monitoring and reporting requirements</w:t>
      </w:r>
    </w:p>
    <w:p>
      <w:r>
        <w:rPr>
          <w:b/>
        </w:rPr>
        <w:t>Circular Economy:</w:t>
      </w:r>
    </w:p>
    <w:p>
      <w:pPr>
        <w:pStyle w:val="ListBullet"/>
      </w:pPr>
      <w:r>
        <w:t>Emphasis on waste prevention and resource recovery</w:t>
      </w:r>
    </w:p>
    <w:p>
      <w:pPr>
        <w:pStyle w:val="ListBullet"/>
      </w:pPr>
      <w:r>
        <w:t>Potential impact on landfill gas management approaches</w:t>
      </w:r>
    </w:p>
    <w:p>
      <w:pPr>
        <w:pStyle w:val="ListBullet"/>
      </w:pPr>
      <w:r>
        <w:t>Integration with renewable energy policies</w:t>
      </w:r>
    </w:p>
    <w:p>
      <w:pPr>
        <w:pStyle w:val="Heading3"/>
      </w:pPr>
      <w:r>
        <w:t>D.10.2 Anticipated Regulatory Trends</w:t>
      </w:r>
    </w:p>
    <w:p>
      <w:pPr>
        <w:pStyle w:val="ListNumber"/>
      </w:pPr>
      <w:r>
        <w:t>Enhanced Monitoring:</w:t>
      </w:r>
    </w:p>
    <w:p>
      <w:pPr>
        <w:pStyle w:val="ListBullet"/>
      </w:pPr>
      <w:r>
        <w:t>More frequent monitoring requirements</w:t>
      </w:r>
    </w:p>
    <w:p>
      <w:pPr>
        <w:pStyle w:val="ListBullet"/>
      </w:pPr>
      <w:r>
        <w:t>Real-time monitoring and reporting</w:t>
      </w:r>
    </w:p>
    <w:p>
      <w:pPr>
        <w:pStyle w:val="ListBullet"/>
      </w:pPr>
      <w:r>
        <w:t>Remote sensing technologies</w:t>
      </w:r>
    </w:p>
    <w:p>
      <w:pPr>
        <w:pStyle w:val="ListNumber"/>
      </w:pPr>
      <w:r>
        <w:t>Stricter Emission Limits:</w:t>
      </w:r>
    </w:p>
    <w:p>
      <w:pPr>
        <w:pStyle w:val="ListBullet"/>
      </w:pPr>
      <w:r>
        <w:t>Lower action levels for surface emissions</w:t>
      </w:r>
    </w:p>
    <w:p>
      <w:pPr>
        <w:pStyle w:val="ListBullet"/>
      </w:pPr>
      <w:r>
        <w:t>Tighter controls on fugitive emissions</w:t>
      </w:r>
    </w:p>
    <w:p>
      <w:pPr>
        <w:pStyle w:val="ListBullet"/>
      </w:pPr>
      <w:r>
        <w:t>Enhanced destruction efficiency requirements</w:t>
      </w:r>
    </w:p>
    <w:p>
      <w:pPr>
        <w:pStyle w:val="ListNumber"/>
      </w:pPr>
      <w:r>
        <w:t>Extended Aftercare:</w:t>
      </w:r>
    </w:p>
    <w:p>
      <w:pPr>
        <w:pStyle w:val="ListBullet"/>
      </w:pPr>
      <w:r>
        <w:t>Longer aftercare periods</w:t>
      </w:r>
    </w:p>
    <w:p>
      <w:pPr>
        <w:pStyle w:val="ListBullet"/>
      </w:pPr>
      <w:r>
        <w:t>More stringent closure criteria</w:t>
      </w:r>
    </w:p>
    <w:p>
      <w:pPr>
        <w:pStyle w:val="ListBullet"/>
      </w:pPr>
      <w:r>
        <w:t>Enhanced long-term monitoring</w:t>
      </w:r>
    </w:p>
    <w:p>
      <w:pPr>
        <w:pStyle w:val="ListNumber"/>
      </w:pPr>
      <w:r>
        <w:t>Technology Standards:</w:t>
      </w:r>
    </w:p>
    <w:p>
      <w:pPr>
        <w:pStyle w:val="ListBullet"/>
      </w:pPr>
      <w:r>
        <w:t>BAT requirements for gas management</w:t>
      </w:r>
    </w:p>
    <w:p>
      <w:pPr>
        <w:pStyle w:val="ListBullet"/>
      </w:pPr>
      <w:r>
        <w:t>Performance standards for flares</w:t>
      </w:r>
    </w:p>
    <w:p>
      <w:pPr>
        <w:pStyle w:val="ListBullet"/>
      </w:pPr>
      <w:r>
        <w:t>Approval processes for alternative technologies</w:t>
      </w:r>
    </w:p>
    <w:p>
      <w:pPr>
        <w:pStyle w:val="Heading2"/>
      </w:pPr>
      <w:r>
        <w:t>D.11 Regulatory Engagement Strategy</w:t>
      </w:r>
    </w:p>
    <w:p>
      <w:pPr>
        <w:pStyle w:val="Heading3"/>
      </w:pPr>
      <w:r>
        <w:t>D.11.1 Ongoing Communication with NRW</w:t>
      </w:r>
    </w:p>
    <w:p>
      <w:r>
        <w:rPr>
          <w:b/>
        </w:rPr>
        <w:t>Regular Engagement:</w:t>
      </w:r>
    </w:p>
    <w:p>
      <w:pPr>
        <w:pStyle w:val="ListBullet"/>
      </w:pPr>
      <w:r>
        <w:t>Annual permit review meetings</w:t>
      </w:r>
    </w:p>
    <w:p>
      <w:pPr>
        <w:pStyle w:val="ListBullet"/>
      </w:pPr>
      <w:r>
        <w:t>Quarterly monitoring report submissions</w:t>
      </w:r>
    </w:p>
    <w:p>
      <w:pPr>
        <w:pStyle w:val="ListBullet"/>
      </w:pPr>
      <w:r>
        <w:t>Prompt notification of operational changes</w:t>
      </w:r>
    </w:p>
    <w:p>
      <w:pPr>
        <w:pStyle w:val="ListBullet"/>
      </w:pPr>
      <w:r>
        <w:t>Proactive discussion of future plans</w:t>
      </w:r>
    </w:p>
    <w:p>
      <w:r>
        <w:rPr>
          <w:b/>
        </w:rPr>
        <w:t>Pre-application Discussions:</w:t>
      </w:r>
    </w:p>
    <w:p>
      <w:pPr>
        <w:pStyle w:val="ListBullet"/>
      </w:pPr>
      <w:r>
        <w:t>Early consultation on proposed changes</w:t>
      </w:r>
    </w:p>
    <w:p>
      <w:pPr>
        <w:pStyle w:val="ListBullet"/>
      </w:pPr>
      <w:r>
        <w:t>Technical discussions on alternative approaches</w:t>
      </w:r>
    </w:p>
    <w:p>
      <w:pPr>
        <w:pStyle w:val="ListBullet"/>
      </w:pPr>
      <w:r>
        <w:t>Identification of information requirements</w:t>
      </w:r>
    </w:p>
    <w:p>
      <w:pPr>
        <w:pStyle w:val="ListBullet"/>
      </w:pPr>
      <w:r>
        <w:t>Agreement on monitoring and assessment methods</w:t>
      </w:r>
    </w:p>
    <w:p>
      <w:pPr>
        <w:pStyle w:val="Heading3"/>
      </w:pPr>
      <w:r>
        <w:t>D.11.2 Permit Variation Process for Proposed Changes</w:t>
      </w:r>
    </w:p>
    <w:p>
      <w:r>
        <w:rPr>
          <w:b/>
        </w:rPr>
        <w:t>For Low-CV Flare Installation:</w:t>
      </w:r>
    </w:p>
    <w:p>
      <w:pPr>
        <w:pStyle w:val="ListNumber"/>
      </w:pPr>
      <w:r>
        <w:t>Pre-application Meeting:</w:t>
      </w:r>
    </w:p>
    <w:p>
      <w:pPr>
        <w:pStyle w:val="ListBullet"/>
      </w:pPr>
      <w:r>
        <w:t>Present technical justification</w:t>
      </w:r>
    </w:p>
    <w:p>
      <w:pPr>
        <w:pStyle w:val="ListBullet"/>
      </w:pPr>
      <w:r>
        <w:t>Discuss performance specifications</w:t>
      </w:r>
    </w:p>
    <w:p>
      <w:pPr>
        <w:pStyle w:val="ListBullet"/>
      </w:pPr>
      <w:r>
        <w:t>Agree monitoring requirements</w:t>
      </w:r>
    </w:p>
    <w:p>
      <w:pPr>
        <w:pStyle w:val="ListBullet"/>
      </w:pPr>
      <w:r>
        <w:t>Identify any concerns</w:t>
      </w:r>
    </w:p>
    <w:p>
      <w:pPr>
        <w:pStyle w:val="ListNumber"/>
      </w:pPr>
      <w:r>
        <w:t>Application Preparation:</w:t>
      </w:r>
    </w:p>
    <w:p>
      <w:pPr>
        <w:pStyle w:val="ListBullet"/>
      </w:pPr>
      <w:r>
        <w:t>Technical specification of new flare</w:t>
      </w:r>
    </w:p>
    <w:p>
      <w:pPr>
        <w:pStyle w:val="ListBullet"/>
      </w:pPr>
      <w:r>
        <w:t>Performance guarantees from supplier</w:t>
      </w:r>
    </w:p>
    <w:p>
      <w:pPr>
        <w:pStyle w:val="ListBullet"/>
      </w:pPr>
      <w:r>
        <w:t>Environmental risk assessment</w:t>
      </w:r>
    </w:p>
    <w:p>
      <w:pPr>
        <w:pStyle w:val="ListBullet"/>
      </w:pPr>
      <w:r>
        <w:t>Proposed monitoring program</w:t>
      </w:r>
    </w:p>
    <w:p>
      <w:pPr>
        <w:pStyle w:val="ListNumber"/>
      </w:pPr>
      <w:r>
        <w:t>Submission and Determination:</w:t>
      </w:r>
    </w:p>
    <w:p>
      <w:pPr>
        <w:pStyle w:val="ListBullet"/>
      </w:pPr>
      <w:r>
        <w:t>Submit formal application</w:t>
      </w:r>
    </w:p>
    <w:p>
      <w:pPr>
        <w:pStyle w:val="ListBullet"/>
      </w:pPr>
      <w:r>
        <w:t>Respond to any queries</w:t>
      </w:r>
    </w:p>
    <w:p>
      <w:pPr>
        <w:pStyle w:val="ListBullet"/>
      </w:pPr>
      <w:r>
        <w:t>Await determination (typically 13 weeks)</w:t>
      </w:r>
    </w:p>
    <w:p>
      <w:pPr>
        <w:pStyle w:val="ListBullet"/>
      </w:pPr>
      <w:r>
        <w:t>Implement upon approval</w:t>
      </w:r>
    </w:p>
    <w:p>
      <w:r>
        <w:rPr>
          <w:b/>
        </w:rPr>
        <w:t>For Future Biofilter/Biocover:</w:t>
      </w:r>
    </w:p>
    <w:p>
      <w:pPr>
        <w:pStyle w:val="ListNumber"/>
      </w:pPr>
      <w:r>
        <w:t>Pilot Study Approval:</w:t>
      </w:r>
    </w:p>
    <w:p>
      <w:pPr>
        <w:pStyle w:val="ListBullet"/>
      </w:pPr>
      <w:r>
        <w:t>Propose pilot study to NRW</w:t>
      </w:r>
    </w:p>
    <w:p>
      <w:pPr>
        <w:pStyle w:val="ListBullet"/>
      </w:pPr>
      <w:r>
        <w:t>Agree monitoring and assessment methods</w:t>
      </w:r>
    </w:p>
    <w:p>
      <w:pPr>
        <w:pStyle w:val="ListBullet"/>
      </w:pPr>
      <w:r>
        <w:t>Implement pilot over multiple seasons</w:t>
      </w:r>
    </w:p>
    <w:p>
      <w:pPr>
        <w:pStyle w:val="ListBullet"/>
      </w:pPr>
      <w:r>
        <w:t>Report results to NRW</w:t>
      </w:r>
    </w:p>
    <w:p>
      <w:pPr>
        <w:pStyle w:val="ListNumber"/>
      </w:pPr>
      <w:r>
        <w:t>Full-Scale Application:</w:t>
      </w:r>
    </w:p>
    <w:p>
      <w:pPr>
        <w:pStyle w:val="ListBullet"/>
      </w:pPr>
      <w:r>
        <w:t>Present pilot study results</w:t>
      </w:r>
    </w:p>
    <w:p>
      <w:pPr>
        <w:pStyle w:val="ListBullet"/>
      </w:pPr>
      <w:r>
        <w:t>Demonstrate equivalent environmental protection</w:t>
      </w:r>
    </w:p>
    <w:p>
      <w:pPr>
        <w:pStyle w:val="ListBullet"/>
      </w:pPr>
      <w:r>
        <w:t>Propose full-scale implementation plan</w:t>
      </w:r>
    </w:p>
    <w:p>
      <w:pPr>
        <w:pStyle w:val="ListBullet"/>
      </w:pPr>
      <w:r>
        <w:t>Address any regulatory concerns</w:t>
      </w:r>
    </w:p>
    <w:p>
      <w:pPr>
        <w:pStyle w:val="ListNumber"/>
      </w:pPr>
      <w:r>
        <w:t>Permit Variation:</w:t>
      </w:r>
    </w:p>
    <w:p>
      <w:pPr>
        <w:pStyle w:val="ListBullet"/>
      </w:pPr>
      <w:r>
        <w:t>Submit formal application if pilot successful</w:t>
      </w:r>
    </w:p>
    <w:p>
      <w:pPr>
        <w:pStyle w:val="ListBullet"/>
      </w:pPr>
      <w:r>
        <w:t>Include comprehensive monitoring program</w:t>
      </w:r>
    </w:p>
    <w:p>
      <w:pPr>
        <w:pStyle w:val="ListBullet"/>
      </w:pPr>
      <w:r>
        <w:t>Demonstrate compliance with Landfill Directive</w:t>
      </w:r>
    </w:p>
    <w:p>
      <w:pPr>
        <w:pStyle w:val="ListBullet"/>
      </w:pPr>
      <w:r>
        <w:t>Implement upon approval</w:t>
      </w:r>
    </w:p>
    <w:p>
      <w:pPr>
        <w:pStyle w:val="Heading2"/>
      </w:pPr>
      <w:r>
        <w:t>D.12 Conclusions</w:t>
      </w:r>
    </w:p>
    <w:p>
      <w:r>
        <w:t>The regulatory framework for landfill gas management at Stormy West Landfill is comprehensive and multi-layered, encompassing:</w:t>
      </w:r>
    </w:p>
    <w:p>
      <w:pPr>
        <w:pStyle w:val="ListNumber"/>
      </w:pPr>
      <w:r>
        <w:t>European Directives: Establishing fundamental requirements for gas collection and treatment</w:t>
      </w:r>
    </w:p>
    <w:p>
      <w:pPr>
        <w:pStyle w:val="ListNumber"/>
      </w:pPr>
      <w:r>
        <w:t>UK/Welsh Legislation: Implementing EU requirements and adding national standards</w:t>
      </w:r>
    </w:p>
    <w:p>
      <w:pPr>
        <w:pStyle w:val="ListNumber"/>
      </w:pPr>
      <w:r>
        <w:t>Regulatory Guidance: Providing technical detail on implementation</w:t>
      </w:r>
    </w:p>
    <w:p>
      <w:pPr>
        <w:pStyle w:val="ListNumber"/>
      </w:pPr>
      <w:r>
        <w:t>Site-Specific Permit: Defining specific obligations for Stormy West Landfill</w:t>
      </w:r>
    </w:p>
    <w:p>
      <w:r>
        <w:rPr>
          <w:b/>
        </w:rPr>
        <w:t>Key Regulatory Obligations:</w:t>
      </w:r>
    </w:p>
    <w:p>
      <w:pPr>
        <w:pStyle w:val="ListBullet"/>
      </w:pPr>
      <w:r>
        <w:t>Active gas collection and treatment required</w:t>
      </w:r>
    </w:p>
    <w:p>
      <w:pPr>
        <w:pStyle w:val="ListBullet"/>
      </w:pPr>
      <w:r>
        <w:t>Flaring must meet temperature and retention time requirements</w:t>
      </w:r>
    </w:p>
    <w:p>
      <w:pPr>
        <w:pStyle w:val="ListBullet"/>
      </w:pPr>
      <w:r>
        <w:t>Comprehensive monitoring and reporting program</w:t>
      </w:r>
    </w:p>
    <w:p>
      <w:pPr>
        <w:pStyle w:val="ListBullet"/>
      </w:pPr>
      <w:r>
        <w:t>Compliance with emission limits and action levels</w:t>
      </w:r>
    </w:p>
    <w:p>
      <w:pPr>
        <w:pStyle w:val="ListBullet"/>
      </w:pPr>
      <w:r>
        <w:t>Ongoing engagement with NRW</w:t>
      </w:r>
    </w:p>
    <w:p>
      <w:r>
        <w:rPr>
          <w:b/>
        </w:rPr>
        <w:t>Compliance Strategy:</w:t>
      </w:r>
    </w:p>
    <w:p>
      <w:pPr>
        <w:pStyle w:val="ListBullet"/>
      </w:pPr>
      <w:r>
        <w:t>Proactive monitoring and management</w:t>
      </w:r>
    </w:p>
    <w:p>
      <w:pPr>
        <w:pStyle w:val="ListBullet"/>
      </w:pPr>
      <w:r>
        <w:t>Prompt reporting and communication</w:t>
      </w:r>
    </w:p>
    <w:p>
      <w:pPr>
        <w:pStyle w:val="ListBullet"/>
      </w:pPr>
      <w:r>
        <w:t>Continuous improvement approach</w:t>
      </w:r>
    </w:p>
    <w:p>
      <w:pPr>
        <w:pStyle w:val="ListBullet"/>
      </w:pPr>
      <w:r>
        <w:t>Early engagement on proposed changes</w:t>
      </w:r>
    </w:p>
    <w:p>
      <w:pPr>
        <w:pStyle w:val="ListBullet"/>
      </w:pPr>
      <w:r>
        <w:t>Documentation and record keeping</w:t>
      </w:r>
    </w:p>
    <w:p>
      <w:r>
        <w:t>The proposed changes to the gas management system (installation of low-CV flare and potential future transition to biofilter/biocover) can be implemented within the existing regulatory framework through appropriate permit variations and ongoing engagement with NRW.</w:t>
      </w:r>
    </w:p>
    <w:p>
      <w:pPr>
        <w:pStyle w:val="Heading2"/>
      </w:pPr>
      <w:r>
        <w:t>D.13 References</w:t>
      </w:r>
    </w:p>
    <w:p>
      <w:pPr>
        <w:pStyle w:val="ListNumber"/>
      </w:pPr>
      <w:r>
        <w:t>Council Directive 1999/31/EC of 26 April 1999 on the landfill of waste.</w:t>
      </w:r>
    </w:p>
    <w:p>
      <w:pPr>
        <w:pStyle w:val="ListNumber"/>
      </w:pPr>
      <w:r>
        <w:t>Directive 2010/75/EU of the European Parliament and of the Council on industrial emissions.</w:t>
      </w:r>
    </w:p>
    <w:p>
      <w:pPr>
        <w:pStyle w:val="ListNumber"/>
      </w:pPr>
      <w:r>
        <w:t>Directive 2008/98/EC on waste (Waste Framework Directive).</w:t>
      </w:r>
    </w:p>
    <w:p>
      <w:pPr>
        <w:pStyle w:val="ListNumber"/>
      </w:pPr>
      <w:r>
        <w:t>The Environmental Permitting (England and Wales) Regulations 2016 (as amended).</w:t>
      </w:r>
    </w:p>
    <w:p>
      <w:pPr>
        <w:pStyle w:val="ListNumber"/>
      </w:pPr>
      <w:r>
        <w:t>Environment (Wales) Act 2016.</w:t>
      </w:r>
    </w:p>
    <w:p>
      <w:pPr>
        <w:pStyle w:val="ListNumber"/>
      </w:pPr>
      <w:r>
        <w:t>Well-being of Future Generations (Wales) Act 2015.</w:t>
      </w:r>
    </w:p>
    <w:p>
      <w:pPr>
        <w:pStyle w:val="ListNumber"/>
      </w:pPr>
      <w:r>
        <w:t>Environment Agency. (2004). Guidance on the management of landfill gas. LFTGN 03.</w:t>
      </w:r>
    </w:p>
    <w:p>
      <w:pPr>
        <w:pStyle w:val="ListNumber"/>
      </w:pPr>
      <w:r>
        <w:t>Environment Agency. (2010). Guidance on monitoring landfill gas surface emissions. LFTGN 07.</w:t>
      </w:r>
    </w:p>
    <w:p>
      <w:pPr>
        <w:pStyle w:val="ListNumber"/>
      </w:pPr>
      <w:r>
        <w:t>Environment Agency. (2010). Air Guidance Note AG6 - Surface VOC Emissions Monitoring on Landfill Facilities.</w:t>
      </w:r>
    </w:p>
    <w:p>
      <w:pPr>
        <w:pStyle w:val="ListNumber"/>
      </w:pPr>
      <w:r>
        <w:t>Natural Resources Wales. Environmental Permit EAWML34009 - Stormy West Landfill Site.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6.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5.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Stormy West Landfill</Site_x0020_Name>
    <Internal_x002f_External xmlns="859f7ad6-93f6-4205-b62b-a17f28acbbac">Incoming document</Internal_x002f_External>
    <Post_x0020_code xmlns="859f7ad6-93f6-4205-b62b-a17f28acbbac">CF32 0NP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Mr Richard Beattie 121 Moffat Street Glasgow G5 0ND 0141 4297724</Addressee>
    <Process_x0020_Type xmlns="859f7ad6-93f6-4205-b62b-a17f28acbbac">Monitoring</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2025-10-13T23:00:00+00:00</Document_x0020_Date>
    <Facility_x0020_Address xmlns="859f7ad6-93f6-4205-b62b-a17f28acbbac">Stormy West landfill, Pyle, Bridgend</Facility_x0020_Address>
    <Environment_x0020_Sub_x0020_Folder xmlns="859f7ad6-93f6-4205-b62b-a17f28acbbac">Engineering</Environment_x0020_Sub_x0020_Folder>
    <Customer_x0020_Name xmlns="859f7ad6-93f6-4205-b62b-a17f28acbbac">Landcare (Manchester) Limited</Customer_x0020_Name>
    <Surrendered_x002f_Expired_x0020_Date xmlns="859f7ad6-93f6-4205-b62b-a17f28acbbac" xsi:nil="true"/>
    <_dlc_DocId xmlns="9be56660-2c31-41ef-bc00-23e72f632f2a">REGU-219-5543451</_dlc_DocId>
    <_dlc_DocIdUrl xmlns="9be56660-2c31-41ef-bc00-23e72f632f2a">
      <Url>https://cyfoethnaturiolcymru.sharepoint.com/teams/Regulatory/Permitting/_layouts/15/DocIdRedir.aspx?ID=REGU-219-5543451</Url>
      <Description>REGU-219-5543451</Description>
    </_dlc_DocIdUrl>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03C7E8C-C2C6-471A-B49E-A9F709F78880}"/>
</file>

<file path=customXml/itemProps3.xml><?xml version="1.0" encoding="utf-8"?>
<ds:datastoreItem xmlns:ds="http://schemas.openxmlformats.org/officeDocument/2006/customXml" ds:itemID="{D2DE22DA-F5D8-4FCD-A065-C1ED82A9D349}"/>
</file>

<file path=customXml/itemProps4.xml><?xml version="1.0" encoding="utf-8"?>
<ds:datastoreItem xmlns:ds="http://schemas.openxmlformats.org/officeDocument/2006/customXml" ds:itemID="{3C3DF087-FEC4-4F83-92D3-3E9CA7F91AA7}"/>
</file>

<file path=customXml/itemProps5.xml><?xml version="1.0" encoding="utf-8"?>
<ds:datastoreItem xmlns:ds="http://schemas.openxmlformats.org/officeDocument/2006/customXml" ds:itemID="{F568F0D3-A916-42DF-B846-4DC50D8CA572}"/>
</file>

<file path=customXml/itemProps6.xml><?xml version="1.0" encoding="utf-8"?>
<ds:datastoreItem xmlns:ds="http://schemas.openxmlformats.org/officeDocument/2006/customXml" ds:itemID="{FE7AAFD0-0BAA-4673-9D9B-19B6F771D86F}"/>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b39d2060-5209-4f49-a32b-204f61e2da3c</vt:lpwstr>
  </property>
  <property fmtid="{D5CDD505-2E9C-101B-9397-08002B2CF9AE}" pid="4" name="Order">
    <vt:r8>554345100</vt:r8>
  </property>
  <property fmtid="{D5CDD505-2E9C-101B-9397-08002B2CF9AE}" pid="5" name="MediaServiceImageTags">
    <vt:lpwstr/>
  </property>
</Properties>
</file>