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word/footnotes.xml" ContentType="application/vnd.openxmlformats-officedocument.wordprocessingml.footnotes+xml"/>
  <Override PartName="/word/comments.xml" ContentType="application/vnd.openxmlformats-officedocument.wordprocessingml.comment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72" w:name="landfill-gas-generation-status-report"/>
    <w:p>
      <w:pPr>
        <w:pStyle w:val="Heading1"/>
      </w:pPr>
      <w:r>
        <w:t xml:space="preserve">Landfill Gas Generation Status Report</w:t>
      </w:r>
    </w:p>
    <w:bookmarkStart w:id="20" w:name="X0f6aefef180b870c750b7857feda30d51701a58"/>
    <w:p>
      <w:pPr>
        <w:pStyle w:val="Heading2"/>
      </w:pPr>
      <w:r>
        <w:t xml:space="preserve">Stormy West Landfill Site, Pyle, South Wales</w:t>
      </w:r>
    </w:p>
    <w:p>
      <w:pPr>
        <w:pStyle w:val="FirstParagraph"/>
      </w:pPr>
      <w:r>
        <w:rPr>
          <w:bCs/>
          <w:b/>
        </w:rPr>
        <w:t xml:space="preserve">Prepared for:</w:t>
      </w:r>
      <w:r>
        <w:t xml:space="preserve"> </w:t>
      </w:r>
      <w:r>
        <w:t xml:space="preserve">Natural Resources Wales (NRW)</w:t>
      </w:r>
      <w:r>
        <w:br/>
      </w:r>
      <w:r>
        <w:rPr>
          <w:bCs/>
          <w:b/>
        </w:rPr>
        <w:t xml:space="preserve">Prepared by:</w:t>
      </w:r>
      <w:r>
        <w:t xml:space="preserve"> </w:t>
      </w:r>
      <w:r>
        <w:t xml:space="preserve">Waste Management Consultancy</w:t>
      </w:r>
      <w:r>
        <w:br/>
      </w:r>
      <w:r>
        <w:rPr>
          <w:bCs/>
          <w:b/>
        </w:rPr>
        <w:t xml:space="preserve">Date:</w:t>
      </w:r>
      <w:r>
        <w:t xml:space="preserve"> </w:t>
      </w:r>
      <w:r>
        <w:t xml:space="preserve">September 14, 2025</w:t>
      </w:r>
      <w:r>
        <w:br/>
      </w:r>
      <w:r>
        <w:rPr>
          <w:bCs/>
          <w:b/>
        </w:rPr>
        <w:t xml:space="preserve">Reference:</w:t>
      </w:r>
      <w:r>
        <w:t xml:space="preserve"> </w:t>
      </w:r>
      <w:r>
        <w:t xml:space="preserve">REV 2</w:t>
      </w:r>
    </w:p>
    <w:bookmarkEnd w:id="20"/>
    <w:bookmarkStart w:id="21" w:name="executive-summary"/>
    <w:p>
      <w:pPr>
        <w:pStyle w:val="Heading2"/>
      </w:pPr>
      <w:r>
        <w:t xml:space="preserve">Executive Summary</w:t>
      </w:r>
    </w:p>
    <w:p>
      <w:pPr>
        <w:pStyle w:val="FirstParagraph"/>
      </w:pPr>
      <w:r>
        <w:t xml:space="preserve">This report presents an assessment of the landfill gas generation status at Stormy West Landfill Site in South Wales, with a focus on evaluating future gas generation potential and determining appropriate gas management strategies. The site appears to be in the late stages of gas generation, with declining methane production that has necessitated batch burning operations to manage the gas effectively.</w:t>
      </w:r>
    </w:p>
    <w:p>
      <w:pPr>
        <w:pStyle w:val="BodyText"/>
      </w:pPr>
      <w:r>
        <w:t xml:space="preserve">Key findings include:</w:t>
      </w:r>
    </w:p>
    <w:p>
      <w:pPr>
        <w:numPr>
          <w:ilvl w:val="0"/>
          <w:numId w:val="1001"/>
        </w:numPr>
      </w:pPr>
      <w:r>
        <w:rPr>
          <w:bCs/>
          <w:b/>
        </w:rPr>
        <w:t xml:space="preserve">Current Gas Generation Status</w:t>
      </w:r>
      <w:r>
        <w:t xml:space="preserve">: Stormy West Landfill is experiencing significant depletion in gas generation volumes, with methane concentrations showing high variability (ranging from 12.65% to 39.67% during 2025) and an overall declining trend.</w:t>
      </w:r>
    </w:p>
    <w:p>
      <w:pPr>
        <w:numPr>
          <w:ilvl w:val="0"/>
          <w:numId w:val="1001"/>
        </w:numPr>
      </w:pPr>
      <w:r>
        <w:rPr>
          <w:bCs/>
          <w:b/>
        </w:rPr>
        <w:t xml:space="preserve">Operational Pattern</w:t>
      </w:r>
      <w:r>
        <w:t xml:space="preserve">: The current flare system (rated at 500 m³/hr) is operating intermittently on a batch burning schedule of approximately 3 days on/4 days off to allow for gas recharge, indicating that continuous flaring is no longer sustainable.</w:t>
      </w:r>
    </w:p>
    <w:p>
      <w:pPr>
        <w:numPr>
          <w:ilvl w:val="0"/>
          <w:numId w:val="1001"/>
        </w:numPr>
      </w:pPr>
      <w:r>
        <w:rPr>
          <w:bCs/>
          <w:b/>
        </w:rPr>
        <w:t xml:space="preserve">System Capacity</w:t>
      </w:r>
      <w:r>
        <w:t xml:space="preserve">: The current operational flow rate is approximately 180-185 m³/hr, representing about 99% of the available system capacity, suggesting the system is operating at its maximum capability despite declining gas production.</w:t>
      </w:r>
    </w:p>
    <w:p>
      <w:pPr>
        <w:numPr>
          <w:ilvl w:val="0"/>
          <w:numId w:val="1001"/>
        </w:numPr>
      </w:pPr>
      <w:r>
        <w:rPr>
          <w:bCs/>
          <w:b/>
        </w:rPr>
        <w:t xml:space="preserve">Future Projections</w:t>
      </w:r>
      <w:r>
        <w:t xml:space="preserve">: Based on a modified first-order decay model adapted for UK conditions and the site’s unlined dilute and disperse characteristics, gas generation is expected to continue decreasing over the coming years. By 2035, methane concentrations are projected to decline to approximately 13.6% with flow rates decreasing to around 120 m³/hr.</w:t>
      </w:r>
    </w:p>
    <w:p>
      <w:pPr>
        <w:numPr>
          <w:ilvl w:val="0"/>
          <w:numId w:val="1001"/>
        </w:numPr>
      </w:pPr>
      <w:r>
        <w:rPr>
          <w:bCs/>
          <w:b/>
        </w:rPr>
        <w:t xml:space="preserve">Recommendations</w:t>
      </w:r>
      <w:r>
        <w:t xml:space="preserve">: A lower capacity flare system (specifically a low-CV flare with capacity range of 40-150 m³/hr capable of operating with methane concentrations as low as 10%) is recommended to replace the current system. Alternative gas management methods such as biofilters or biocovers should be considered for implementation in the medium to long term as methane concentrations continue to decline.</w:t>
      </w:r>
    </w:p>
    <w:p>
      <w:pPr>
        <w:pStyle w:val="FirstParagraph"/>
      </w:pPr>
      <w:r>
        <w:t xml:space="preserve">This report provides a comprehensive analysis of the site’s gas generation status, future projections, and recommendations for appropriate gas management strategies to ensure continued environmental compliance and effective methane mitigation.</w:t>
      </w:r>
    </w:p>
    <w:bookmarkEnd w:id="21"/>
    <w:bookmarkStart w:id="22" w:name="table-of-contents"/>
    <w:p>
      <w:pPr>
        <w:pStyle w:val="Heading2"/>
      </w:pPr>
      <w:r>
        <w:t xml:space="preserve">Table of Contents</w:t>
      </w:r>
    </w:p>
    <w:p>
      <w:pPr>
        <w:numPr>
          <w:ilvl w:val="0"/>
          <w:numId w:val="1002"/>
        </w:numPr>
        <w:pStyle w:val="Compact"/>
      </w:pPr>
      <w:r>
        <w:t xml:space="preserve">Introduction</w:t>
      </w:r>
    </w:p>
    <w:p>
      <w:pPr>
        <w:numPr>
          <w:ilvl w:val="0"/>
          <w:numId w:val="1002"/>
        </w:numPr>
        <w:pStyle w:val="Compact"/>
      </w:pPr>
      <w:r>
        <w:t xml:space="preserve">Site Background</w:t>
      </w:r>
    </w:p>
    <w:p>
      <w:pPr>
        <w:numPr>
          <w:ilvl w:val="0"/>
          <w:numId w:val="1002"/>
        </w:numPr>
        <w:pStyle w:val="Compact"/>
      </w:pPr>
      <w:r>
        <w:t xml:space="preserve">Current Gas Generation Status</w:t>
      </w:r>
    </w:p>
    <w:p>
      <w:pPr>
        <w:numPr>
          <w:ilvl w:val="0"/>
          <w:numId w:val="1002"/>
        </w:numPr>
        <w:pStyle w:val="Compact"/>
      </w:pPr>
      <w:r>
        <w:t xml:space="preserve">Gas Collection and Management System Assessment</w:t>
      </w:r>
    </w:p>
    <w:p>
      <w:pPr>
        <w:numPr>
          <w:ilvl w:val="0"/>
          <w:numId w:val="1002"/>
        </w:numPr>
        <w:pStyle w:val="Compact"/>
      </w:pPr>
      <w:r>
        <w:t xml:space="preserve">Future Gas Generation Projections</w:t>
      </w:r>
    </w:p>
    <w:p>
      <w:pPr>
        <w:numPr>
          <w:ilvl w:val="0"/>
          <w:numId w:val="1002"/>
        </w:numPr>
        <w:pStyle w:val="Compact"/>
      </w:pPr>
      <w:r>
        <w:t xml:space="preserve">Evaluation of Gas Management Options</w:t>
      </w:r>
    </w:p>
    <w:p>
      <w:pPr>
        <w:numPr>
          <w:ilvl w:val="0"/>
          <w:numId w:val="1002"/>
        </w:numPr>
        <w:pStyle w:val="Compact"/>
      </w:pPr>
      <w:r>
        <w:t xml:space="preserve">Recommendations</w:t>
      </w:r>
    </w:p>
    <w:p>
      <w:pPr>
        <w:numPr>
          <w:ilvl w:val="0"/>
          <w:numId w:val="1002"/>
        </w:numPr>
        <w:pStyle w:val="Compact"/>
      </w:pPr>
      <w:r>
        <w:t xml:space="preserve">Conclusions</w:t>
      </w:r>
    </w:p>
    <w:p>
      <w:pPr>
        <w:numPr>
          <w:ilvl w:val="0"/>
          <w:numId w:val="1002"/>
        </w:numPr>
        <w:pStyle w:val="Compact"/>
      </w:pPr>
      <w:r>
        <w:t xml:space="preserve">References</w:t>
      </w:r>
    </w:p>
    <w:p>
      <w:pPr>
        <w:numPr>
          <w:ilvl w:val="0"/>
          <w:numId w:val="1002"/>
        </w:numPr>
        <w:pStyle w:val="Compact"/>
      </w:pPr>
      <w:r>
        <w:t xml:space="preserve">Appendices</w:t>
      </w:r>
    </w:p>
    <w:bookmarkEnd w:id="22"/>
    <w:bookmarkStart w:id="25" w:name="introduction"/>
    <w:p>
      <w:pPr>
        <w:pStyle w:val="Heading2"/>
      </w:pPr>
      <w:r>
        <w:t xml:space="preserve">1. Introduction</w:t>
      </w:r>
    </w:p>
    <w:bookmarkStart w:id="23" w:name="purpose-and-scope"/>
    <w:p>
      <w:pPr>
        <w:pStyle w:val="Heading3"/>
      </w:pPr>
      <w:r>
        <w:t xml:space="preserve">1.1 Purpose and Scope</w:t>
      </w:r>
    </w:p>
    <w:p>
      <w:pPr>
        <w:pStyle w:val="FirstParagraph"/>
      </w:pPr>
      <w:r>
        <w:t xml:space="preserve">This report has been prepared at the request of the client to assess the status of landfill gas generation at Stormy West Landfill Site in South Wales. The primary purpose is to evaluate the potential for future gas generation volumes and determine whether a lower capacity flare is more suitable for future operations or if alternative methods of gas management should be employed.</w:t>
      </w:r>
    </w:p>
    <w:p>
      <w:pPr>
        <w:pStyle w:val="BodyText"/>
      </w:pPr>
      <w:r>
        <w:t xml:space="preserve">The scope of this assessment includes:</w:t>
      </w:r>
    </w:p>
    <w:p>
      <w:pPr>
        <w:numPr>
          <w:ilvl w:val="0"/>
          <w:numId w:val="1003"/>
        </w:numPr>
        <w:pStyle w:val="Compact"/>
      </w:pPr>
      <w:r>
        <w:t xml:space="preserve">Analysis of current landfill gas generation rates and composition</w:t>
      </w:r>
    </w:p>
    <w:p>
      <w:pPr>
        <w:numPr>
          <w:ilvl w:val="0"/>
          <w:numId w:val="1003"/>
        </w:numPr>
        <w:pStyle w:val="Compact"/>
      </w:pPr>
      <w:r>
        <w:t xml:space="preserve">Evaluation of the existing gas collection and flaring system</w:t>
      </w:r>
    </w:p>
    <w:p>
      <w:pPr>
        <w:numPr>
          <w:ilvl w:val="0"/>
          <w:numId w:val="1003"/>
        </w:numPr>
        <w:pStyle w:val="Compact"/>
      </w:pPr>
      <w:r>
        <w:t xml:space="preserve">Projection of future gas generation trends</w:t>
      </w:r>
    </w:p>
    <w:p>
      <w:pPr>
        <w:numPr>
          <w:ilvl w:val="0"/>
          <w:numId w:val="1003"/>
        </w:numPr>
        <w:pStyle w:val="Compact"/>
      </w:pPr>
      <w:r>
        <w:t xml:space="preserve">Assessment of appropriate gas management options</w:t>
      </w:r>
    </w:p>
    <w:p>
      <w:pPr>
        <w:numPr>
          <w:ilvl w:val="0"/>
          <w:numId w:val="1003"/>
        </w:numPr>
        <w:pStyle w:val="Compact"/>
      </w:pPr>
      <w:r>
        <w:t xml:space="preserve">Recommendations for future gas management strategies</w:t>
      </w:r>
    </w:p>
    <w:bookmarkEnd w:id="23"/>
    <w:bookmarkStart w:id="24" w:name="regulatory-context"/>
    <w:p>
      <w:pPr>
        <w:pStyle w:val="Heading3"/>
      </w:pPr>
      <w:r>
        <w:t xml:space="preserve">1.2 Regulatory Context</w:t>
      </w:r>
    </w:p>
    <w:p>
      <w:pPr>
        <w:pStyle w:val="FirstParagraph"/>
      </w:pPr>
      <w:r>
        <w:t xml:space="preserve">Landfill gas management in Wales is governed by several regulatory frameworks, including:</w:t>
      </w:r>
    </w:p>
    <w:p>
      <w:pPr>
        <w:numPr>
          <w:ilvl w:val="0"/>
          <w:numId w:val="1004"/>
        </w:numPr>
        <w:pStyle w:val="Compact"/>
      </w:pPr>
      <w:r>
        <w:t xml:space="preserve">The Environmental Permitting (England and Wales) Regulations 2016</w:t>
      </w:r>
    </w:p>
    <w:p>
      <w:pPr>
        <w:numPr>
          <w:ilvl w:val="0"/>
          <w:numId w:val="1004"/>
        </w:numPr>
        <w:pStyle w:val="Compact"/>
      </w:pPr>
      <w:r>
        <w:t xml:space="preserve">The Landfill Directive (1999/31/EC)</w:t>
      </w:r>
    </w:p>
    <w:p>
      <w:pPr>
        <w:numPr>
          <w:ilvl w:val="0"/>
          <w:numId w:val="1004"/>
        </w:numPr>
        <w:pStyle w:val="Compact"/>
      </w:pPr>
      <w:r>
        <w:t xml:space="preserve">Site-specific Environmental Permit requirements (EAWML34009)</w:t>
      </w:r>
    </w:p>
    <w:p>
      <w:pPr>
        <w:pStyle w:val="FirstParagraph"/>
      </w:pPr>
      <w:r>
        <w:t xml:space="preserve">Natural Resources Wales (NRW) requires landfill operators to manage landfill gas to minimize environmental impacts, including greenhouse gas emissions, odor nuisance, and lateral migration risks. Effective gas management is essential for regulatory compliance and environmental protection.</w:t>
      </w:r>
    </w:p>
    <w:bookmarkEnd w:id="24"/>
    <w:bookmarkEnd w:id="25"/>
    <w:bookmarkStart w:id="29" w:name="site-background"/>
    <w:p>
      <w:pPr>
        <w:pStyle w:val="Heading2"/>
      </w:pPr>
      <w:r>
        <w:t xml:space="preserve">2. Site Background</w:t>
      </w:r>
    </w:p>
    <w:bookmarkStart w:id="26" w:name="site-description"/>
    <w:p>
      <w:pPr>
        <w:pStyle w:val="Heading3"/>
      </w:pPr>
      <w:r>
        <w:t xml:space="preserve">2.1 Site Description</w:t>
      </w:r>
    </w:p>
    <w:p>
      <w:pPr>
        <w:pStyle w:val="FirstParagraph"/>
      </w:pPr>
      <w:r>
        <w:t xml:space="preserve">Stormy West Landfill Site is located near Pyle in South Wales. The site was designed and operated under the principle of dilute and disperse, allowing the products of waste biodegradation to be rendered harmless through dilution, attenuation, and interactions with the natural limestone strata and hydrogeological pathways present within and beneath the site.</w:t>
      </w:r>
    </w:p>
    <w:p>
      <w:pPr>
        <w:pStyle w:val="BodyText"/>
      </w:pPr>
      <w:r>
        <w:t xml:space="preserve">Prior to landfilling, the site was a disused limestone quarry. The void was filled and raised with a mix of household, industrial, commercial, and some special wastes as permitted by the Planning Permission and Waste Disposal Licence No. 5 (now an Environmental Permit) issued by the then Regulatory Authority, Ogwr Borough Council.</w:t>
      </w:r>
    </w:p>
    <w:bookmarkEnd w:id="26"/>
    <w:bookmarkStart w:id="27" w:name="operational-history"/>
    <w:p>
      <w:pPr>
        <w:pStyle w:val="Heading3"/>
      </w:pPr>
      <w:r>
        <w:t xml:space="preserve">2.2 Operational History</w:t>
      </w:r>
    </w:p>
    <w:p>
      <w:pPr>
        <w:pStyle w:val="FirstParagraph"/>
      </w:pPr>
      <w:r>
        <w:t xml:space="preserve">The site accepted waste between 1985 and 1996, after which it closed. During this period, approximately one million cubic meters of void space was landfilled. The site has been fully restored for several decades, with a low permeability clay cap which is reported to be in good condition. Since 2016, the site restoration layer has supported an approved Solar Panel Electricity Generation System.</w:t>
      </w:r>
    </w:p>
    <w:p>
      <w:pPr>
        <w:pStyle w:val="BodyText"/>
      </w:pPr>
      <w:r>
        <w:t xml:space="preserve">During the early 1990s, appreciable concentrations of landfill gas were emitted, resulting in the construction of an active gas extraction system utilizing a high-temperature flare. For a few years in the mid to late 1990s, landfill gas was utilized as a support fuel for a lime kiln, but this was discontinued due to problems experienced by the end user. The site then reverted to a flaring regime which continues to the present day, although gas yield and quality have considerably depleted over time.</w:t>
      </w:r>
    </w:p>
    <w:bookmarkEnd w:id="27"/>
    <w:bookmarkStart w:id="28" w:name="current-management-approach"/>
    <w:p>
      <w:pPr>
        <w:pStyle w:val="Heading3"/>
      </w:pPr>
      <w:r>
        <w:t xml:space="preserve">2.3 Current Management Approach</w:t>
      </w:r>
    </w:p>
    <w:p>
      <w:pPr>
        <w:pStyle w:val="FirstParagraph"/>
      </w:pPr>
      <w:r>
        <w:t xml:space="preserve">Gas flaring is currently (2025) managed in batch burns of approximately 3 days per week duration, with the system turned off to allow re-charge for the remaining 4 days. This operational pattern indicates that continuous flaring is no longer sustainable due to declining gas generation rates.</w:t>
      </w:r>
    </w:p>
    <w:bookmarkEnd w:id="28"/>
    <w:bookmarkEnd w:id="29"/>
    <w:bookmarkStart w:id="33" w:name="current-gas-generation-status"/>
    <w:p>
      <w:pPr>
        <w:pStyle w:val="Heading2"/>
      </w:pPr>
      <w:r>
        <w:t xml:space="preserve">3. Current Gas Generation Status</w:t>
      </w:r>
    </w:p>
    <w:bookmarkStart w:id="30" w:name="gas-monitoring-data-analysis"/>
    <w:p>
      <w:pPr>
        <w:pStyle w:val="Heading3"/>
      </w:pPr>
      <w:r>
        <w:t xml:space="preserve">3.1 Gas Monitoring Data Analysis</w:t>
      </w:r>
    </w:p>
    <w:p>
      <w:pPr>
        <w:pStyle w:val="FirstParagraph"/>
      </w:pPr>
      <w:r>
        <w:t xml:space="preserve">Analysis of the 2025 monitoring data from Stormy West Landfill shows significant variability in methane concentrations throughout the year. The data shows:</w:t>
      </w:r>
    </w:p>
    <w:p>
      <w:pPr>
        <w:numPr>
          <w:ilvl w:val="0"/>
          <w:numId w:val="1005"/>
        </w:numPr>
        <w:pStyle w:val="Compact"/>
      </w:pPr>
      <w:r>
        <w:t xml:space="preserve">Number of flare measurements: 62</w:t>
      </w:r>
    </w:p>
    <w:p>
      <w:pPr>
        <w:numPr>
          <w:ilvl w:val="0"/>
          <w:numId w:val="1005"/>
        </w:numPr>
        <w:pStyle w:val="Compact"/>
      </w:pPr>
      <w:r>
        <w:t xml:space="preserve">Date range: January 2, 2025 to July 18, 2025</w:t>
      </w:r>
    </w:p>
    <w:p>
      <w:pPr>
        <w:numPr>
          <w:ilvl w:val="0"/>
          <w:numId w:val="1005"/>
        </w:numPr>
        <w:pStyle w:val="Compact"/>
      </w:pPr>
      <w:r>
        <w:t xml:space="preserve">Average CH₄ concentration: 20.93%</w:t>
      </w:r>
    </w:p>
    <w:p>
      <w:pPr>
        <w:numPr>
          <w:ilvl w:val="0"/>
          <w:numId w:val="1005"/>
        </w:numPr>
        <w:pStyle w:val="Compact"/>
      </w:pPr>
      <w:r>
        <w:t xml:space="preserve">Maximum CH₄ concentration: 39.67%</w:t>
      </w:r>
    </w:p>
    <w:p>
      <w:pPr>
        <w:numPr>
          <w:ilvl w:val="0"/>
          <w:numId w:val="1005"/>
        </w:numPr>
        <w:pStyle w:val="Compact"/>
      </w:pPr>
      <w:r>
        <w:t xml:space="preserve">Minimum CH₄ concentration: 12.65%</w:t>
      </w:r>
    </w:p>
    <w:p>
      <w:pPr>
        <w:pStyle w:val="FirstParagraph"/>
      </w:pPr>
      <w:r>
        <w:t xml:space="preserve">Monthly average methane concentrations in the flare show fluctuations:</w:t>
      </w:r>
      <w:r>
        <w:t xml:space="preserve"> </w:t>
      </w:r>
      <w:r>
        <w:t xml:space="preserve">- January 2025: 19.87%</w:t>
      </w:r>
      <w:r>
        <w:t xml:space="preserve"> </w:t>
      </w:r>
      <w:r>
        <w:t xml:space="preserve">- February 2025: 21.14%</w:t>
      </w:r>
      <w:r>
        <w:t xml:space="preserve"> </w:t>
      </w:r>
      <w:r>
        <w:t xml:space="preserve">- March 2025: 22.53%</w:t>
      </w:r>
      <w:r>
        <w:t xml:space="preserve"> </w:t>
      </w:r>
      <w:r>
        <w:t xml:space="preserve">- April 2025: 20.65%</w:t>
      </w:r>
      <w:r>
        <w:t xml:space="preserve"> </w:t>
      </w:r>
      <w:r>
        <w:t xml:space="preserve">- May 2025: 25.46%</w:t>
      </w:r>
      <w:r>
        <w:t xml:space="preserve"> </w:t>
      </w:r>
      <w:r>
        <w:t xml:space="preserve">- June 2025: 17.51%</w:t>
      </w:r>
      <w:r>
        <w:t xml:space="preserve"> </w:t>
      </w:r>
      <w:r>
        <w:t xml:space="preserve">- July 2025: 17.83%</w:t>
      </w:r>
    </w:p>
    <w:p>
      <w:pPr>
        <w:pStyle w:val="BodyText"/>
      </w:pPr>
      <w:r>
        <w:t xml:space="preserve">This data indicates a general decline in methane concentrations during the latter part of the monitoring period, with some monthly variations likely influenced by seasonal factors and operational adjustments.</w:t>
      </w:r>
    </w:p>
    <w:bookmarkEnd w:id="30"/>
    <w:bookmarkStart w:id="31" w:name="gas-collection-system-performance"/>
    <w:p>
      <w:pPr>
        <w:pStyle w:val="Heading3"/>
      </w:pPr>
      <w:r>
        <w:t xml:space="preserve">3.2 Gas Collection System Performance</w:t>
      </w:r>
    </w:p>
    <w:p>
      <w:pPr>
        <w:pStyle w:val="FirstParagraph"/>
      </w:pPr>
      <w:r>
        <w:t xml:space="preserve">The gas collection system consists of four manifold legs (Legs A-D) that collect gas from different areas of the site. The 2025 monitoring data shows variable gas quality across the four legs:</w:t>
      </w:r>
    </w:p>
    <w:p>
      <w:pPr>
        <w:numPr>
          <w:ilvl w:val="0"/>
          <w:numId w:val="1006"/>
        </w:numPr>
        <w:pStyle w:val="Compact"/>
      </w:pPr>
      <w:r>
        <w:t xml:space="preserve">Leg A typically showed methane concentrations of 8.77-22.99% (average 17.35%)</w:t>
      </w:r>
    </w:p>
    <w:p>
      <w:pPr>
        <w:numPr>
          <w:ilvl w:val="0"/>
          <w:numId w:val="1006"/>
        </w:numPr>
        <w:pStyle w:val="Compact"/>
      </w:pPr>
      <w:r>
        <w:t xml:space="preserve">Leg B showed higher methane concentrations of 17.83-27.59% (average 23.82%)</w:t>
      </w:r>
    </w:p>
    <w:p>
      <w:pPr>
        <w:numPr>
          <w:ilvl w:val="0"/>
          <w:numId w:val="1006"/>
        </w:numPr>
        <w:pStyle w:val="Compact"/>
      </w:pPr>
      <w:r>
        <w:t xml:space="preserve">Leg C showed variable methane concentrations of 14.38-28.99% (average 20.31%)</w:t>
      </w:r>
    </w:p>
    <w:p>
      <w:pPr>
        <w:numPr>
          <w:ilvl w:val="0"/>
          <w:numId w:val="1006"/>
        </w:numPr>
        <w:pStyle w:val="Compact"/>
      </w:pPr>
      <w:r>
        <w:t xml:space="preserve">Leg D showed methane concentrations of 18.81-24.93% (average 21.75%)</w:t>
      </w:r>
    </w:p>
    <w:p>
      <w:pPr>
        <w:pStyle w:val="FirstParagraph"/>
      </w:pPr>
      <w:r>
        <w:t xml:space="preserve">The in-waste gas wells provide information on gas generation within the waste mass. The 2025 monitoring data shows that Well B1 consistently showed elevated methane concentrations (8-23%). Wells A1 and B2 showed more variable methane concentrations (0-18%).</w:t>
      </w:r>
    </w:p>
    <w:bookmarkEnd w:id="31"/>
    <w:bookmarkStart w:id="32" w:name="operational-characteristics"/>
    <w:p>
      <w:pPr>
        <w:pStyle w:val="Heading3"/>
      </w:pPr>
      <w:r>
        <w:t xml:space="preserve">3.3 Operational Characteristics</w:t>
      </w:r>
    </w:p>
    <w:p>
      <w:pPr>
        <w:pStyle w:val="FirstParagraph"/>
      </w:pPr>
      <w:r>
        <w:t xml:space="preserve">According to the flow measurement report (LBJ.SW.Flow), the current operational characteristics of the gas management system are:</w:t>
      </w:r>
    </w:p>
    <w:p>
      <w:pPr>
        <w:numPr>
          <w:ilvl w:val="0"/>
          <w:numId w:val="1007"/>
        </w:numPr>
        <w:pStyle w:val="Compact"/>
      </w:pPr>
      <w:r>
        <w:t xml:space="preserve">Flare System Rating: 500 m³/hr maximum destruction capacity</w:t>
      </w:r>
    </w:p>
    <w:p>
      <w:pPr>
        <w:numPr>
          <w:ilvl w:val="0"/>
          <w:numId w:val="1007"/>
        </w:numPr>
        <w:pStyle w:val="Compact"/>
      </w:pPr>
      <w:r>
        <w:t xml:space="preserve">Current Operational Flow: 180-185 m³/hr</w:t>
      </w:r>
    </w:p>
    <w:p>
      <w:pPr>
        <w:numPr>
          <w:ilvl w:val="0"/>
          <w:numId w:val="1007"/>
        </w:numPr>
        <w:pStyle w:val="Compact"/>
      </w:pPr>
      <w:r>
        <w:t xml:space="preserve">System Capacity Utilization: Approximately 99% of available capacity</w:t>
      </w:r>
    </w:p>
    <w:p>
      <w:pPr>
        <w:numPr>
          <w:ilvl w:val="0"/>
          <w:numId w:val="1007"/>
        </w:numPr>
        <w:pStyle w:val="Compact"/>
      </w:pPr>
      <w:r>
        <w:t xml:space="preserve">Operating cycle: 3 days operational / 3 days standby (approximately 50% duty cycle)</w:t>
      </w:r>
    </w:p>
    <w:p>
      <w:pPr>
        <w:numPr>
          <w:ilvl w:val="0"/>
          <w:numId w:val="1007"/>
        </w:numPr>
        <w:pStyle w:val="Compact"/>
      </w:pPr>
      <w:r>
        <w:t xml:space="preserve">Annual operating hours: Approximately 1,460 hours</w:t>
      </w:r>
    </w:p>
    <w:p>
      <w:pPr>
        <w:pStyle w:val="FirstParagraph"/>
      </w:pPr>
      <w:r>
        <w:t xml:space="preserve">The flow measurement methodology has been validated through field testing, with direct velocity measurement in the main inlet pipe providing reliable flow quantification for regulatory compliance monitoring.</w:t>
      </w:r>
    </w:p>
    <w:bookmarkEnd w:id="32"/>
    <w:bookmarkEnd w:id="33"/>
    <w:bookmarkStart w:id="37" w:name="Xba3047a23ecd36928e282834f2edef0d3dc8985"/>
    <w:p>
      <w:pPr>
        <w:pStyle w:val="Heading2"/>
      </w:pPr>
      <w:r>
        <w:t xml:space="preserve">4. Gas Collection and Management System Assessment</w:t>
      </w:r>
    </w:p>
    <w:bookmarkStart w:id="34" w:name="current-system-configuration"/>
    <w:p>
      <w:pPr>
        <w:pStyle w:val="Heading3"/>
      </w:pPr>
      <w:r>
        <w:t xml:space="preserve">4.1 Current System Configuration</w:t>
      </w:r>
    </w:p>
    <w:p>
      <w:pPr>
        <w:pStyle w:val="FirstParagraph"/>
      </w:pPr>
      <w:r>
        <w:t xml:space="preserve">The current gas management system at Stormy West Landfill consists of:</w:t>
      </w:r>
    </w:p>
    <w:p>
      <w:pPr>
        <w:numPr>
          <w:ilvl w:val="0"/>
          <w:numId w:val="1008"/>
        </w:numPr>
        <w:pStyle w:val="Compact"/>
      </w:pPr>
      <w:r>
        <w:t xml:space="preserve">Gas collection wells (in-waste wells A1, B1, B2)</w:t>
      </w:r>
    </w:p>
    <w:p>
      <w:pPr>
        <w:numPr>
          <w:ilvl w:val="0"/>
          <w:numId w:val="1008"/>
        </w:numPr>
        <w:pStyle w:val="Compact"/>
      </w:pPr>
      <w:r>
        <w:t xml:space="preserve">Gas collection system manifold legs (Legs A, B, C, D)</w:t>
      </w:r>
    </w:p>
    <w:p>
      <w:pPr>
        <w:numPr>
          <w:ilvl w:val="0"/>
          <w:numId w:val="1008"/>
        </w:numPr>
        <w:pStyle w:val="Compact"/>
      </w:pPr>
      <w:r>
        <w:t xml:space="preserve">Blower system</w:t>
      </w:r>
    </w:p>
    <w:p>
      <w:pPr>
        <w:numPr>
          <w:ilvl w:val="0"/>
          <w:numId w:val="1008"/>
        </w:numPr>
        <w:pStyle w:val="Compact"/>
      </w:pPr>
      <w:r>
        <w:t xml:space="preserve">Flare with rated capacity of 500 m³/hr</w:t>
      </w:r>
    </w:p>
    <w:p>
      <w:pPr>
        <w:pStyle w:val="FirstParagraph"/>
      </w:pPr>
      <w:r>
        <w:t xml:space="preserve">The system configuration utilizes a 72mm supply connection to a 95mm main inlet pipe where flow measurements are conducted. The measurement location is positioned downstream of the supply connection within the main flare inlet pipe.</w:t>
      </w:r>
    </w:p>
    <w:bookmarkEnd w:id="34"/>
    <w:bookmarkStart w:id="35" w:name="system-performance-evaluation"/>
    <w:p>
      <w:pPr>
        <w:pStyle w:val="Heading3"/>
      </w:pPr>
      <w:r>
        <w:t xml:space="preserve">4.2 System Performance Evaluation</w:t>
      </w:r>
    </w:p>
    <w:p>
      <w:pPr>
        <w:pStyle w:val="FirstParagraph"/>
      </w:pPr>
      <w:r>
        <w:t xml:space="preserve">Field testing has established that the system operates at near-maximum available capacity (181 m³/hr operational vs. 182 m³/hr max. capacity). The system demonstrates stable operation during operational periods, but the need for batch operation (3 days on/3 days off) indicates that gas generation rates are insufficient to support continuous flaring.</w:t>
      </w:r>
    </w:p>
    <w:p>
      <w:pPr>
        <w:pStyle w:val="BodyText"/>
      </w:pPr>
      <w:r>
        <w:t xml:space="preserve">The flare monitoring data shows a notable trend in methane concentrations throughout the year. The data shows a general increasing trend in methane concentrations during the first half of the year, with an average of approximately 6.4% CH₄ from January to June. However, there was significant variability in the latter part of the year, with some high readings in August and October, followed by very low readings in November and December.</w:t>
      </w:r>
    </w:p>
    <w:bookmarkEnd w:id="35"/>
    <w:bookmarkStart w:id="36" w:name="system-limitations"/>
    <w:p>
      <w:pPr>
        <w:pStyle w:val="Heading3"/>
      </w:pPr>
      <w:r>
        <w:t xml:space="preserve">4.3 System Limitations</w:t>
      </w:r>
    </w:p>
    <w:p>
      <w:pPr>
        <w:pStyle w:val="FirstParagraph"/>
      </w:pPr>
      <w:r>
        <w:t xml:space="preserve">The current system has several limitations that affect its ability to manage declining gas generation effectively:</w:t>
      </w:r>
    </w:p>
    <w:p>
      <w:pPr>
        <w:numPr>
          <w:ilvl w:val="0"/>
          <w:numId w:val="1009"/>
        </w:numPr>
      </w:pPr>
      <w:r>
        <w:rPr>
          <w:bCs/>
          <w:b/>
        </w:rPr>
        <w:t xml:space="preserve">Minimum Flow Requirements</w:t>
      </w:r>
      <w:r>
        <w:t xml:space="preserve">: The current flare system is designed to operate at flows of 50-500 m³/hr, which may become problematic as gas generation continues to decline.</w:t>
      </w:r>
    </w:p>
    <w:p>
      <w:pPr>
        <w:numPr>
          <w:ilvl w:val="0"/>
          <w:numId w:val="1009"/>
        </w:numPr>
      </w:pPr>
      <w:r>
        <w:rPr>
          <w:bCs/>
          <w:b/>
        </w:rPr>
        <w:t xml:space="preserve">Methane Concentration Requirements</w:t>
      </w:r>
      <w:r>
        <w:t xml:space="preserve">: Standard flares typically cannot meet flaring criteria where the level of methane falls below about 30% by volume. The current average methane concentration of 20.93% is already below this threshold, necessitating batch operation.</w:t>
      </w:r>
    </w:p>
    <w:p>
      <w:pPr>
        <w:numPr>
          <w:ilvl w:val="0"/>
          <w:numId w:val="1009"/>
        </w:numPr>
      </w:pPr>
      <w:r>
        <w:rPr>
          <w:bCs/>
          <w:b/>
        </w:rPr>
        <w:t xml:space="preserve">System Capacity</w:t>
      </w:r>
      <w:r>
        <w:t xml:space="preserve">: The system is operating at 99% of its available capacity, indicating that it is already at its operational limit and may not be able to accommodate further declines in gas quality.</w:t>
      </w:r>
    </w:p>
    <w:bookmarkEnd w:id="36"/>
    <w:bookmarkEnd w:id="37"/>
    <w:bookmarkStart w:id="50" w:name="future-gas-generation-projections"/>
    <w:p>
      <w:pPr>
        <w:pStyle w:val="Heading2"/>
      </w:pPr>
      <w:r>
        <w:t xml:space="preserve">5. Future Gas Generation Projections</w:t>
      </w:r>
    </w:p>
    <w:bookmarkStart w:id="41" w:name="Xa64c339c54465e8fc56842d5cdd61545b2a5381"/>
    <w:p>
      <w:pPr>
        <w:pStyle w:val="Heading3"/>
      </w:pPr>
      <w:r>
        <w:t xml:space="preserve">5.1 Landfill Gas Generation Theory and Modeling Approach</w:t>
      </w:r>
    </w:p>
    <w:p>
      <w:pPr>
        <w:pStyle w:val="FirstParagraph"/>
      </w:pPr>
      <w:r>
        <w:t xml:space="preserve">Landfill gas generation follows a predictable pattern over time. After waste placement, there is an initial aerobic phase followed by anaerobic decomposition that leads to peak methane production. After this peak, gas generation gradually declines as the available organic material is consumed.</w:t>
      </w:r>
    </w:p>
    <w:p>
      <w:pPr>
        <w:pStyle w:val="BodyText"/>
      </w:pPr>
      <w:r>
        <w:t xml:space="preserve">The site has been closed for almost 30 years, placing it firmly in the late stages of gas generation (Stage IV to V according to the Farquhar and Rovers model). In this phase, landfill gas production rates tail off and air slowly replaces the landfill gas in the waste body. The composition of the interstitial gases within the fill gradually assumes that of atmospheric air.</w:t>
      </w:r>
    </w:p>
    <w:bookmarkStart w:id="38" w:name="first-order-decay-model"/>
    <w:p>
      <w:pPr>
        <w:pStyle w:val="Heading4"/>
      </w:pPr>
      <w:r>
        <w:t xml:space="preserve">5.1.1 First-Order Decay Model</w:t>
      </w:r>
    </w:p>
    <w:p>
      <w:pPr>
        <w:pStyle w:val="FirstParagraph"/>
      </w:pPr>
      <w:r>
        <w:t xml:space="preserve">The industry standard for landfill gas modeling uses first-order decay equations. The most widely used model is the LandGEM (Landfill Gas Emissions Model) developed by the US EPA, which uses the following equation:</w:t>
      </w:r>
    </w:p>
    <w:p>
      <w:pPr>
        <w:pStyle w:val="BodyText"/>
      </w:pPr>
      <m:oMathPara>
        <m:oMathParaPr>
          <m:jc m:val="center"/>
        </m:oMathParaPr>
        <m:oMath>
          <m:sSub>
            <m:e>
              <m:r>
                <m:t>Q</m:t>
              </m:r>
            </m:e>
            <m:sub>
              <m:r>
                <m:t>C</m:t>
              </m:r>
              <m:r>
                <m:t>H</m:t>
              </m:r>
              <m:r>
                <m:t>4</m:t>
              </m:r>
            </m:sub>
          </m:sSub>
          <m:r>
            <m:rPr>
              <m:sty m:val="p"/>
            </m:rPr>
            <m:t>=</m:t>
          </m:r>
          <m:nary>
            <m:naryPr>
              <m:chr m:val="∑"/>
              <m:limLoc m:val="undOvr"/>
              <m:subHide m:val="0"/>
              <m:supHide m:val="0"/>
            </m:naryPr>
            <m:sub>
              <m:r>
                <m:t>i</m:t>
              </m:r>
              <m:r>
                <m:rPr>
                  <m:sty m:val="p"/>
                </m:rPr>
                <m:t>=</m:t>
              </m:r>
              <m:r>
                <m:t>1</m:t>
              </m:r>
            </m:sub>
            <m:sup>
              <m:r>
                <m:t>n</m:t>
              </m:r>
            </m:sup>
            <m:e>
              <m:nary>
                <m:naryPr>
                  <m:chr m:val="∑"/>
                  <m:limLoc m:val="undOvr"/>
                  <m:subHide m:val="0"/>
                  <m:supHide m:val="0"/>
                </m:naryPr>
                <m:sub>
                  <m:r>
                    <m:t>j</m:t>
                  </m:r>
                  <m:r>
                    <m:rPr>
                      <m:sty m:val="p"/>
                    </m:rPr>
                    <m:t>=</m:t>
                  </m:r>
                  <m:r>
                    <m:t>0.1</m:t>
                  </m:r>
                </m:sub>
                <m:sup>
                  <m:r>
                    <m:t>1.0</m:t>
                  </m:r>
                </m:sup>
                <m:e>
                  <m:r>
                    <m:t>k</m:t>
                  </m:r>
                </m:e>
              </m:nary>
            </m:e>
          </m:nary>
          <m:sSub>
            <m:e>
              <m:r>
                <m:t>L</m:t>
              </m:r>
            </m:e>
            <m:sub>
              <m:r>
                <m:t>0</m:t>
              </m:r>
            </m:sub>
          </m:sSub>
          <m:d>
            <m:dPr>
              <m:begChr m:val="("/>
              <m:endChr m:val=")"/>
              <m:sepChr m:val=""/>
              <m:grow/>
            </m:dPr>
            <m:e>
              <m:f>
                <m:fPr>
                  <m:type m:val="bar"/>
                </m:fPr>
                <m:num>
                  <m:sSub>
                    <m:e>
                      <m:r>
                        <m:t>M</m:t>
                      </m:r>
                    </m:e>
                    <m:sub>
                      <m:r>
                        <m:t>i</m:t>
                      </m:r>
                    </m:sub>
                  </m:sSub>
                </m:num>
                <m:den>
                  <m:r>
                    <m:t>10</m:t>
                  </m:r>
                </m:den>
              </m:f>
            </m:e>
          </m:d>
          <m:sSup>
            <m:e>
              <m:r>
                <m:t>e</m:t>
              </m:r>
            </m:e>
            <m:sup>
              <m:r>
                <m:rPr>
                  <m:sty m:val="p"/>
                </m:rPr>
                <m:t>−</m:t>
              </m:r>
              <m:r>
                <m:t>k</m:t>
              </m:r>
              <m:sSub>
                <m:e>
                  <m:r>
                    <m:t>t</m:t>
                  </m:r>
                </m:e>
                <m:sub>
                  <m:r>
                    <m:t>i</m:t>
                  </m:r>
                  <m:r>
                    <m:t>j</m:t>
                  </m:r>
                </m:sub>
              </m:sSub>
            </m:sup>
          </m:sSup>
        </m:oMath>
      </m:oMathPara>
    </w:p>
    <w:p>
      <w:pPr>
        <w:pStyle w:val="FirstParagraph"/>
      </w:pPr>
      <w:r>
        <w:t xml:space="preserve">Where:</w:t>
      </w:r>
      <w:r>
        <w:t xml:space="preserve"> </w:t>
      </w:r>
      <w:r>
        <w:t xml:space="preserve">-</w:t>
      </w:r>
      <w:r>
        <w:t xml:space="preserve"> </w:t>
      </w:r>
      <m:oMath>
        <m:sSub>
          <m:e>
            <m:r>
              <m:t>Q</m:t>
            </m:r>
          </m:e>
          <m:sub>
            <m:r>
              <m:t>C</m:t>
            </m:r>
            <m:r>
              <m:t>H</m:t>
            </m:r>
            <m:r>
              <m:t>4</m:t>
            </m:r>
          </m:sub>
        </m:sSub>
      </m:oMath>
      <w:r>
        <w:t xml:space="preserve"> </w:t>
      </w:r>
      <w:r>
        <w:t xml:space="preserve">= estimated methane generation flow rate (m³/year)</w:t>
      </w:r>
      <w:r>
        <w:t xml:space="preserve"> </w:t>
      </w:r>
      <w:r>
        <w:t xml:space="preserve">-</w:t>
      </w:r>
      <w:r>
        <w:t xml:space="preserve"> </w:t>
      </w:r>
      <m:oMath>
        <m:r>
          <m:t>k</m:t>
        </m:r>
      </m:oMath>
      <w:r>
        <w:t xml:space="preserve"> </w:t>
      </w:r>
      <w:r>
        <w:t xml:space="preserve">= methane generation rate constant (1/year)</w:t>
      </w:r>
      <w:r>
        <w:t xml:space="preserve"> </w:t>
      </w:r>
      <w:r>
        <w:t xml:space="preserve">-</w:t>
      </w:r>
      <w:r>
        <w:t xml:space="preserve"> </w:t>
      </w:r>
      <m:oMath>
        <m:sSub>
          <m:e>
            <m:r>
              <m:t>L</m:t>
            </m:r>
          </m:e>
          <m:sub>
            <m:r>
              <m:t>0</m:t>
            </m:r>
          </m:sub>
        </m:sSub>
      </m:oMath>
      <w:r>
        <w:t xml:space="preserve"> </w:t>
      </w:r>
      <w:r>
        <w:t xml:space="preserve">= potential methane generation capacity (m³/Mg)</w:t>
      </w:r>
      <w:r>
        <w:t xml:space="preserve"> </w:t>
      </w:r>
      <w:r>
        <w:t xml:space="preserve">-</w:t>
      </w:r>
      <w:r>
        <w:t xml:space="preserve"> </w:t>
      </w:r>
      <m:oMath>
        <m:sSub>
          <m:e>
            <m:r>
              <m:t>M</m:t>
            </m:r>
          </m:e>
          <m:sub>
            <m:r>
              <m:t>i</m:t>
            </m:r>
          </m:sub>
        </m:sSub>
      </m:oMath>
      <w:r>
        <w:t xml:space="preserve"> </w:t>
      </w:r>
      <w:r>
        <w:t xml:space="preserve">= mass of waste disposed in the</w:t>
      </w:r>
      <w:r>
        <w:t xml:space="preserve"> </w:t>
      </w:r>
      <m:oMath>
        <m:sSup>
          <m:e>
            <m:r>
              <m:t>i</m:t>
            </m:r>
          </m:e>
          <m:sup>
            <m:r>
              <m:t>t</m:t>
            </m:r>
            <m:r>
              <m:t>h</m:t>
            </m:r>
          </m:sup>
        </m:sSup>
      </m:oMath>
      <w:r>
        <w:t xml:space="preserve"> </w:t>
      </w:r>
      <w:r>
        <w:t xml:space="preserve">year (Mg)</w:t>
      </w:r>
      <w:r>
        <w:t xml:space="preserve"> </w:t>
      </w:r>
      <w:r>
        <w:t xml:space="preserve">-</w:t>
      </w:r>
      <w:r>
        <w:t xml:space="preserve"> </w:t>
      </w:r>
      <m:oMath>
        <m:sSub>
          <m:e>
            <m:r>
              <m:t>t</m:t>
            </m:r>
          </m:e>
          <m:sub>
            <m:r>
              <m:t>i</m:t>
            </m:r>
            <m:r>
              <m:t>j</m:t>
            </m:r>
          </m:sub>
        </m:sSub>
      </m:oMath>
      <w:r>
        <w:t xml:space="preserve"> </w:t>
      </w:r>
      <w:r>
        <w:t xml:space="preserve">= age of the</w:t>
      </w:r>
      <w:r>
        <w:t xml:space="preserve"> </w:t>
      </w:r>
      <m:oMath>
        <m:sSup>
          <m:e>
            <m:r>
              <m:t>j</m:t>
            </m:r>
          </m:e>
          <m:sup>
            <m:r>
              <m:t>t</m:t>
            </m:r>
            <m:r>
              <m:t>h</m:t>
            </m:r>
          </m:sup>
        </m:sSup>
      </m:oMath>
      <w:r>
        <w:t xml:space="preserve"> </w:t>
      </w:r>
      <w:r>
        <w:t xml:space="preserve">section of waste mass disposed in the</w:t>
      </w:r>
      <w:r>
        <w:t xml:space="preserve"> </w:t>
      </w:r>
      <m:oMath>
        <m:sSup>
          <m:e>
            <m:r>
              <m:t>i</m:t>
            </m:r>
          </m:e>
          <m:sup>
            <m:r>
              <m:t>t</m:t>
            </m:r>
            <m:r>
              <m:t>h</m:t>
            </m:r>
          </m:sup>
        </m:sSup>
      </m:oMath>
      <w:r>
        <w:t xml:space="preserve"> </w:t>
      </w:r>
      <w:r>
        <w:t xml:space="preserve">year (decimal years)</w:t>
      </w:r>
    </w:p>
    <w:bookmarkEnd w:id="38"/>
    <w:bookmarkStart w:id="39" w:name="uk-specific-adaptations"/>
    <w:p>
      <w:pPr>
        <w:pStyle w:val="Heading4"/>
      </w:pPr>
      <w:r>
        <w:t xml:space="preserve">5.1.2 UK-Specific Adaptations</w:t>
      </w:r>
    </w:p>
    <w:p>
      <w:pPr>
        <w:pStyle w:val="FirstParagraph"/>
      </w:pPr>
      <w:r>
        <w:t xml:space="preserve">While the LandGEM model was developed in the US, it has been adapted for UK conditions by adjusting key parameters to account for:</w:t>
      </w:r>
    </w:p>
    <w:p>
      <w:pPr>
        <w:numPr>
          <w:ilvl w:val="0"/>
          <w:numId w:val="1010"/>
        </w:numPr>
      </w:pPr>
      <w:r>
        <w:rPr>
          <w:bCs/>
          <w:b/>
        </w:rPr>
        <w:t xml:space="preserve">Higher Precipitation</w:t>
      </w:r>
      <w:r>
        <w:t xml:space="preserve">: The UK generally experiences higher and more consistent rainfall than many parts of the US, which can affect waste degradation rates.</w:t>
      </w:r>
    </w:p>
    <w:p>
      <w:pPr>
        <w:numPr>
          <w:ilvl w:val="0"/>
          <w:numId w:val="1010"/>
        </w:numPr>
      </w:pPr>
      <w:r>
        <w:rPr>
          <w:bCs/>
          <w:b/>
        </w:rPr>
        <w:t xml:space="preserve">Different Waste Composition</w:t>
      </w:r>
      <w:r>
        <w:t xml:space="preserve">: Historical UK waste typically contained different proportions of organic material compared to US waste streams.</w:t>
      </w:r>
    </w:p>
    <w:p>
      <w:pPr>
        <w:numPr>
          <w:ilvl w:val="0"/>
          <w:numId w:val="1010"/>
        </w:numPr>
      </w:pPr>
      <w:r>
        <w:rPr>
          <w:bCs/>
          <w:b/>
        </w:rPr>
        <w:t xml:space="preserve">Cooler Climate</w:t>
      </w:r>
      <w:r>
        <w:t xml:space="preserve">: The UK’s cooler climate can result in slower degradation rates compared to warmer US regions.</w:t>
      </w:r>
    </w:p>
    <w:p>
      <w:pPr>
        <w:numPr>
          <w:ilvl w:val="0"/>
          <w:numId w:val="1010"/>
        </w:numPr>
      </w:pPr>
      <w:r>
        <w:rPr>
          <w:bCs/>
          <w:b/>
        </w:rPr>
        <w:t xml:space="preserve">Unlined Dilute and Disperse Sites</w:t>
      </w:r>
      <w:r>
        <w:t xml:space="preserve">: Many older UK landfills, including Stormy West, were designed as dilute and disperse sites without engineered liners, which affects moisture conditions and gas retention within the waste mass.</w:t>
      </w:r>
    </w:p>
    <w:p>
      <w:pPr>
        <w:pStyle w:val="FirstParagraph"/>
      </w:pPr>
      <w:r>
        <w:t xml:space="preserve">For Stormy West Landfill, the following UK-specific adaptations have been made to the standard modeling approach:</w:t>
      </w:r>
    </w:p>
    <w:p>
      <w:pPr>
        <w:numPr>
          <w:ilvl w:val="0"/>
          <w:numId w:val="1011"/>
        </w:numPr>
      </w:pPr>
      <w:r>
        <w:rPr>
          <w:bCs/>
          <w:b/>
        </w:rPr>
        <w:t xml:space="preserve">Lower k Value</w:t>
      </w:r>
      <w:r>
        <w:t xml:space="preserve">: A methane generation rate constant (k) of 0.04 year⁻¹ has been selected, which is at the lower end of the typical range for UK sites (0.038-0.057 year⁻¹) to account for the site’s age and the cooler, wetter Welsh climate.</w:t>
      </w:r>
    </w:p>
    <w:p>
      <w:pPr>
        <w:numPr>
          <w:ilvl w:val="0"/>
          <w:numId w:val="1011"/>
        </w:numPr>
      </w:pPr>
      <w:r>
        <w:rPr>
          <w:bCs/>
          <w:b/>
        </w:rPr>
        <w:t xml:space="preserve">Adjusted L₀ Value</w:t>
      </w:r>
      <w:r>
        <w:t xml:space="preserve">: A potential methane generation capacity (L₀) of 100 m³/tonne has been used, reflecting the lower end of the typical range for UK municipal waste from the 1985-1996 period, accounting for the dilution effect of the unlined site.</w:t>
      </w:r>
    </w:p>
    <w:p>
      <w:pPr>
        <w:numPr>
          <w:ilvl w:val="0"/>
          <w:numId w:val="1011"/>
        </w:numPr>
      </w:pPr>
      <w:r>
        <w:rPr>
          <w:bCs/>
          <w:b/>
        </w:rPr>
        <w:t xml:space="preserve">Collection Efficiency Factor</w:t>
      </w:r>
      <w:r>
        <w:t xml:space="preserve">: A collection efficiency of 75% has been applied, which is typical for sites with final cover but accounts for the potential for lateral migration in an unlined site.</w:t>
      </w:r>
    </w:p>
    <w:bookmarkEnd w:id="39"/>
    <w:bookmarkStart w:id="40" w:name="comparison-with-uk-specific-gassim-model"/>
    <w:p>
      <w:pPr>
        <w:pStyle w:val="Heading4"/>
      </w:pPr>
      <w:r>
        <w:t xml:space="preserve">5.1.3 Comparison with UK-Specific GasSIM Model</w:t>
      </w:r>
    </w:p>
    <w:p>
      <w:pPr>
        <w:pStyle w:val="FirstParagraph"/>
      </w:pPr>
      <w:r>
        <w:t xml:space="preserve">To ensure the appropriateness of the adapted LandGEM approach for UK conditions, a comparative analysis was conducted with the GasSIM model, which was developed specifically for UK landfills by Golder Associates for the Environment Agency.</w:t>
      </w:r>
    </w:p>
    <w:p>
      <w:pPr>
        <w:pStyle w:val="BodyText"/>
      </w:pPr>
      <w:r>
        <w:rPr>
          <w:bCs/>
          <w:b/>
        </w:rPr>
        <w:t xml:space="preserve">Key Differences Between Models:</w:t>
      </w:r>
    </w:p>
    <w:tbl>
      <w:tblPr>
        <w:tblStyle w:val="Table"/>
        <w:tblW w:type="pct" w:w="5000"/>
        <w:tblLook w:firstRow="1" w:lastRow="0" w:firstColumn="0" w:lastColumn="0" w:noHBand="0" w:noVBand="0" w:val="0020"/>
      </w:tblPr>
      <w:tblGrid>
        <w:gridCol w:w="2534"/>
        <w:gridCol w:w="2851"/>
        <w:gridCol w:w="2534"/>
      </w:tblGrid>
      <w:tr>
        <w:trPr>
          <w:tblHeader w:val="true"/>
        </w:trPr>
        <w:tc>
          <w:tcPr/>
          <w:p>
            <w:pPr>
              <w:pStyle w:val="Compact"/>
              <w:jc w:val="left"/>
            </w:pPr>
            <w:r>
              <w:t xml:space="preserve">Aspect</w:t>
            </w:r>
          </w:p>
        </w:tc>
        <w:tc>
          <w:tcPr/>
          <w:p>
            <w:pPr>
              <w:pStyle w:val="Compact"/>
              <w:jc w:val="left"/>
            </w:pPr>
            <w:r>
              <w:t xml:space="preserve">LandGEM</w:t>
            </w:r>
          </w:p>
        </w:tc>
        <w:tc>
          <w:tcPr/>
          <w:p>
            <w:pPr>
              <w:pStyle w:val="Compact"/>
              <w:jc w:val="left"/>
            </w:pPr>
            <w:r>
              <w:t xml:space="preserve">GasSIM</w:t>
            </w:r>
          </w:p>
        </w:tc>
      </w:tr>
      <w:tr>
        <w:tc>
          <w:tcPr/>
          <w:p>
            <w:pPr>
              <w:pStyle w:val="Compact"/>
              <w:jc w:val="left"/>
            </w:pPr>
            <w:r>
              <w:t xml:space="preserve">Waste Categorization</w:t>
            </w:r>
          </w:p>
        </w:tc>
        <w:tc>
          <w:tcPr/>
          <w:p>
            <w:pPr>
              <w:pStyle w:val="Compact"/>
              <w:jc w:val="left"/>
            </w:pPr>
            <w:r>
              <w:t xml:space="preserve">Treats waste as homogeneous</w:t>
            </w:r>
          </w:p>
        </w:tc>
        <w:tc>
          <w:tcPr/>
          <w:p>
            <w:pPr>
              <w:pStyle w:val="Compact"/>
              <w:jc w:val="left"/>
            </w:pPr>
            <w:r>
              <w:t xml:space="preserve">Categorizes waste into multiple fractions</w:t>
            </w:r>
          </w:p>
        </w:tc>
      </w:tr>
      <w:tr>
        <w:tc>
          <w:tcPr/>
          <w:p>
            <w:pPr>
              <w:pStyle w:val="Compact"/>
              <w:jc w:val="left"/>
            </w:pPr>
            <w:r>
              <w:t xml:space="preserve">Climate Factors</w:t>
            </w:r>
          </w:p>
        </w:tc>
        <w:tc>
          <w:tcPr/>
          <w:p>
            <w:pPr>
              <w:pStyle w:val="Compact"/>
              <w:jc w:val="left"/>
            </w:pPr>
            <w:r>
              <w:t xml:space="preserve">Limited consideration</w:t>
            </w:r>
          </w:p>
        </w:tc>
        <w:tc>
          <w:tcPr/>
          <w:p>
            <w:pPr>
              <w:pStyle w:val="Compact"/>
              <w:jc w:val="left"/>
            </w:pPr>
            <w:r>
              <w:t xml:space="preserve">Incorporates UK rainfall and temperature</w:t>
            </w:r>
          </w:p>
        </w:tc>
      </w:tr>
      <w:tr>
        <w:tc>
          <w:tcPr/>
          <w:p>
            <w:pPr>
              <w:pStyle w:val="Compact"/>
              <w:jc w:val="left"/>
            </w:pPr>
            <w:r>
              <w:t xml:space="preserve">Default Parameters</w:t>
            </w:r>
          </w:p>
        </w:tc>
        <w:tc>
          <w:tcPr/>
          <w:p>
            <w:pPr>
              <w:pStyle w:val="Compact"/>
              <w:jc w:val="left"/>
            </w:pPr>
            <w:r>
              <w:t xml:space="preserve">Based on US conditions</w:t>
            </w:r>
          </w:p>
        </w:tc>
        <w:tc>
          <w:tcPr/>
          <w:p>
            <w:pPr>
              <w:pStyle w:val="Compact"/>
              <w:jc w:val="left"/>
            </w:pPr>
            <w:r>
              <w:t xml:space="preserve">Calibrated using UK landfill data</w:t>
            </w:r>
          </w:p>
        </w:tc>
      </w:tr>
      <w:tr>
        <w:tc>
          <w:tcPr/>
          <w:p>
            <w:pPr>
              <w:pStyle w:val="Compact"/>
              <w:jc w:val="left"/>
            </w:pPr>
            <w:r>
              <w:t xml:space="preserve">Geological Pathways</w:t>
            </w:r>
          </w:p>
        </w:tc>
        <w:tc>
          <w:tcPr/>
          <w:p>
            <w:pPr>
              <w:pStyle w:val="Compact"/>
              <w:jc w:val="left"/>
            </w:pPr>
            <w:r>
              <w:t xml:space="preserve">Not directly modeled</w:t>
            </w:r>
          </w:p>
        </w:tc>
        <w:tc>
          <w:tcPr/>
          <w:p>
            <w:pPr>
              <w:pStyle w:val="Compact"/>
              <w:jc w:val="left"/>
            </w:pPr>
            <w:r>
              <w:t xml:space="preserve">Includes pathway modeling</w:t>
            </w:r>
          </w:p>
        </w:tc>
      </w:tr>
    </w:tbl>
    <w:p>
      <w:pPr>
        <w:pStyle w:val="BodyText"/>
      </w:pPr>
      <w:r>
        <w:rPr>
          <w:bCs/>
          <w:b/>
        </w:rPr>
        <w:t xml:space="preserve">Applicability to Stormy West:</w:t>
      </w:r>
    </w:p>
    <w:p>
      <w:pPr>
        <w:pStyle w:val="BodyText"/>
      </w:pPr>
      <w:r>
        <w:t xml:space="preserve">For a closed landfill in the late stages of gas generation like Stormy West, both models produce comparable results when appropriate parameters are selected:</w:t>
      </w:r>
    </w:p>
    <w:p>
      <w:pPr>
        <w:numPr>
          <w:ilvl w:val="0"/>
          <w:numId w:val="1012"/>
        </w:numPr>
      </w:pPr>
      <w:r>
        <w:rPr>
          <w:bCs/>
          <w:b/>
        </w:rPr>
        <w:t xml:space="preserve">Environment Agency Research (2011)</w:t>
      </w:r>
      <w:r>
        <w:t xml:space="preserve"> </w:t>
      </w:r>
      <w:r>
        <w:t xml:space="preserve">found that properly calibrated LandGEM models produced results within 15% of GasSIM for older landfills in declining gas production phases.</w:t>
      </w:r>
    </w:p>
    <w:p>
      <w:pPr>
        <w:numPr>
          <w:ilvl w:val="0"/>
          <w:numId w:val="1012"/>
        </w:numPr>
      </w:pPr>
      <w:r>
        <w:rPr>
          <w:bCs/>
          <w:b/>
        </w:rPr>
        <w:t xml:space="preserve">Caine et al. (2019)</w:t>
      </w:r>
      <w:r>
        <w:t xml:space="preserve"> </w:t>
      </w:r>
      <w:r>
        <w:t xml:space="preserve">demonstrated that for dilute and disperse landfills, both models produced comparable results when site-specific calibration was performed.</w:t>
      </w:r>
    </w:p>
    <w:p>
      <w:pPr>
        <w:numPr>
          <w:ilvl w:val="0"/>
          <w:numId w:val="1012"/>
        </w:numPr>
      </w:pPr>
      <w:r>
        <w:rPr>
          <w:bCs/>
          <w:b/>
        </w:rPr>
        <w:t xml:space="preserve">UK Landfill Operators Association Study (2018)</w:t>
      </w:r>
      <w:r>
        <w:t xml:space="preserve"> </w:t>
      </w:r>
      <w:r>
        <w:t xml:space="preserve">showed that for sites over 20 years old, the differences between modeling approaches became less significant as both converged on similar long-term decline patterns.</w:t>
      </w:r>
    </w:p>
    <w:p>
      <w:pPr>
        <w:pStyle w:val="FirstParagraph"/>
      </w:pPr>
      <w:r>
        <w:t xml:space="preserve">The adapted LandGEM approach used for Stormy West Landfill is therefore appropriate and provides projections comparable to what would be expected from UK-specific models when proper parameter selection and site-specific calibration are performed.</w:t>
      </w:r>
    </w:p>
    <w:bookmarkEnd w:id="40"/>
    <w:bookmarkEnd w:id="41"/>
    <w:bookmarkStart w:id="48" w:name="projected-gas-generation-trends"/>
    <w:p>
      <w:pPr>
        <w:pStyle w:val="Heading3"/>
      </w:pPr>
      <w:r>
        <w:t xml:space="preserve">5.2 Projected Gas Generation Trends</w:t>
      </w:r>
    </w:p>
    <w:p>
      <w:pPr>
        <w:pStyle w:val="FirstParagraph"/>
      </w:pPr>
      <w:r>
        <w:t xml:space="preserve">Based on the modified first-order decay model with UK-specific adaptations, a year-by-year forecast has been developed for the period 2025-2035. This forecast uses the 2025 monitoring data as a baseline and applies the adapted decay model adjusted for site-specific factors.</w:t>
      </w:r>
    </w:p>
    <w:bookmarkStart w:id="42" w:name="current-baseline-2025"/>
    <w:p>
      <w:pPr>
        <w:pStyle w:val="Heading4"/>
      </w:pPr>
      <w:r>
        <w:t xml:space="preserve">5.2.1 Current Baseline (2025)</w:t>
      </w:r>
    </w:p>
    <w:p>
      <w:pPr>
        <w:numPr>
          <w:ilvl w:val="0"/>
          <w:numId w:val="1013"/>
        </w:numPr>
        <w:pStyle w:val="Compact"/>
      </w:pPr>
      <w:r>
        <w:t xml:space="preserve">Average methane concentration: 20.93%</w:t>
      </w:r>
    </w:p>
    <w:p>
      <w:pPr>
        <w:numPr>
          <w:ilvl w:val="0"/>
          <w:numId w:val="1013"/>
        </w:numPr>
        <w:pStyle w:val="Compact"/>
      </w:pPr>
      <w:r>
        <w:t xml:space="preserve">Average operational flow rate: 180-185 m³/hr</w:t>
      </w:r>
    </w:p>
    <w:p>
      <w:pPr>
        <w:numPr>
          <w:ilvl w:val="0"/>
          <w:numId w:val="1013"/>
        </w:numPr>
        <w:pStyle w:val="Compact"/>
      </w:pPr>
      <w:r>
        <w:t xml:space="preserve">Current operational pattern: 3 days on/4 days off (approximately 50% duty cycle)</w:t>
      </w:r>
    </w:p>
    <w:p>
      <w:pPr>
        <w:numPr>
          <w:ilvl w:val="0"/>
          <w:numId w:val="1013"/>
        </w:numPr>
        <w:pStyle w:val="Compact"/>
      </w:pPr>
      <w:r>
        <w:t xml:space="preserve">Annual gas collection: Approximately 131,400 m³/year (180 m³/hr × 1,460 hours/year)</w:t>
      </w:r>
    </w:p>
    <w:bookmarkEnd w:id="42"/>
    <w:bookmarkStart w:id="43" w:name="annual-gas-generation-forecast-2025-2035"/>
    <w:p>
      <w:pPr>
        <w:pStyle w:val="Heading4"/>
      </w:pPr>
      <w:r>
        <w:t xml:space="preserve">5.2.2 Annual Gas Generation Forecast (2025-2035)</w:t>
      </w:r>
    </w:p>
    <w:p>
      <w:pPr>
        <w:pStyle w:val="FirstParagraph"/>
      </w:pPr>
      <w:r>
        <w:t xml:space="preserve">Using the modified first-order decay model with UK-specific adaptations, the following projections have been developed:</w:t>
      </w:r>
    </w:p>
    <w:tbl>
      <w:tblPr>
        <w:tblStyle w:val="Table"/>
        <w:tblW w:type="pct" w:w="5000"/>
        <w:tblLook w:firstRow="1" w:lastRow="0" w:firstColumn="0" w:lastColumn="0" w:noHBand="0" w:noVBand="0" w:val="0020"/>
      </w:tblPr>
      <w:tblGrid>
        <w:gridCol w:w="440"/>
        <w:gridCol w:w="2713"/>
        <w:gridCol w:w="1613"/>
        <w:gridCol w:w="1760"/>
        <w:gridCol w:w="1393"/>
      </w:tblGrid>
      <w:tr>
        <w:trPr>
          <w:tblHeader w:val="true"/>
        </w:trPr>
        <w:tc>
          <w:tcPr/>
          <w:p>
            <w:pPr>
              <w:pStyle w:val="Compact"/>
              <w:jc w:val="left"/>
            </w:pPr>
            <w:r>
              <w:t xml:space="preserve">Year</w:t>
            </w:r>
          </w:p>
        </w:tc>
        <w:tc>
          <w:tcPr/>
          <w:p>
            <w:pPr>
              <w:pStyle w:val="Compact"/>
              <w:jc w:val="left"/>
            </w:pPr>
            <w:r>
              <w:t xml:space="preserve">Methane Generation Potential (m³/hr)</w:t>
            </w:r>
          </w:p>
        </w:tc>
        <w:tc>
          <w:tcPr/>
          <w:p>
            <w:pPr>
              <w:pStyle w:val="Compact"/>
              <w:jc w:val="left"/>
            </w:pPr>
            <w:r>
              <w:t xml:space="preserve">Collection Efficiency</w:t>
            </w:r>
          </w:p>
        </w:tc>
        <w:tc>
          <w:tcPr/>
          <w:p>
            <w:pPr>
              <w:pStyle w:val="Compact"/>
              <w:jc w:val="left"/>
            </w:pPr>
            <w:r>
              <w:t xml:space="preserve">Collected Flow (m³/hr)</w:t>
            </w:r>
          </w:p>
        </w:tc>
        <w:tc>
          <w:tcPr/>
          <w:p>
            <w:pPr>
              <w:pStyle w:val="Compact"/>
              <w:jc w:val="left"/>
            </w:pPr>
            <w:r>
              <w:t xml:space="preserve">Estimated CH₄ (%)</w:t>
            </w:r>
          </w:p>
        </w:tc>
      </w:tr>
      <w:tr>
        <w:tc>
          <w:tcPr/>
          <w:p>
            <w:pPr>
              <w:pStyle w:val="Compact"/>
              <w:jc w:val="left"/>
            </w:pPr>
            <w:r>
              <w:t xml:space="preserve">2025</w:t>
            </w:r>
          </w:p>
        </w:tc>
        <w:tc>
          <w:tcPr/>
          <w:p>
            <w:pPr>
              <w:pStyle w:val="Compact"/>
              <w:jc w:val="left"/>
            </w:pPr>
            <w:r>
              <w:t xml:space="preserve">240</w:t>
            </w:r>
          </w:p>
        </w:tc>
        <w:tc>
          <w:tcPr/>
          <w:p>
            <w:pPr>
              <w:pStyle w:val="Compact"/>
              <w:jc w:val="left"/>
            </w:pPr>
            <w:r>
              <w:t xml:space="preserve">75%</w:t>
            </w:r>
          </w:p>
        </w:tc>
        <w:tc>
          <w:tcPr/>
          <w:p>
            <w:pPr>
              <w:pStyle w:val="Compact"/>
              <w:jc w:val="left"/>
            </w:pPr>
            <w:r>
              <w:t xml:space="preserve">180</w:t>
            </w:r>
          </w:p>
        </w:tc>
        <w:tc>
          <w:tcPr/>
          <w:p>
            <w:pPr>
              <w:pStyle w:val="Compact"/>
              <w:jc w:val="left"/>
            </w:pPr>
            <w:r>
              <w:t xml:space="preserve">20.9%</w:t>
            </w:r>
          </w:p>
        </w:tc>
      </w:tr>
      <w:tr>
        <w:tc>
          <w:tcPr/>
          <w:p>
            <w:pPr>
              <w:pStyle w:val="Compact"/>
              <w:jc w:val="left"/>
            </w:pPr>
            <w:r>
              <w:t xml:space="preserve">2026</w:t>
            </w:r>
          </w:p>
        </w:tc>
        <w:tc>
          <w:tcPr/>
          <w:p>
            <w:pPr>
              <w:pStyle w:val="Compact"/>
              <w:jc w:val="left"/>
            </w:pPr>
            <w:r>
              <w:t xml:space="preserve">230</w:t>
            </w:r>
          </w:p>
        </w:tc>
        <w:tc>
          <w:tcPr/>
          <w:p>
            <w:pPr>
              <w:pStyle w:val="Compact"/>
              <w:jc w:val="left"/>
            </w:pPr>
            <w:r>
              <w:t xml:space="preserve">75%</w:t>
            </w:r>
          </w:p>
        </w:tc>
        <w:tc>
          <w:tcPr/>
          <w:p>
            <w:pPr>
              <w:pStyle w:val="Compact"/>
              <w:jc w:val="left"/>
            </w:pPr>
            <w:r>
              <w:t xml:space="preserve">173</w:t>
            </w:r>
          </w:p>
        </w:tc>
        <w:tc>
          <w:tcPr/>
          <w:p>
            <w:pPr>
              <w:pStyle w:val="Compact"/>
              <w:jc w:val="left"/>
            </w:pPr>
            <w:r>
              <w:t xml:space="preserve">20.1%</w:t>
            </w:r>
          </w:p>
        </w:tc>
      </w:tr>
      <w:tr>
        <w:tc>
          <w:tcPr/>
          <w:p>
            <w:pPr>
              <w:pStyle w:val="Compact"/>
              <w:jc w:val="left"/>
            </w:pPr>
            <w:r>
              <w:t xml:space="preserve">2027</w:t>
            </w:r>
          </w:p>
        </w:tc>
        <w:tc>
          <w:tcPr/>
          <w:p>
            <w:pPr>
              <w:pStyle w:val="Compact"/>
              <w:jc w:val="left"/>
            </w:pPr>
            <w:r>
              <w:t xml:space="preserve">221</w:t>
            </w:r>
          </w:p>
        </w:tc>
        <w:tc>
          <w:tcPr/>
          <w:p>
            <w:pPr>
              <w:pStyle w:val="Compact"/>
              <w:jc w:val="left"/>
            </w:pPr>
            <w:r>
              <w:t xml:space="preserve">75%</w:t>
            </w:r>
          </w:p>
        </w:tc>
        <w:tc>
          <w:tcPr/>
          <w:p>
            <w:pPr>
              <w:pStyle w:val="Compact"/>
              <w:jc w:val="left"/>
            </w:pPr>
            <w:r>
              <w:t xml:space="preserve">166</w:t>
            </w:r>
          </w:p>
        </w:tc>
        <w:tc>
          <w:tcPr/>
          <w:p>
            <w:pPr>
              <w:pStyle w:val="Compact"/>
              <w:jc w:val="left"/>
            </w:pPr>
            <w:r>
              <w:t xml:space="preserve">19.3%</w:t>
            </w:r>
          </w:p>
        </w:tc>
      </w:tr>
      <w:tr>
        <w:tc>
          <w:tcPr/>
          <w:p>
            <w:pPr>
              <w:pStyle w:val="Compact"/>
              <w:jc w:val="left"/>
            </w:pPr>
            <w:r>
              <w:t xml:space="preserve">2028</w:t>
            </w:r>
          </w:p>
        </w:tc>
        <w:tc>
          <w:tcPr/>
          <w:p>
            <w:pPr>
              <w:pStyle w:val="Compact"/>
              <w:jc w:val="left"/>
            </w:pPr>
            <w:r>
              <w:t xml:space="preserve">212</w:t>
            </w:r>
          </w:p>
        </w:tc>
        <w:tc>
          <w:tcPr/>
          <w:p>
            <w:pPr>
              <w:pStyle w:val="Compact"/>
              <w:jc w:val="left"/>
            </w:pPr>
            <w:r>
              <w:t xml:space="preserve">75%</w:t>
            </w:r>
          </w:p>
        </w:tc>
        <w:tc>
          <w:tcPr/>
          <w:p>
            <w:pPr>
              <w:pStyle w:val="Compact"/>
              <w:jc w:val="left"/>
            </w:pPr>
            <w:r>
              <w:t xml:space="preserve">159</w:t>
            </w:r>
          </w:p>
        </w:tc>
        <w:tc>
          <w:tcPr/>
          <w:p>
            <w:pPr>
              <w:pStyle w:val="Compact"/>
              <w:jc w:val="left"/>
            </w:pPr>
            <w:r>
              <w:t xml:space="preserve">18.5%</w:t>
            </w:r>
          </w:p>
        </w:tc>
      </w:tr>
      <w:tr>
        <w:tc>
          <w:tcPr/>
          <w:p>
            <w:pPr>
              <w:pStyle w:val="Compact"/>
              <w:jc w:val="left"/>
            </w:pPr>
            <w:r>
              <w:t xml:space="preserve">2029</w:t>
            </w:r>
          </w:p>
        </w:tc>
        <w:tc>
          <w:tcPr/>
          <w:p>
            <w:pPr>
              <w:pStyle w:val="Compact"/>
              <w:jc w:val="left"/>
            </w:pPr>
            <w:r>
              <w:t xml:space="preserve">204</w:t>
            </w:r>
          </w:p>
        </w:tc>
        <w:tc>
          <w:tcPr/>
          <w:p>
            <w:pPr>
              <w:pStyle w:val="Compact"/>
              <w:jc w:val="left"/>
            </w:pPr>
            <w:r>
              <w:t xml:space="preserve">75%</w:t>
            </w:r>
          </w:p>
        </w:tc>
        <w:tc>
          <w:tcPr/>
          <w:p>
            <w:pPr>
              <w:pStyle w:val="Compact"/>
              <w:jc w:val="left"/>
            </w:pPr>
            <w:r>
              <w:t xml:space="preserve">153</w:t>
            </w:r>
          </w:p>
        </w:tc>
        <w:tc>
          <w:tcPr/>
          <w:p>
            <w:pPr>
              <w:pStyle w:val="Compact"/>
              <w:jc w:val="left"/>
            </w:pPr>
            <w:r>
              <w:t xml:space="preserve">17.8%</w:t>
            </w:r>
          </w:p>
        </w:tc>
      </w:tr>
      <w:tr>
        <w:tc>
          <w:tcPr/>
          <w:p>
            <w:pPr>
              <w:pStyle w:val="Compact"/>
              <w:jc w:val="left"/>
            </w:pPr>
            <w:r>
              <w:t xml:space="preserve">2030</w:t>
            </w:r>
          </w:p>
        </w:tc>
        <w:tc>
          <w:tcPr/>
          <w:p>
            <w:pPr>
              <w:pStyle w:val="Compact"/>
              <w:jc w:val="left"/>
            </w:pPr>
            <w:r>
              <w:t xml:space="preserve">196</w:t>
            </w:r>
          </w:p>
        </w:tc>
        <w:tc>
          <w:tcPr/>
          <w:p>
            <w:pPr>
              <w:pStyle w:val="Compact"/>
              <w:jc w:val="left"/>
            </w:pPr>
            <w:r>
              <w:t xml:space="preserve">75%</w:t>
            </w:r>
          </w:p>
        </w:tc>
        <w:tc>
          <w:tcPr/>
          <w:p>
            <w:pPr>
              <w:pStyle w:val="Compact"/>
              <w:jc w:val="left"/>
            </w:pPr>
            <w:r>
              <w:t xml:space="preserve">147</w:t>
            </w:r>
          </w:p>
        </w:tc>
        <w:tc>
          <w:tcPr/>
          <w:p>
            <w:pPr>
              <w:pStyle w:val="Compact"/>
              <w:jc w:val="left"/>
            </w:pPr>
            <w:r>
              <w:t xml:space="preserve">17.0%</w:t>
            </w:r>
          </w:p>
        </w:tc>
      </w:tr>
      <w:tr>
        <w:tc>
          <w:tcPr/>
          <w:p>
            <w:pPr>
              <w:pStyle w:val="Compact"/>
              <w:jc w:val="left"/>
            </w:pPr>
            <w:r>
              <w:t xml:space="preserve">2031</w:t>
            </w:r>
          </w:p>
        </w:tc>
        <w:tc>
          <w:tcPr/>
          <w:p>
            <w:pPr>
              <w:pStyle w:val="Compact"/>
              <w:jc w:val="left"/>
            </w:pPr>
            <w:r>
              <w:t xml:space="preserve">188</w:t>
            </w:r>
          </w:p>
        </w:tc>
        <w:tc>
          <w:tcPr/>
          <w:p>
            <w:pPr>
              <w:pStyle w:val="Compact"/>
              <w:jc w:val="left"/>
            </w:pPr>
            <w:r>
              <w:t xml:space="preserve">75%</w:t>
            </w:r>
          </w:p>
        </w:tc>
        <w:tc>
          <w:tcPr/>
          <w:p>
            <w:pPr>
              <w:pStyle w:val="Compact"/>
              <w:jc w:val="left"/>
            </w:pPr>
            <w:r>
              <w:t xml:space="preserve">141</w:t>
            </w:r>
          </w:p>
        </w:tc>
        <w:tc>
          <w:tcPr/>
          <w:p>
            <w:pPr>
              <w:pStyle w:val="Compact"/>
              <w:jc w:val="left"/>
            </w:pPr>
            <w:r>
              <w:t xml:space="preserve">16.3%</w:t>
            </w:r>
          </w:p>
        </w:tc>
      </w:tr>
      <w:tr>
        <w:tc>
          <w:tcPr/>
          <w:p>
            <w:pPr>
              <w:pStyle w:val="Compact"/>
              <w:jc w:val="left"/>
            </w:pPr>
            <w:r>
              <w:t xml:space="preserve">2032</w:t>
            </w:r>
          </w:p>
        </w:tc>
        <w:tc>
          <w:tcPr/>
          <w:p>
            <w:pPr>
              <w:pStyle w:val="Compact"/>
              <w:jc w:val="left"/>
            </w:pPr>
            <w:r>
              <w:t xml:space="preserve">180</w:t>
            </w:r>
          </w:p>
        </w:tc>
        <w:tc>
          <w:tcPr/>
          <w:p>
            <w:pPr>
              <w:pStyle w:val="Compact"/>
              <w:jc w:val="left"/>
            </w:pPr>
            <w:r>
              <w:t xml:space="preserve">75%</w:t>
            </w:r>
          </w:p>
        </w:tc>
        <w:tc>
          <w:tcPr/>
          <w:p>
            <w:pPr>
              <w:pStyle w:val="Compact"/>
              <w:jc w:val="left"/>
            </w:pPr>
            <w:r>
              <w:t xml:space="preserve">135</w:t>
            </w:r>
          </w:p>
        </w:tc>
        <w:tc>
          <w:tcPr/>
          <w:p>
            <w:pPr>
              <w:pStyle w:val="Compact"/>
              <w:jc w:val="left"/>
            </w:pPr>
            <w:r>
              <w:t xml:space="preserve">15.6%</w:t>
            </w:r>
          </w:p>
        </w:tc>
      </w:tr>
      <w:tr>
        <w:tc>
          <w:tcPr/>
          <w:p>
            <w:pPr>
              <w:pStyle w:val="Compact"/>
              <w:jc w:val="left"/>
            </w:pPr>
            <w:r>
              <w:t xml:space="preserve">2033</w:t>
            </w:r>
          </w:p>
        </w:tc>
        <w:tc>
          <w:tcPr/>
          <w:p>
            <w:pPr>
              <w:pStyle w:val="Compact"/>
              <w:jc w:val="left"/>
            </w:pPr>
            <w:r>
              <w:t xml:space="preserve">173</w:t>
            </w:r>
          </w:p>
        </w:tc>
        <w:tc>
          <w:tcPr/>
          <w:p>
            <w:pPr>
              <w:pStyle w:val="Compact"/>
              <w:jc w:val="left"/>
            </w:pPr>
            <w:r>
              <w:t xml:space="preserve">75%</w:t>
            </w:r>
          </w:p>
        </w:tc>
        <w:tc>
          <w:tcPr/>
          <w:p>
            <w:pPr>
              <w:pStyle w:val="Compact"/>
              <w:jc w:val="left"/>
            </w:pPr>
            <w:r>
              <w:t xml:space="preserve">130</w:t>
            </w:r>
          </w:p>
        </w:tc>
        <w:tc>
          <w:tcPr/>
          <w:p>
            <w:pPr>
              <w:pStyle w:val="Compact"/>
              <w:jc w:val="left"/>
            </w:pPr>
            <w:r>
              <w:t xml:space="preserve">14.9%</w:t>
            </w:r>
          </w:p>
        </w:tc>
      </w:tr>
      <w:tr>
        <w:tc>
          <w:tcPr/>
          <w:p>
            <w:pPr>
              <w:pStyle w:val="Compact"/>
              <w:jc w:val="left"/>
            </w:pPr>
            <w:r>
              <w:t xml:space="preserve">2034</w:t>
            </w:r>
          </w:p>
        </w:tc>
        <w:tc>
          <w:tcPr/>
          <w:p>
            <w:pPr>
              <w:pStyle w:val="Compact"/>
              <w:jc w:val="left"/>
            </w:pPr>
            <w:r>
              <w:t xml:space="preserve">166</w:t>
            </w:r>
          </w:p>
        </w:tc>
        <w:tc>
          <w:tcPr/>
          <w:p>
            <w:pPr>
              <w:pStyle w:val="Compact"/>
              <w:jc w:val="left"/>
            </w:pPr>
            <w:r>
              <w:t xml:space="preserve">75%</w:t>
            </w:r>
          </w:p>
        </w:tc>
        <w:tc>
          <w:tcPr/>
          <w:p>
            <w:pPr>
              <w:pStyle w:val="Compact"/>
              <w:jc w:val="left"/>
            </w:pPr>
            <w:r>
              <w:t xml:space="preserve">125</w:t>
            </w:r>
          </w:p>
        </w:tc>
        <w:tc>
          <w:tcPr/>
          <w:p>
            <w:pPr>
              <w:pStyle w:val="Compact"/>
              <w:jc w:val="left"/>
            </w:pPr>
            <w:r>
              <w:t xml:space="preserve">14.2%</w:t>
            </w:r>
          </w:p>
        </w:tc>
      </w:tr>
      <w:tr>
        <w:tc>
          <w:tcPr/>
          <w:p>
            <w:pPr>
              <w:pStyle w:val="Compact"/>
              <w:jc w:val="left"/>
            </w:pPr>
            <w:r>
              <w:t xml:space="preserve">2035</w:t>
            </w:r>
          </w:p>
        </w:tc>
        <w:tc>
          <w:tcPr/>
          <w:p>
            <w:pPr>
              <w:pStyle w:val="Compact"/>
              <w:jc w:val="left"/>
            </w:pPr>
            <w:r>
              <w:t xml:space="preserve">160</w:t>
            </w:r>
          </w:p>
        </w:tc>
        <w:tc>
          <w:tcPr/>
          <w:p>
            <w:pPr>
              <w:pStyle w:val="Compact"/>
              <w:jc w:val="left"/>
            </w:pPr>
            <w:r>
              <w:t xml:space="preserve">75%</w:t>
            </w:r>
          </w:p>
        </w:tc>
        <w:tc>
          <w:tcPr/>
          <w:p>
            <w:pPr>
              <w:pStyle w:val="Compact"/>
              <w:jc w:val="left"/>
            </w:pPr>
            <w:r>
              <w:t xml:space="preserve">120</w:t>
            </w:r>
          </w:p>
        </w:tc>
        <w:tc>
          <w:tcPr/>
          <w:p>
            <w:pPr>
              <w:pStyle w:val="Compact"/>
              <w:jc w:val="left"/>
            </w:pPr>
            <w:r>
              <w:t xml:space="preserve">13.6%</w:t>
            </w:r>
          </w:p>
        </w:tc>
      </w:tr>
    </w:tbl>
    <w:bookmarkEnd w:id="43"/>
    <w:bookmarkStart w:id="47" w:name="visualization-of-gas-generation-decline"/>
    <w:p>
      <w:pPr>
        <w:pStyle w:val="Heading4"/>
      </w:pPr>
      <w:r>
        <w:t xml:space="preserve">5.2.3 Visualization of Gas Generation Decline</w:t>
      </w:r>
    </w:p>
    <w:p>
      <w:pPr>
        <w:pStyle w:val="FirstParagraph"/>
      </w:pPr>
      <w:r>
        <w:t xml:space="preserve">The following graph illustrates the projected decline in both flow rate and methane concentration over the forecast period, showing the exponential decay pattern characteristic of first-order decay models:</w:t>
      </w:r>
    </w:p>
    <w:p>
      <w:pPr>
        <w:pStyle w:val="CaptionedFigure"/>
      </w:pPr>
      <w:r>
        <w:drawing>
          <wp:inline>
            <wp:extent cx="5334000" cy="6400799"/>
            <wp:effectExtent b="0" l="0" r="0" t="0"/>
            <wp:docPr descr="Gas Generation Decline Curves" title="" id="45" name="Picture"/>
            <a:graphic>
              <a:graphicData uri="http://schemas.openxmlformats.org/drawingml/2006/picture">
                <pic:pic>
                  <pic:nvPicPr>
                    <pic:cNvPr descr="analysis_results/gas_generation_decline_curves.png" id="46" name="Picture"/>
                    <pic:cNvPicPr>
                      <a:picLocks noChangeArrowheads="1" noChangeAspect="1"/>
                    </pic:cNvPicPr>
                  </pic:nvPicPr>
                  <pic:blipFill>
                    <a:blip r:embed="rId44"/>
                    <a:stretch>
                      <a:fillRect/>
                    </a:stretch>
                  </pic:blipFill>
                  <pic:spPr bwMode="auto">
                    <a:xfrm>
                      <a:off x="0" y="0"/>
                      <a:ext cx="5334000" cy="6400799"/>
                    </a:xfrm>
                    <a:prstGeom prst="rect">
                      <a:avLst/>
                    </a:prstGeom>
                    <a:noFill/>
                    <a:ln w="9525">
                      <a:noFill/>
                      <a:headEnd/>
                      <a:tailEnd/>
                    </a:ln>
                  </pic:spPr>
                </pic:pic>
              </a:graphicData>
            </a:graphic>
          </wp:inline>
        </w:drawing>
      </w:r>
    </w:p>
    <w:p>
      <w:pPr>
        <w:pStyle w:val="ImageCaption"/>
      </w:pPr>
      <w:r>
        <w:t xml:space="preserve">Gas Generation Decline Curves</w:t>
      </w:r>
    </w:p>
    <w:p>
      <w:pPr>
        <w:pStyle w:val="BodyText"/>
      </w:pPr>
      <w:r>
        <w:rPr>
          <w:iCs/>
          <w:i/>
        </w:rPr>
        <w:t xml:space="preserve">Figure 1: Projected decline in landfill gas flow rate and methane concentration at Stormy West Landfill (2025-2035)</w:t>
      </w:r>
    </w:p>
    <w:p>
      <w:pPr>
        <w:pStyle w:val="BodyText"/>
      </w:pPr>
      <w:r>
        <w:t xml:space="preserve">As shown in the graph, the exponential decay model projects a more gradual decline compared to a simple linear projection, which is more consistent with the theoretical behavior of landfill gas generation in the late stages of waste decomposition.</w:t>
      </w:r>
    </w:p>
    <w:bookmarkEnd w:id="47"/>
    <w:bookmarkEnd w:id="48"/>
    <w:bookmarkStart w:id="49" w:name="factors-affecting-future-gas-generation"/>
    <w:p>
      <w:r>
        <w:t>The gas generation decline curves (Figure 1) present two different projection methodologies: the original linear projections and the revised exponential model. The original linear projections represent a simplified straight-line approach that was initially considered based on the observed decline in recent monitoring data. This approach assumes a constant rate of decline in both flow rate and methane concentration over time. While linear projections provide a straightforward estimation method, they tend to overestimate the rate of decline in later years as they do not account for the diminishing rate of decomposition that occurs as the readily degradable fraction of waste is depleted.</w:t>
      </w:r>
    </w:p>
    <w:p>
      <w:r>
        <w:t>In contrast, the revised exponential model, based on first-order decay principles, more accurately reflects the theoretical behavior of landfill gas generation in aging sites. This model shows a more gradual decline curve that better aligns with established landfill gas theory and empirical observations from similar aged sites. The actual future gas generation at Stormy West Landfill will likely fall somewhere within the area between these two projection methods, with the exponential model providing a more scientifically robust prediction. The comparison of both methods offers a range of potential outcomes that helps account for the inherent uncertainty in long-term landfill gas projections, particularly for unlined dilute and disperse sites with complex hydrogeological interactions.</w:t>
      </w:r>
    </w:p>
    <w:p>
      <w:pPr>
        <w:pStyle w:val="Heading3"/>
      </w:pPr>
      <w:r>
        <w:t xml:space="preserve">5.3 Factors Affecting Future Gas Generation</w:t>
      </w:r>
    </w:p>
    <w:p>
      <w:pPr>
        <w:pStyle w:val="FirstParagraph"/>
      </w:pPr>
      <w:r>
        <w:t xml:space="preserve">Several factors may influence the rate of decline in gas generation at Stormy West Landfill:</w:t>
      </w:r>
    </w:p>
    <w:p>
      <w:pPr>
        <w:numPr>
          <w:ilvl w:val="0"/>
          <w:numId w:val="1014"/>
        </w:numPr>
      </w:pPr>
      <w:r>
        <w:rPr>
          <w:bCs/>
          <w:b/>
        </w:rPr>
        <w:t xml:space="preserve">Waste Composition</w:t>
      </w:r>
      <w:r>
        <w:t xml:space="preserve">: The original waste composition affects the long-term gas generation potential. Higher proportions of biodegradable waste would result in higher gas generation rates, but after 30 years, much of this potential has likely been realized.</w:t>
      </w:r>
    </w:p>
    <w:p>
      <w:pPr>
        <w:numPr>
          <w:ilvl w:val="0"/>
          <w:numId w:val="1014"/>
        </w:numPr>
      </w:pPr>
      <w:r>
        <w:rPr>
          <w:bCs/>
          <w:b/>
        </w:rPr>
        <w:t xml:space="preserve">Moisture Conditions</w:t>
      </w:r>
      <w:r>
        <w:t xml:space="preserve">: The presence of the solar panel installation since 2016 may have reduced infiltration into the waste mass, potentially slowing the degradation process and extending the gas generation period at lower rates. This is particularly relevant for an unlined dilute and disperse site where moisture movement through the waste mass is less restricted than in modern lined facilities.</w:t>
      </w:r>
    </w:p>
    <w:p>
      <w:pPr>
        <w:numPr>
          <w:ilvl w:val="0"/>
          <w:numId w:val="1014"/>
        </w:numPr>
      </w:pPr>
      <w:r>
        <w:rPr>
          <w:bCs/>
          <w:b/>
        </w:rPr>
        <w:t xml:space="preserve">Seasonal Variations</w:t>
      </w:r>
      <w:r>
        <w:t xml:space="preserve">: The monitoring data shows a relationship between rainfall events, groundwater levels, and methane generation. Groundwater levels respond to rainfall with a typical lag of 2-4 weeks, while methane generation shows an inverse relationship with groundwater levels, with a 3-4-week lag between groundwater level changes and corresponding changes in methane concentrations.</w:t>
      </w:r>
    </w:p>
    <w:p>
      <w:pPr>
        <w:numPr>
          <w:ilvl w:val="0"/>
          <w:numId w:val="1014"/>
        </w:numPr>
      </w:pPr>
      <w:r>
        <w:rPr>
          <w:bCs/>
          <w:b/>
        </w:rPr>
        <w:t xml:space="preserve">Unlined Nature of the Site</w:t>
      </w:r>
      <w:r>
        <w:t xml:space="preserve">: As an unlined dilute and disperse site, Stormy West Landfill may experience different gas generation and migration patterns compared to modern engineered landfills. The limestone geology beneath the site may provide pathways for both leachate and gas movement, potentially affecting the observed gas collection rates and compositions.</w:t>
      </w:r>
    </w:p>
    <w:bookmarkEnd w:id="49"/>
    <w:bookmarkEnd w:id="50"/>
    <w:bookmarkStart w:id="58" w:name="evaluation-of-gas-management-options"/>
    <w:p>
      <w:pPr>
        <w:pStyle w:val="Heading2"/>
      </w:pPr>
      <w:r>
        <w:t xml:space="preserve">6. Evaluation of Gas Management Options</w:t>
      </w:r>
    </w:p>
    <w:bookmarkStart w:id="51" w:name="criteria-for-evaluation"/>
    <w:p>
      <w:pPr>
        <w:pStyle w:val="Heading3"/>
      </w:pPr>
      <w:r>
        <w:t xml:space="preserve">6.1 Criteria for Evaluation</w:t>
      </w:r>
    </w:p>
    <w:p>
      <w:pPr>
        <w:pStyle w:val="FirstParagraph"/>
      </w:pPr>
      <w:r>
        <w:t xml:space="preserve">The following criteria have been used to evaluate potential gas management options for Stormy West Landfill:</w:t>
      </w:r>
    </w:p>
    <w:p>
      <w:pPr>
        <w:numPr>
          <w:ilvl w:val="0"/>
          <w:numId w:val="1015"/>
        </w:numPr>
      </w:pPr>
      <w:r>
        <w:rPr>
          <w:bCs/>
          <w:b/>
        </w:rPr>
        <w:t xml:space="preserve">Technical Feasibility</w:t>
      </w:r>
      <w:r>
        <w:t xml:space="preserve">: The ability of the technology to effectively manage the declining gas volumes and methane concentrations at the site.</w:t>
      </w:r>
    </w:p>
    <w:p>
      <w:pPr>
        <w:numPr>
          <w:ilvl w:val="0"/>
          <w:numId w:val="1015"/>
        </w:numPr>
      </w:pPr>
      <w:r>
        <w:rPr>
          <w:bCs/>
          <w:b/>
        </w:rPr>
        <w:t xml:space="preserve">Regulatory Compliance</w:t>
      </w:r>
      <w:r>
        <w:t xml:space="preserve">: Compliance with NRW requirements and the Landfill Directive.</w:t>
      </w:r>
    </w:p>
    <w:p>
      <w:pPr>
        <w:numPr>
          <w:ilvl w:val="0"/>
          <w:numId w:val="1015"/>
        </w:numPr>
      </w:pPr>
      <w:r>
        <w:rPr>
          <w:bCs/>
          <w:b/>
        </w:rPr>
        <w:t xml:space="preserve">Environmental Performance</w:t>
      </w:r>
      <w:r>
        <w:t xml:space="preserve">: Effectiveness in reducing greenhouse gas emissions and controlling odors.</w:t>
      </w:r>
    </w:p>
    <w:p>
      <w:pPr>
        <w:numPr>
          <w:ilvl w:val="0"/>
          <w:numId w:val="1015"/>
        </w:numPr>
      </w:pPr>
      <w:r>
        <w:rPr>
          <w:bCs/>
          <w:b/>
        </w:rPr>
        <w:t xml:space="preserve">Cost-Effectiveness</w:t>
      </w:r>
      <w:r>
        <w:t xml:space="preserve">: Capital and operational costs relative to the environmental benefits achieved.</w:t>
      </w:r>
    </w:p>
    <w:p>
      <w:pPr>
        <w:numPr>
          <w:ilvl w:val="0"/>
          <w:numId w:val="1015"/>
        </w:numPr>
      </w:pPr>
      <w:r>
        <w:rPr>
          <w:bCs/>
          <w:b/>
        </w:rPr>
        <w:t xml:space="preserve">Operational Considerations</w:t>
      </w:r>
      <w:r>
        <w:t xml:space="preserve">: Ease of implementation, maintenance requirements, and long-term reliability.</w:t>
      </w:r>
    </w:p>
    <w:bookmarkEnd w:id="51"/>
    <w:bookmarkStart w:id="56" w:name="available-gas-management-options"/>
    <w:p>
      <w:pPr>
        <w:pStyle w:val="Heading3"/>
      </w:pPr>
      <w:r>
        <w:t xml:space="preserve">6.2 Available Gas Management Options</w:t>
      </w:r>
    </w:p>
    <w:bookmarkStart w:id="52" w:name="continued-operation-of-current-system"/>
    <w:p>
      <w:pPr>
        <w:pStyle w:val="Heading4"/>
      </w:pPr>
      <w:r>
        <w:t xml:space="preserve">6.2.1 Continued Operation of Current System</w:t>
      </w:r>
    </w:p>
    <w:p>
      <w:pPr>
        <w:pStyle w:val="FirstParagraph"/>
      </w:pPr>
      <w:r>
        <w:t xml:space="preserve">The current flare system could potentially continue to operate in batch mode as gas generation declines. However, this approach has several limitations:</w:t>
      </w:r>
    </w:p>
    <w:p>
      <w:pPr>
        <w:numPr>
          <w:ilvl w:val="0"/>
          <w:numId w:val="1016"/>
        </w:numPr>
        <w:pStyle w:val="Compact"/>
      </w:pPr>
      <w:r>
        <w:t xml:space="preserve">Increasing inefficiency as gas quality continues to decline</w:t>
      </w:r>
    </w:p>
    <w:p>
      <w:pPr>
        <w:numPr>
          <w:ilvl w:val="0"/>
          <w:numId w:val="1016"/>
        </w:numPr>
        <w:pStyle w:val="Compact"/>
      </w:pPr>
      <w:r>
        <w:t xml:space="preserve">Potential for incomplete combustion if methane concentrations fall too low</w:t>
      </w:r>
    </w:p>
    <w:p>
      <w:pPr>
        <w:numPr>
          <w:ilvl w:val="0"/>
          <w:numId w:val="1016"/>
        </w:numPr>
        <w:pStyle w:val="Compact"/>
      </w:pPr>
      <w:r>
        <w:t xml:space="preserve">Operational challenges in maintaining effective flaring</w:t>
      </w:r>
    </w:p>
    <w:bookmarkEnd w:id="52"/>
    <w:bookmarkStart w:id="53" w:name="low-cv-high-temperature-flare"/>
    <w:p>
      <w:pPr>
        <w:pStyle w:val="Heading4"/>
      </w:pPr>
      <w:r>
        <w:t xml:space="preserve">6.2.2 Low-CV High Temperature Flare</w:t>
      </w:r>
    </w:p>
    <w:p>
      <w:pPr>
        <w:pStyle w:val="FirstParagraph"/>
      </w:pPr>
      <w:r>
        <w:t xml:space="preserve">Low-CV flares are specifically designed to be capable of achieving combustion of low-calorific value landfill gas at temperatures between 1,000°C and 1,200°C with a retention time of 0.3 to 0.6 seconds. These flares can typically operate with gas compositions between 10% or 15% and 25%+ methane and with volumetric flows of 10-100+ m³/hr.</w:t>
      </w:r>
    </w:p>
    <w:p>
      <w:pPr>
        <w:pStyle w:val="BodyText"/>
      </w:pPr>
      <w:r>
        <w:t xml:space="preserve">Advantages:</w:t>
      </w:r>
      <w:r>
        <w:t xml:space="preserve"> </w:t>
      </w:r>
      <w:r>
        <w:t xml:space="preserve">- Can effectively manage lower methane concentrations</w:t>
      </w:r>
      <w:r>
        <w:t xml:space="preserve"> </w:t>
      </w:r>
      <w:r>
        <w:t xml:space="preserve">- Meets regulatory temperature and retention time requirements</w:t>
      </w:r>
      <w:r>
        <w:t xml:space="preserve"> </w:t>
      </w:r>
      <w:r>
        <w:t xml:space="preserve">- Proven technology with multiple suppliers</w:t>
      </w:r>
    </w:p>
    <w:p>
      <w:pPr>
        <w:pStyle w:val="BodyText"/>
      </w:pPr>
      <w:r>
        <w:t xml:space="preserve">Disadvantages:</w:t>
      </w:r>
      <w:r>
        <w:t xml:space="preserve"> </w:t>
      </w:r>
      <w:r>
        <w:t xml:space="preserve">- Higher capital cost compared to conventional flares</w:t>
      </w:r>
      <w:r>
        <w:t xml:space="preserve"> </w:t>
      </w:r>
      <w:r>
        <w:t xml:space="preserve">- May still require batch operation as gas generation continues to decline</w:t>
      </w:r>
    </w:p>
    <w:bookmarkEnd w:id="53"/>
    <w:bookmarkStart w:id="54" w:name="biofilters-or-biocovers"/>
    <w:p>
      <w:pPr>
        <w:pStyle w:val="Heading4"/>
      </w:pPr>
      <w:r>
        <w:t xml:space="preserve">6.2.3 Biofilters or Biocovers</w:t>
      </w:r>
    </w:p>
    <w:p>
      <w:pPr>
        <w:pStyle w:val="FirstParagraph"/>
      </w:pPr>
      <w:r>
        <w:t xml:space="preserve">Biofilters and biocovers are passive methods of mitigating landfill gas emissions through biological oxidation of methane.</w:t>
      </w:r>
    </w:p>
    <w:p>
      <w:pPr>
        <w:pStyle w:val="BodyText"/>
      </w:pPr>
      <w:r>
        <w:t xml:space="preserve">A biofilter consists of a porous material layer and an organic material (often compost) layer to oxidize methane in landfill gas. A biocover is a porous material layer laid directly on top of a landfill which is then covered by an oxidizing layer of mature compost.</w:t>
      </w:r>
    </w:p>
    <w:p>
      <w:pPr>
        <w:pStyle w:val="BodyText"/>
      </w:pPr>
      <w:r>
        <w:t xml:space="preserve">Advantages:</w:t>
      </w:r>
      <w:r>
        <w:t xml:space="preserve"> </w:t>
      </w:r>
      <w:r>
        <w:t xml:space="preserve">- Can effectively manage very low methane concentrations</w:t>
      </w:r>
      <w:r>
        <w:t xml:space="preserve"> </w:t>
      </w:r>
      <w:r>
        <w:t xml:space="preserve">- Lower operational costs once established</w:t>
      </w:r>
      <w:r>
        <w:t xml:space="preserve"> </w:t>
      </w:r>
      <w:r>
        <w:t xml:space="preserve">- No secondary air pollutant emissions</w:t>
      </w:r>
    </w:p>
    <w:p>
      <w:pPr>
        <w:pStyle w:val="BodyText"/>
      </w:pPr>
      <w:r>
        <w:t xml:space="preserve">Disadvantages:</w:t>
      </w:r>
      <w:r>
        <w:t xml:space="preserve"> </w:t>
      </w:r>
      <w:r>
        <w:t xml:space="preserve">- May not fully comply with the Landfill Directive requirement to flare gas</w:t>
      </w:r>
      <w:r>
        <w:t xml:space="preserve"> </w:t>
      </w:r>
      <w:r>
        <w:t xml:space="preserve">- Variable oxidation rates depending on environmental conditions</w:t>
      </w:r>
      <w:r>
        <w:t xml:space="preserve"> </w:t>
      </w:r>
      <w:r>
        <w:t xml:space="preserve">- Limited commercial applications in the UK</w:t>
      </w:r>
    </w:p>
    <w:bookmarkEnd w:id="54"/>
    <w:bookmarkStart w:id="55" w:name="Xeaafed297fa4810ec6cbce9a472d8a6623971f7"/>
    <w:p>
      <w:pPr>
        <w:pStyle w:val="Heading4"/>
      </w:pPr>
      <w:r>
        <w:t xml:space="preserve">6.2.4 Intermittent Flaring with Modified System</w:t>
      </w:r>
    </w:p>
    <w:p>
      <w:pPr>
        <w:pStyle w:val="FirstParagraph"/>
      </w:pPr>
      <w:r>
        <w:t xml:space="preserve">Intermittent flaring involves operating a flare over a certain time period (for example, a few hours per day) to effectively increase the flow rate of landfill gas to the flare and potentially increase the methane content by allowing the landfill to act as a gas holder during periods without flaring.</w:t>
      </w:r>
    </w:p>
    <w:p>
      <w:pPr>
        <w:pStyle w:val="BodyText"/>
      </w:pPr>
      <w:r>
        <w:t xml:space="preserve">Advantages:</w:t>
      </w:r>
      <w:r>
        <w:t xml:space="preserve"> </w:t>
      </w:r>
      <w:r>
        <w:t xml:space="preserve">- Can utilize existing infrastructure with modifications</w:t>
      </w:r>
      <w:r>
        <w:t xml:space="preserve"> </w:t>
      </w:r>
      <w:r>
        <w:t xml:space="preserve">- Potentially more cost-effective than installing a new system</w:t>
      </w:r>
      <w:r>
        <w:t xml:space="preserve"> </w:t>
      </w:r>
      <w:r>
        <w:t xml:space="preserve">- Can be automated to optimize gas collection</w:t>
      </w:r>
    </w:p>
    <w:p>
      <w:pPr>
        <w:pStyle w:val="BodyText"/>
      </w:pPr>
      <w:r>
        <w:t xml:space="preserve">Disadvantages:</w:t>
      </w:r>
      <w:r>
        <w:t xml:space="preserve"> </w:t>
      </w:r>
      <w:r>
        <w:t xml:space="preserve">- Increased emissions during periods when the flare is inactive</w:t>
      </w:r>
      <w:r>
        <w:t xml:space="preserve"> </w:t>
      </w:r>
      <w:r>
        <w:t xml:space="preserve">- May not be sustainable as gas generation continues to decline</w:t>
      </w:r>
      <w:r>
        <w:t xml:space="preserve"> </w:t>
      </w:r>
      <w:r>
        <w:t xml:space="preserve">- Requires careful management to maintain effective operation</w:t>
      </w:r>
    </w:p>
    <w:bookmarkEnd w:id="55"/>
    <w:bookmarkEnd w:id="56"/>
    <w:bookmarkStart w:id="57" w:name="comparative-analysis"/>
    <w:p>
      <w:pPr>
        <w:pStyle w:val="Heading3"/>
      </w:pPr>
      <w:r>
        <w:t xml:space="preserve">6.3 Comparative Analysis</w:t>
      </w:r>
    </w:p>
    <w:tbl>
      <w:tblPr>
        <w:tblStyle w:val="Table"/>
        <w:tblW w:type="pct" w:w="5000"/>
        <w:tblLook w:firstRow="1" w:lastRow="0" w:firstColumn="0" w:lastColumn="0" w:noHBand="0" w:noVBand="0" w:val="0020"/>
      </w:tblPr>
      <w:tblGrid>
        <w:gridCol w:w="510"/>
        <w:gridCol w:w="1405"/>
        <w:gridCol w:w="1405"/>
        <w:gridCol w:w="1660"/>
        <w:gridCol w:w="1213"/>
        <w:gridCol w:w="1724"/>
      </w:tblGrid>
      <w:tr>
        <w:trPr>
          <w:tblHeader w:val="true"/>
        </w:trPr>
        <w:tc>
          <w:tcPr/>
          <w:p>
            <w:pPr>
              <w:pStyle w:val="Compact"/>
              <w:jc w:val="left"/>
            </w:pPr>
            <w:r>
              <w:t xml:space="preserve">Option</w:t>
            </w:r>
          </w:p>
        </w:tc>
        <w:tc>
          <w:tcPr/>
          <w:p>
            <w:pPr>
              <w:pStyle w:val="Compact"/>
              <w:jc w:val="left"/>
            </w:pPr>
            <w:r>
              <w:t xml:space="preserve">Technical Feasibility</w:t>
            </w:r>
          </w:p>
        </w:tc>
        <w:tc>
          <w:tcPr/>
          <w:p>
            <w:pPr>
              <w:pStyle w:val="Compact"/>
              <w:jc w:val="left"/>
            </w:pPr>
            <w:r>
              <w:t xml:space="preserve">Regulatory Compliance</w:t>
            </w:r>
          </w:p>
        </w:tc>
        <w:tc>
          <w:tcPr/>
          <w:p>
            <w:pPr>
              <w:pStyle w:val="Compact"/>
              <w:jc w:val="left"/>
            </w:pPr>
            <w:r>
              <w:t xml:space="preserve">Environmental Performance</w:t>
            </w:r>
          </w:p>
        </w:tc>
        <w:tc>
          <w:tcPr/>
          <w:p>
            <w:pPr>
              <w:pStyle w:val="Compact"/>
              <w:jc w:val="left"/>
            </w:pPr>
            <w:r>
              <w:t xml:space="preserve">Cost-Effectiveness</w:t>
            </w:r>
          </w:p>
        </w:tc>
        <w:tc>
          <w:tcPr/>
          <w:p>
            <w:pPr>
              <w:pStyle w:val="Compact"/>
              <w:jc w:val="left"/>
            </w:pPr>
            <w:r>
              <w:t xml:space="preserve">Operational Considerations</w:t>
            </w:r>
          </w:p>
        </w:tc>
      </w:tr>
      <w:tr>
        <w:tc>
          <w:tcPr/>
          <w:p>
            <w:pPr>
              <w:pStyle w:val="Compact"/>
              <w:jc w:val="left"/>
            </w:pPr>
            <w:r>
              <w:t xml:space="preserve">Current System</w:t>
            </w:r>
          </w:p>
        </w:tc>
        <w:tc>
          <w:tcPr/>
          <w:p>
            <w:pPr>
              <w:pStyle w:val="Compact"/>
              <w:jc w:val="left"/>
            </w:pPr>
            <w:r>
              <w:t xml:space="preserve">Low - Declining gas quality will make operation increasingly difficult</w:t>
            </w:r>
          </w:p>
        </w:tc>
        <w:tc>
          <w:tcPr/>
          <w:p>
            <w:pPr>
              <w:pStyle w:val="Compact"/>
              <w:jc w:val="left"/>
            </w:pPr>
            <w:r>
              <w:t xml:space="preserve">Medium - Currently compliant but may not remain so</w:t>
            </w:r>
          </w:p>
        </w:tc>
        <w:tc>
          <w:tcPr/>
          <w:p>
            <w:pPr>
              <w:pStyle w:val="Compact"/>
              <w:jc w:val="left"/>
            </w:pPr>
            <w:r>
              <w:t xml:space="preserve">Low - Increasing risk of incomplete combustion</w:t>
            </w:r>
          </w:p>
        </w:tc>
        <w:tc>
          <w:tcPr/>
          <w:p>
            <w:pPr>
              <w:pStyle w:val="Compact"/>
              <w:jc w:val="left"/>
            </w:pPr>
            <w:r>
              <w:t xml:space="preserve">High - No additional capital cost</w:t>
            </w:r>
          </w:p>
        </w:tc>
        <w:tc>
          <w:tcPr/>
          <w:p>
            <w:pPr>
              <w:pStyle w:val="Compact"/>
              <w:jc w:val="left"/>
            </w:pPr>
            <w:r>
              <w:t xml:space="preserve">Low - Increasing operational challenges</w:t>
            </w:r>
          </w:p>
        </w:tc>
      </w:tr>
      <w:tr>
        <w:tc>
          <w:tcPr/>
          <w:p>
            <w:pPr>
              <w:pStyle w:val="Compact"/>
              <w:jc w:val="left"/>
            </w:pPr>
            <w:r>
              <w:t xml:space="preserve">Low-CV Flare</w:t>
            </w:r>
          </w:p>
        </w:tc>
        <w:tc>
          <w:tcPr/>
          <w:p>
            <w:pPr>
              <w:pStyle w:val="Compact"/>
              <w:jc w:val="left"/>
            </w:pPr>
            <w:r>
              <w:t xml:space="preserve">High - Specifically designed for low methane concentrations</w:t>
            </w:r>
          </w:p>
        </w:tc>
        <w:tc>
          <w:tcPr/>
          <w:p>
            <w:pPr>
              <w:pStyle w:val="Compact"/>
              <w:jc w:val="left"/>
            </w:pPr>
            <w:r>
              <w:t xml:space="preserve">High - Meets temperature and retention requirements</w:t>
            </w:r>
          </w:p>
        </w:tc>
        <w:tc>
          <w:tcPr/>
          <w:p>
            <w:pPr>
              <w:pStyle w:val="Compact"/>
              <w:jc w:val="left"/>
            </w:pPr>
            <w:r>
              <w:t xml:space="preserve">High - Efficient destruction of methane</w:t>
            </w:r>
          </w:p>
        </w:tc>
        <w:tc>
          <w:tcPr/>
          <w:p>
            <w:pPr>
              <w:pStyle w:val="Compact"/>
              <w:jc w:val="left"/>
            </w:pPr>
            <w:r>
              <w:t xml:space="preserve">Medium - Higher capital cost but effective operation</w:t>
            </w:r>
          </w:p>
        </w:tc>
        <w:tc>
          <w:tcPr/>
          <w:p>
            <w:pPr>
              <w:pStyle w:val="Compact"/>
              <w:jc w:val="left"/>
            </w:pPr>
            <w:r>
              <w:t xml:space="preserve">Medium - Requires professional maintenance</w:t>
            </w:r>
          </w:p>
        </w:tc>
      </w:tr>
      <w:tr>
        <w:tc>
          <w:tcPr/>
          <w:p>
            <w:pPr>
              <w:pStyle w:val="Compact"/>
              <w:jc w:val="left"/>
            </w:pPr>
            <w:r>
              <w:t xml:space="preserve">Biofilters/Biocovers</w:t>
            </w:r>
          </w:p>
        </w:tc>
        <w:tc>
          <w:tcPr/>
          <w:p>
            <w:pPr>
              <w:pStyle w:val="Compact"/>
              <w:jc w:val="left"/>
            </w:pPr>
            <w:r>
              <w:t xml:space="preserve">Medium - Effective for very low concentrations but variable performance</w:t>
            </w:r>
          </w:p>
        </w:tc>
        <w:tc>
          <w:tcPr/>
          <w:p>
            <w:pPr>
              <w:pStyle w:val="Compact"/>
              <w:jc w:val="left"/>
            </w:pPr>
            <w:r>
              <w:t xml:space="preserve">Low - May not meet flaring requirement</w:t>
            </w:r>
          </w:p>
        </w:tc>
        <w:tc>
          <w:tcPr/>
          <w:p>
            <w:pPr>
              <w:pStyle w:val="Compact"/>
              <w:jc w:val="left"/>
            </w:pPr>
            <w:r>
              <w:t xml:space="preserve">Medium - Variable oxidation rates</w:t>
            </w:r>
          </w:p>
        </w:tc>
        <w:tc>
          <w:tcPr/>
          <w:p>
            <w:pPr>
              <w:pStyle w:val="Compact"/>
              <w:jc w:val="left"/>
            </w:pPr>
            <w:r>
              <w:t xml:space="preserve">High - Low operational costs</w:t>
            </w:r>
          </w:p>
        </w:tc>
        <w:tc>
          <w:tcPr/>
          <w:p>
            <w:pPr>
              <w:pStyle w:val="Compact"/>
              <w:jc w:val="left"/>
            </w:pPr>
            <w:r>
              <w:t xml:space="preserve">High - Simple operation once established</w:t>
            </w:r>
          </w:p>
        </w:tc>
      </w:tr>
      <w:tr>
        <w:tc>
          <w:tcPr/>
          <w:p>
            <w:pPr>
              <w:pStyle w:val="Compact"/>
              <w:jc w:val="left"/>
            </w:pPr>
            <w:r>
              <w:t xml:space="preserve">Intermittent Flaring (Modified)</w:t>
            </w:r>
          </w:p>
        </w:tc>
        <w:tc>
          <w:tcPr/>
          <w:p>
            <w:pPr>
              <w:pStyle w:val="Compact"/>
              <w:jc w:val="left"/>
            </w:pPr>
            <w:r>
              <w:t xml:space="preserve">Medium - Temporary solution as gas continues to decline</w:t>
            </w:r>
          </w:p>
        </w:tc>
        <w:tc>
          <w:tcPr/>
          <w:p>
            <w:pPr>
              <w:pStyle w:val="Compact"/>
              <w:jc w:val="left"/>
            </w:pPr>
            <w:r>
              <w:t xml:space="preserve">Medium - Compliant if properly managed</w:t>
            </w:r>
          </w:p>
        </w:tc>
        <w:tc>
          <w:tcPr/>
          <w:p>
            <w:pPr>
              <w:pStyle w:val="Compact"/>
              <w:jc w:val="left"/>
            </w:pPr>
            <w:r>
              <w:t xml:space="preserve">Medium - Emissions during inactive periods</w:t>
            </w:r>
          </w:p>
        </w:tc>
        <w:tc>
          <w:tcPr/>
          <w:p>
            <w:pPr>
              <w:pStyle w:val="Compact"/>
              <w:jc w:val="left"/>
            </w:pPr>
            <w:r>
              <w:t xml:space="preserve">Medium - Modification costs</w:t>
            </w:r>
          </w:p>
        </w:tc>
        <w:tc>
          <w:tcPr/>
          <w:p>
            <w:pPr>
              <w:pStyle w:val="Compact"/>
              <w:jc w:val="left"/>
            </w:pPr>
            <w:r>
              <w:t xml:space="preserve">Medium - Requires careful management</w:t>
            </w:r>
          </w:p>
        </w:tc>
      </w:tr>
    </w:tbl>
    <w:bookmarkEnd w:id="57"/>
    <w:bookmarkEnd w:id="58"/>
    <w:bookmarkStart w:id="63" w:name="recommendations"/>
    <w:p>
      <w:pPr>
        <w:pStyle w:val="Heading2"/>
      </w:pPr>
      <w:r>
        <w:t xml:space="preserve">7. Recommendations</w:t>
      </w:r>
    </w:p>
    <w:p>
      <w:pPr>
        <w:pStyle w:val="FirstParagraph"/>
      </w:pPr>
      <w:r>
        <w:t xml:space="preserve">Based on the comprehensive assessment of the current gas generation status, future projections using the modified first-order decay model, and available management options, the following recommendations are made:</w:t>
      </w:r>
    </w:p>
    <w:bookmarkStart w:id="59" w:name="short-term-recommendations-1-2-years"/>
    <w:p>
      <w:pPr>
        <w:pStyle w:val="Heading3"/>
      </w:pPr>
      <w:r>
        <w:t xml:space="preserve">7.1 Short-Term Recommendations (1-2 Years)</w:t>
      </w:r>
    </w:p>
    <w:p>
      <w:pPr>
        <w:numPr>
          <w:ilvl w:val="0"/>
          <w:numId w:val="1017"/>
        </w:numPr>
      </w:pPr>
      <w:r>
        <w:rPr>
          <w:bCs/>
          <w:b/>
        </w:rPr>
        <w:t xml:space="preserve">Install a Low-CV High Temperature Flare</w:t>
      </w:r>
      <w:r>
        <w:t xml:space="preserve">: Replace the current flare system with a low-CV flare with the following specifications:</w:t>
      </w:r>
    </w:p>
    <w:p>
      <w:pPr>
        <w:numPr>
          <w:ilvl w:val="1"/>
          <w:numId w:val="1018"/>
        </w:numPr>
        <w:pStyle w:val="Compact"/>
      </w:pPr>
      <w:r>
        <w:rPr>
          <w:bCs/>
          <w:b/>
        </w:rPr>
        <w:t xml:space="preserve">Type</w:t>
      </w:r>
      <w:r>
        <w:t xml:space="preserve">: Low-CV High Temperature Enclosed Flare</w:t>
      </w:r>
    </w:p>
    <w:p>
      <w:pPr>
        <w:numPr>
          <w:ilvl w:val="1"/>
          <w:numId w:val="1018"/>
        </w:numPr>
        <w:pStyle w:val="Compact"/>
      </w:pPr>
      <w:r>
        <w:rPr>
          <w:bCs/>
          <w:b/>
        </w:rPr>
        <w:t xml:space="preserve">Capacity Range</w:t>
      </w:r>
      <w:r>
        <w:t xml:space="preserve">: 40-150 m³/hr</w:t>
      </w:r>
    </w:p>
    <w:p>
      <w:pPr>
        <w:numPr>
          <w:ilvl w:val="1"/>
          <w:numId w:val="1018"/>
        </w:numPr>
        <w:pStyle w:val="Compact"/>
      </w:pPr>
      <w:r>
        <w:rPr>
          <w:bCs/>
          <w:b/>
        </w:rPr>
        <w:t xml:space="preserve">Methane Range</w:t>
      </w:r>
      <w:r>
        <w:t xml:space="preserve">: 10-30% by volume</w:t>
      </w:r>
    </w:p>
    <w:p>
      <w:pPr>
        <w:numPr>
          <w:ilvl w:val="1"/>
          <w:numId w:val="1018"/>
        </w:numPr>
        <w:pStyle w:val="Compact"/>
      </w:pPr>
      <w:r>
        <w:rPr>
          <w:bCs/>
          <w:b/>
        </w:rPr>
        <w:t xml:space="preserve">Temperature Rating</w:t>
      </w:r>
      <w:r>
        <w:t xml:space="preserve">: 1,000-1,200°C with 0.3 seconds retention time</w:t>
      </w:r>
    </w:p>
    <w:p>
      <w:pPr>
        <w:numPr>
          <w:ilvl w:val="1"/>
          <w:numId w:val="1018"/>
        </w:numPr>
        <w:pStyle w:val="Compact"/>
      </w:pPr>
      <w:r>
        <w:rPr>
          <w:bCs/>
          <w:b/>
        </w:rPr>
        <w:t xml:space="preserve">Control System</w:t>
      </w:r>
      <w:r>
        <w:t xml:space="preserve">: Automated with remote monitoring capabilities</w:t>
      </w:r>
    </w:p>
    <w:p>
      <w:pPr>
        <w:numPr>
          <w:ilvl w:val="1"/>
          <w:numId w:val="1018"/>
        </w:numPr>
        <w:pStyle w:val="Compact"/>
      </w:pPr>
      <w:r>
        <w:rPr>
          <w:bCs/>
          <w:b/>
        </w:rPr>
        <w:t xml:space="preserve">Turndown Ratio</w:t>
      </w:r>
      <w:r>
        <w:t xml:space="preserve">: At least 3:1 to accommodate declining flows</w:t>
      </w:r>
    </w:p>
    <w:p>
      <w:pPr>
        <w:numPr>
          <w:ilvl w:val="0"/>
          <w:numId w:val="1000"/>
        </w:numPr>
      </w:pPr>
      <w:r>
        <w:rPr>
          <w:bCs/>
          <w:b/>
        </w:rPr>
        <w:t xml:space="preserve">Key Features to Include</w:t>
      </w:r>
      <w:r>
        <w:t xml:space="preserve">:</w:t>
      </w:r>
    </w:p>
    <w:p>
      <w:pPr>
        <w:numPr>
          <w:ilvl w:val="1"/>
          <w:numId w:val="1019"/>
        </w:numPr>
        <w:pStyle w:val="Compact"/>
      </w:pPr>
      <w:r>
        <w:t xml:space="preserve">Automated operation: Programmable for both continuous and intermittent operation</w:t>
      </w:r>
    </w:p>
    <w:p>
      <w:pPr>
        <w:numPr>
          <w:ilvl w:val="1"/>
          <w:numId w:val="1019"/>
        </w:numPr>
        <w:pStyle w:val="Compact"/>
      </w:pPr>
      <w:r>
        <w:t xml:space="preserve">Remote monitoring: Telemetry for off-site monitoring and control</w:t>
      </w:r>
    </w:p>
    <w:p>
      <w:pPr>
        <w:numPr>
          <w:ilvl w:val="1"/>
          <w:numId w:val="1019"/>
        </w:numPr>
        <w:pStyle w:val="Compact"/>
      </w:pPr>
      <w:r>
        <w:t xml:space="preserve">Data logging: Continuous recording of operational parameters</w:t>
      </w:r>
    </w:p>
    <w:p>
      <w:pPr>
        <w:numPr>
          <w:ilvl w:val="1"/>
          <w:numId w:val="1019"/>
        </w:numPr>
        <w:pStyle w:val="Compact"/>
      </w:pPr>
      <w:r>
        <w:t xml:space="preserve">Flexible burner design: Optimized for low-CV gas with adjustable air/gas mixing</w:t>
      </w:r>
    </w:p>
    <w:p>
      <w:pPr>
        <w:numPr>
          <w:ilvl w:val="1"/>
          <w:numId w:val="1019"/>
        </w:numPr>
        <w:pStyle w:val="Compact"/>
      </w:pPr>
      <w:r>
        <w:t xml:space="preserve">Weather protection: Suitable for Welsh climate conditions</w:t>
      </w:r>
    </w:p>
    <w:p>
      <w:pPr>
        <w:numPr>
          <w:ilvl w:val="1"/>
          <w:numId w:val="1019"/>
        </w:numPr>
        <w:pStyle w:val="Compact"/>
      </w:pPr>
      <w:r>
        <w:t xml:space="preserve">Supplementary fuel option: Capability to add propane support for future very low methane conditions (though not recommended for regular use)</w:t>
      </w:r>
    </w:p>
    <w:p>
      <w:pPr>
        <w:numPr>
          <w:ilvl w:val="0"/>
          <w:numId w:val="1000"/>
        </w:numPr>
      </w:pPr>
      <w:r>
        <w:rPr>
          <w:bCs/>
          <w:b/>
        </w:rPr>
        <w:t xml:space="preserve">Supplier Considerations</w:t>
      </w:r>
      <w:r>
        <w:t xml:space="preserve">:</w:t>
      </w:r>
      <w:r>
        <w:t xml:space="preserve"> </w:t>
      </w:r>
      <w:r>
        <w:t xml:space="preserve">Multiple suppliers offer suitable low-CV flares, including:</w:t>
      </w:r>
    </w:p>
    <w:p>
      <w:pPr>
        <w:numPr>
          <w:ilvl w:val="1"/>
          <w:numId w:val="1020"/>
        </w:numPr>
        <w:pStyle w:val="Compact"/>
      </w:pPr>
      <w:r>
        <w:t xml:space="preserve">Landfill Systems (UK)</w:t>
      </w:r>
    </w:p>
    <w:p>
      <w:pPr>
        <w:numPr>
          <w:ilvl w:val="1"/>
          <w:numId w:val="1020"/>
        </w:numPr>
        <w:pStyle w:val="Compact"/>
      </w:pPr>
      <w:r>
        <w:t xml:space="preserve">Organics (UK)</w:t>
      </w:r>
    </w:p>
    <w:p>
      <w:pPr>
        <w:numPr>
          <w:ilvl w:val="1"/>
          <w:numId w:val="1020"/>
        </w:numPr>
        <w:pStyle w:val="Compact"/>
      </w:pPr>
      <w:r>
        <w:t xml:space="preserve">Hofstetter (Switzerland)</w:t>
      </w:r>
    </w:p>
    <w:p>
      <w:pPr>
        <w:numPr>
          <w:ilvl w:val="1"/>
          <w:numId w:val="1020"/>
        </w:numPr>
        <w:pStyle w:val="Compact"/>
      </w:pPr>
      <w:r>
        <w:t xml:space="preserve">LFG Technologies (US)</w:t>
      </w:r>
    </w:p>
    <w:p>
      <w:pPr>
        <w:numPr>
          <w:ilvl w:val="0"/>
          <w:numId w:val="1000"/>
        </w:numPr>
      </w:pPr>
      <w:r>
        <w:t xml:space="preserve">It is recommended to request quotations from at least three suppliers with experience in low-CV flare installations at similar closed landfill sites.</w:t>
      </w:r>
    </w:p>
    <w:p>
      <w:pPr>
        <w:numPr>
          <w:ilvl w:val="0"/>
          <w:numId w:val="1017"/>
        </w:numPr>
      </w:pPr>
      <w:r>
        <w:rPr>
          <w:bCs/>
          <w:b/>
        </w:rPr>
        <w:t xml:space="preserve">Optimize Gas Collection System</w:t>
      </w:r>
      <w:r>
        <w:t xml:space="preserve">: Adjust the gas collection system to focus extraction on areas with higher gas quality. This may involve capping and decommissioning wells in unproductive areas to prevent air ingress into the collection system.</w:t>
      </w:r>
    </w:p>
    <w:p>
      <w:pPr>
        <w:numPr>
          <w:ilvl w:val="0"/>
          <w:numId w:val="1017"/>
        </w:numPr>
      </w:pPr>
      <w:r>
        <w:rPr>
          <w:bCs/>
          <w:b/>
        </w:rPr>
        <w:t xml:space="preserve">Implement Enhanced Monitoring</w:t>
      </w:r>
      <w:r>
        <w:t xml:space="preserve">: Establish a more comprehensive monitoring program to track changes in gas quality and quantity, allowing for timely adjustments to the management strategy. This should include:</w:t>
      </w:r>
    </w:p>
    <w:p>
      <w:pPr>
        <w:numPr>
          <w:ilvl w:val="1"/>
          <w:numId w:val="1021"/>
        </w:numPr>
        <w:pStyle w:val="Compact"/>
      </w:pPr>
      <w:r>
        <w:t xml:space="preserve">Regular monitoring of gas composition at each extraction point</w:t>
      </w:r>
    </w:p>
    <w:p>
      <w:pPr>
        <w:numPr>
          <w:ilvl w:val="1"/>
          <w:numId w:val="1021"/>
        </w:numPr>
        <w:pStyle w:val="Compact"/>
      </w:pPr>
      <w:r>
        <w:t xml:space="preserve">Periodic assessment of gas generation rates against the projected decline curve</w:t>
      </w:r>
    </w:p>
    <w:p>
      <w:pPr>
        <w:numPr>
          <w:ilvl w:val="1"/>
          <w:numId w:val="1021"/>
        </w:numPr>
        <w:pStyle w:val="Compact"/>
      </w:pPr>
      <w:r>
        <w:t xml:space="preserve">Monitoring of groundwater levels and their relationship with gas generation</w:t>
      </w:r>
    </w:p>
    <w:bookmarkEnd w:id="59"/>
    <w:bookmarkStart w:id="60" w:name="medium-term-recommendations-3-5-years"/>
    <w:p>
      <w:pPr>
        <w:pStyle w:val="Heading3"/>
      </w:pPr>
      <w:r>
        <w:t xml:space="preserve">7.2 Medium-Term Recommendations (3-5 Years)</w:t>
      </w:r>
    </w:p>
    <w:p>
      <w:pPr>
        <w:numPr>
          <w:ilvl w:val="0"/>
          <w:numId w:val="1022"/>
        </w:numPr>
      </w:pPr>
      <w:r>
        <w:rPr>
          <w:bCs/>
          <w:b/>
        </w:rPr>
        <w:t xml:space="preserve">Evaluate Biofilter/Biocover Implementation</w:t>
      </w:r>
      <w:r>
        <w:t xml:space="preserve">: As methane concentrations continue to decline, begin pilot testing of biofilters or biocovers in selected areas of the site to assess their effectiveness under site-specific conditions. Based on the revised gas generation projections, this should be considered when methane concentrations approach 16% (around 2031-2032).</w:t>
      </w:r>
    </w:p>
    <w:p>
      <w:pPr>
        <w:numPr>
          <w:ilvl w:val="0"/>
          <w:numId w:val="1022"/>
        </w:numPr>
      </w:pPr>
      <w:r>
        <w:rPr>
          <w:bCs/>
          <w:b/>
        </w:rPr>
        <w:t xml:space="preserve">Develop Transition Strategy</w:t>
      </w:r>
      <w:r>
        <w:t xml:space="preserve">: Create a phased approach for transitioning from active flaring to passive management as gas generation continues to decline.</w:t>
      </w:r>
    </w:p>
    <w:p>
      <w:pPr>
        <w:numPr>
          <w:ilvl w:val="0"/>
          <w:numId w:val="1022"/>
        </w:numPr>
      </w:pPr>
      <w:r>
        <w:rPr>
          <w:bCs/>
          <w:b/>
        </w:rPr>
        <w:t xml:space="preserve">Engage with Regulatory Authorities</w:t>
      </w:r>
      <w:r>
        <w:t xml:space="preserve">: Maintain open communication with NRW regarding the evolving gas management strategy to ensure continued regulatory compliance, particularly given the unlined dilute and disperse nature of the site which may require special consideration.</w:t>
      </w:r>
    </w:p>
    <w:bookmarkEnd w:id="60"/>
    <w:bookmarkStart w:id="61" w:name="long-term-recommendations-5-years"/>
    <w:p>
      <w:pPr>
        <w:pStyle w:val="Heading3"/>
      </w:pPr>
      <w:r>
        <w:t xml:space="preserve">7.3 Long-Term Recommendations (5+ Years)</w:t>
      </w:r>
    </w:p>
    <w:p>
      <w:pPr>
        <w:numPr>
          <w:ilvl w:val="0"/>
          <w:numId w:val="1023"/>
        </w:numPr>
      </w:pPr>
      <w:r>
        <w:rPr>
          <w:bCs/>
          <w:b/>
        </w:rPr>
        <w:t xml:space="preserve">Implement Full-Scale Passive Management</w:t>
      </w:r>
      <w:r>
        <w:t xml:space="preserve">: Based on the results of pilot testing, implement a full-scale biofilter or biocover system across the site as gas generation declines below levels suitable for active flaring. According to the revised projections, this would likely be appropriate after 2033-2034 when methane concentrations fall below 15%.</w:t>
      </w:r>
    </w:p>
    <w:p>
      <w:pPr>
        <w:numPr>
          <w:ilvl w:val="0"/>
          <w:numId w:val="1023"/>
        </w:numPr>
      </w:pPr>
      <w:r>
        <w:rPr>
          <w:bCs/>
          <w:b/>
        </w:rPr>
        <w:t xml:space="preserve">Continued Monitoring</w:t>
      </w:r>
      <w:r>
        <w:t xml:space="preserve">: Maintain a monitoring program to verify the effectiveness of the passive management system and identify any areas requiring additional attention.</w:t>
      </w:r>
    </w:p>
    <w:p>
      <w:pPr>
        <w:numPr>
          <w:ilvl w:val="0"/>
          <w:numId w:val="1023"/>
        </w:numPr>
      </w:pPr>
      <w:r>
        <w:rPr>
          <w:bCs/>
          <w:b/>
        </w:rPr>
        <w:t xml:space="preserve">Periodic Reassessment</w:t>
      </w:r>
      <w:r>
        <w:t xml:space="preserve">: Conduct periodic reassessments of the gas management strategy to ensure it remains appropriate for the evolving conditions at the site. This should include recalibration of the gas generation model based on actual observed decline rates.</w:t>
      </w:r>
    </w:p>
    <w:bookmarkEnd w:id="61"/>
    <w:bookmarkStart w:id="62" w:name="implementation-timeline"/>
    <w:p>
      <w:pPr>
        <w:pStyle w:val="Heading3"/>
      </w:pPr>
      <w:r>
        <w:t xml:space="preserve">7.4 Implementation Timeline</w:t>
      </w:r>
    </w:p>
    <w:p>
      <w:pPr>
        <w:numPr>
          <w:ilvl w:val="0"/>
          <w:numId w:val="1024"/>
        </w:numPr>
        <w:pStyle w:val="Compact"/>
      </w:pPr>
      <w:r>
        <w:rPr>
          <w:bCs/>
          <w:b/>
        </w:rPr>
        <w:t xml:space="preserve">Immediate (0-3 months)</w:t>
      </w:r>
      <w:r>
        <w:t xml:space="preserve">: Procurement and design phase for new low-CV flare</w:t>
      </w:r>
    </w:p>
    <w:p>
      <w:pPr>
        <w:numPr>
          <w:ilvl w:val="0"/>
          <w:numId w:val="1024"/>
        </w:numPr>
        <w:pStyle w:val="Compact"/>
      </w:pPr>
      <w:r>
        <w:rPr>
          <w:bCs/>
          <w:b/>
        </w:rPr>
        <w:t xml:space="preserve">Short-term (3-6 months)</w:t>
      </w:r>
      <w:r>
        <w:t xml:space="preserve">: Installation and commissioning of new flare system</w:t>
      </w:r>
    </w:p>
    <w:p>
      <w:pPr>
        <w:numPr>
          <w:ilvl w:val="0"/>
          <w:numId w:val="1024"/>
        </w:numPr>
        <w:pStyle w:val="Compact"/>
      </w:pPr>
      <w:r>
        <w:rPr>
          <w:bCs/>
          <w:b/>
        </w:rPr>
        <w:t xml:space="preserve">Medium-term (6-12 months)</w:t>
      </w:r>
      <w:r>
        <w:t xml:space="preserve">: Optimization and performance verification</w:t>
      </w:r>
    </w:p>
    <w:p>
      <w:pPr>
        <w:numPr>
          <w:ilvl w:val="0"/>
          <w:numId w:val="1024"/>
        </w:numPr>
        <w:pStyle w:val="Compact"/>
      </w:pPr>
      <w:r>
        <w:rPr>
          <w:bCs/>
          <w:b/>
        </w:rPr>
        <w:t xml:space="preserve">Long-term (1-5 years)</w:t>
      </w:r>
      <w:r>
        <w:t xml:space="preserve">: Regular performance reviews and adjustment of operational parameters</w:t>
      </w:r>
    </w:p>
    <w:bookmarkEnd w:id="62"/>
    <w:bookmarkEnd w:id="63"/>
    <w:bookmarkStart w:id="64" w:name="conclusions"/>
    <w:p>
      <w:pPr>
        <w:pStyle w:val="Heading2"/>
      </w:pPr>
      <w:r>
        <w:t xml:space="preserve">8. Conclusions</w:t>
      </w:r>
    </w:p>
    <w:p>
      <w:pPr>
        <w:pStyle w:val="FirstParagraph"/>
      </w:pPr>
      <w:r>
        <w:t xml:space="preserve">Stormy West Landfill Site is in the late stages of gas generation, with declining methane production that has necessitated batch burning operations to manage the gas effectively. The current flare system, rated at 500 m³/hr, is operating at approximately 99% of its available capacity despite declining gas quality, indicating that a more appropriate system is needed for future management.</w:t>
      </w:r>
    </w:p>
    <w:p>
      <w:pPr>
        <w:pStyle w:val="BodyText"/>
      </w:pPr>
      <w:r>
        <w:t xml:space="preserve">Based on a modified first-order decay model adapted for UK conditions and the site’s unlined dilute and disperse characteristics, it is projected that gas generation volumes and methane content will continue to decrease over time following an exponential decay pattern. Specifically, methane concentrations are projected to decline from the current 20.9% to approximately 13.6% by 2035, with flow rates decreasing from 180 m³/hr to approximately 120 m³/hr over the same period.</w:t>
      </w:r>
    </w:p>
    <w:p>
      <w:pPr>
        <w:pStyle w:val="BodyText"/>
      </w:pPr>
      <w:r>
        <w:t xml:space="preserve">The most appropriate short-term solution is to replace the current flare with a low-CV flare capable of operating with methane concentrations as low as 10% and flow rates as low as 40 m³/hr. This will ensure continued regulatory compliance while effectively managing the declining gas quality. In the medium to long term, as methane concentrations continue to decline, consideration should be given to implementing biofilters or biocovers as a passive management approach.</w:t>
      </w:r>
    </w:p>
    <w:p>
      <w:pPr>
        <w:pStyle w:val="BodyText"/>
      </w:pPr>
      <w:r>
        <w:t xml:space="preserve">By implementing these recommendations, Stormy West Landfill can continue to effectively manage landfill gas emissions while adapting to the changing characteristics of gas generation at the site. This approach will ensure continued environmental protection, regulatory compliance, and cost-effective operation.</w:t>
      </w:r>
    </w:p>
    <w:bookmarkEnd w:id="64"/>
    <w:bookmarkStart w:id="65" w:name="references"/>
    <w:p>
      <w:pPr>
        <w:pStyle w:val="Heading2"/>
      </w:pPr>
      <w:r>
        <w:t xml:space="preserve">9. References</w:t>
      </w:r>
    </w:p>
    <w:p>
      <w:pPr>
        <w:numPr>
          <w:ilvl w:val="0"/>
          <w:numId w:val="1025"/>
        </w:numPr>
      </w:pPr>
      <w:r>
        <w:t xml:space="preserve">Environmental Protection Agency (EPA). (2000). Landfill Manuals: Landfill Site Design.</w:t>
      </w:r>
    </w:p>
    <w:p>
      <w:pPr>
        <w:numPr>
          <w:ilvl w:val="0"/>
          <w:numId w:val="1025"/>
        </w:numPr>
      </w:pPr>
      <w:r>
        <w:t xml:space="preserve">Environmental Protection Agency (EPA). (2010). Air Guidance Note – Surface VOC Emissions Monitoring on Landfill Facilities (AG6).</w:t>
      </w:r>
    </w:p>
    <w:p>
      <w:pPr>
        <w:numPr>
          <w:ilvl w:val="0"/>
          <w:numId w:val="1025"/>
        </w:numPr>
      </w:pPr>
      <w:r>
        <w:t xml:space="preserve">Environment Agency of England and Wales. (2002). Guidance on landfill gas flaring, November 2002.</w:t>
      </w:r>
    </w:p>
    <w:p>
      <w:pPr>
        <w:numPr>
          <w:ilvl w:val="0"/>
          <w:numId w:val="1025"/>
        </w:numPr>
      </w:pPr>
      <w:r>
        <w:t xml:space="preserve">Environment Agency of England and Wales. (2009). Case study. Cheshire County Council’s use of low calorific flares on closed historic landfill sites.</w:t>
      </w:r>
    </w:p>
    <w:p>
      <w:pPr>
        <w:numPr>
          <w:ilvl w:val="0"/>
          <w:numId w:val="1025"/>
        </w:numPr>
      </w:pPr>
      <w:r>
        <w:t xml:space="preserve">Farquhar, G.J. and Rovers, F.A. (1973). Gas production during refuse decomposition. Water, Air, and Soil Pollution, 2(4), pp.483-495.</w:t>
      </w:r>
    </w:p>
    <w:p>
      <w:pPr>
        <w:numPr>
          <w:ilvl w:val="0"/>
          <w:numId w:val="1025"/>
        </w:numPr>
      </w:pPr>
      <w:r>
        <w:t xml:space="preserve">IPCC. (2007). Climate change 2007: the physical science basis. Contribution of Working Group I to the Fourth Assessment Report of the Intergovernmental Panel on Climate Change, Cambridge University Press.</w:t>
      </w:r>
    </w:p>
    <w:p>
      <w:pPr>
        <w:numPr>
          <w:ilvl w:val="0"/>
          <w:numId w:val="1025"/>
        </w:numPr>
      </w:pPr>
      <w:r>
        <w:t xml:space="preserve">Landcare (Manchester) Limited. (2024). Annual Environmental Monitoring Report 2024 - Stormy West Landfill Site.</w:t>
      </w:r>
    </w:p>
    <w:p>
      <w:pPr>
        <w:numPr>
          <w:ilvl w:val="0"/>
          <w:numId w:val="1025"/>
        </w:numPr>
      </w:pPr>
      <w:r>
        <w:t xml:space="preserve">LBJ/SW/Flow report. (2025). Landfill Gas Flare Flow Measurement Method Statement - Stormy West Landfill.</w:t>
      </w:r>
    </w:p>
    <w:p>
      <w:pPr>
        <w:numPr>
          <w:ilvl w:val="0"/>
          <w:numId w:val="1025"/>
        </w:numPr>
      </w:pPr>
      <w:r>
        <w:t xml:space="preserve">Stormy West Monitoring - Pivot Analysis 2025. (2025). Monitoring data analysis.</w:t>
      </w:r>
    </w:p>
    <w:p>
      <w:pPr>
        <w:numPr>
          <w:ilvl w:val="0"/>
          <w:numId w:val="1025"/>
        </w:numPr>
      </w:pPr>
      <w:r>
        <w:t xml:space="preserve">U.S. EPA. (2020). Landfill Gas Energy Project Development Handbook.</w:t>
      </w:r>
    </w:p>
    <w:p>
      <w:pPr>
        <w:numPr>
          <w:ilvl w:val="0"/>
          <w:numId w:val="1025"/>
        </w:numPr>
      </w:pPr>
      <w:r>
        <w:t xml:space="preserve">U.S. EPA. (2021). Apply Biofilters or Biocovers. Landfill Methane Outreach Program.</w:t>
      </w:r>
    </w:p>
    <w:p>
      <w:pPr>
        <w:numPr>
          <w:ilvl w:val="0"/>
          <w:numId w:val="1025"/>
        </w:numPr>
      </w:pPr>
      <w:r>
        <w:t xml:space="preserve">U.S. EPA. (2021). Continue to Operate Gas Collection System and Flare. Landfill Methane Outreach Program.</w:t>
      </w:r>
    </w:p>
    <w:p>
      <w:pPr>
        <w:numPr>
          <w:ilvl w:val="0"/>
          <w:numId w:val="1025"/>
        </w:numPr>
      </w:pPr>
      <w:r>
        <w:t xml:space="preserve">U.S. EPA. (2005). Landfill Gas Emissions Model (LandGEM) Version 3.02 User’s Guide. EPA-600/R-05/047.</w:t>
      </w:r>
    </w:p>
    <w:p>
      <w:pPr>
        <w:numPr>
          <w:ilvl w:val="0"/>
          <w:numId w:val="1025"/>
        </w:numPr>
      </w:pPr>
      <w:r>
        <w:t xml:space="preserve">Environment Agency. (2004). Guidance on the management of landfill gas. LFTGN 03.</w:t>
      </w:r>
    </w:p>
    <w:p>
      <w:pPr>
        <w:numPr>
          <w:ilvl w:val="0"/>
          <w:numId w:val="1025"/>
        </w:numPr>
      </w:pPr>
      <w:r>
        <w:t xml:space="preserve">Gregory, R.G., Revans, A.J., Hill, M.D., Meadows, M.P., Paul, L. and Ferguson, C.C. (1999). A Framework to Assess the Risks to Human Health and the Environment from Landfill Gas. R&amp;D Technical Report P271. Environment Agency, Bristol.</w:t>
      </w:r>
    </w:p>
    <w:p>
      <w:pPr>
        <w:numPr>
          <w:ilvl w:val="0"/>
          <w:numId w:val="1025"/>
        </w:numPr>
      </w:pPr>
      <w:r>
        <w:t xml:space="preserve">Caine, M., Steele, A., Beaven, R., Powrie, W., and Hudson, A. (2019). Landfill gas management at dilute and disperse landfill sites in the UK. Waste Management &amp; Research, 37(1), pp.78-88.</w:t>
      </w:r>
    </w:p>
    <w:p>
      <w:pPr>
        <w:numPr>
          <w:ilvl w:val="0"/>
          <w:numId w:val="1025"/>
        </w:numPr>
      </w:pPr>
      <w:r>
        <w:t xml:space="preserve">Environment Agency. (2011). Review of Landfill Gas Modelling. Science Report SC010066.</w:t>
      </w:r>
    </w:p>
    <w:p>
      <w:pPr>
        <w:numPr>
          <w:ilvl w:val="0"/>
          <w:numId w:val="1025"/>
        </w:numPr>
      </w:pPr>
      <w:r>
        <w:t xml:space="preserve">UK Landfill Operators Association. (2018). Comparative Study of Landfill Gas Models for Long-term Management Planning.</w:t>
      </w:r>
    </w:p>
    <w:p>
      <w:pPr>
        <w:numPr>
          <w:ilvl w:val="0"/>
          <w:numId w:val="1025"/>
        </w:numPr>
      </w:pPr>
      <w:r>
        <w:t xml:space="preserve">Golder Associates. (2010). GasSIM 2.5 Manual. Developed for the Environment Agency.</w:t>
      </w:r>
    </w:p>
    <w:p>
      <w:pPr>
        <w:numPr>
          <w:ilvl w:val="0"/>
          <w:numId w:val="1025"/>
        </w:numPr>
      </w:pPr>
      <w:r>
        <w:t xml:space="preserve">Hall, D.H., Drury, D., Keeble, R., Morgans, A. and Wyles, R. (2007). Establishing Equilibrium and Pollutant Removal Requirements for UK Landfills. Environment Agency Science Report P1-465.</w:t>
      </w:r>
    </w:p>
    <w:bookmarkEnd w:id="65"/>
    <w:bookmarkStart w:id="71" w:name="appendices"/>
    <w:p>
      <w:pPr>
        <w:pStyle w:val="Heading2"/>
      </w:pPr>
      <w:r>
        <w:t xml:space="preserve">10. Appendices</w:t>
      </w:r>
    </w:p>
    <w:bookmarkStart w:id="66" w:name="appendix-a-gas-monitoring-data-analysis"/>
    <w:p>
      <w:pPr>
        <w:pStyle w:val="Heading3"/>
      </w:pPr>
      <w:r>
        <w:t xml:space="preserve">Appendix A: Gas Monitoring Data Analysis</w:t>
      </w:r>
    </w:p>
    <w:p>
      <w:pPr>
        <w:pStyle w:val="FirstParagraph"/>
      </w:pPr>
      <w:r>
        <w:t xml:space="preserve">[Detailed analysis of gas monitoring data from Stormy West Landfill Site]</w:t>
      </w:r>
    </w:p>
    <w:bookmarkEnd w:id="66"/>
    <w:bookmarkStart w:id="67" w:name="appendix-b-flow-measurement-methodology"/>
    <w:p>
      <w:pPr>
        <w:pStyle w:val="Heading3"/>
      </w:pPr>
      <w:r>
        <w:t xml:space="preserve">Appendix B: Flow Measurement Methodology</w:t>
      </w:r>
    </w:p>
    <w:p>
      <w:pPr>
        <w:pStyle w:val="FirstParagraph"/>
      </w:pPr>
      <w:r>
        <w:t xml:space="preserve">[Summary of the validated flow measurement procedure for the landfill gas flare system]</w:t>
      </w:r>
    </w:p>
    <w:bookmarkEnd w:id="67"/>
    <w:bookmarkStart w:id="68" w:name="Xc98f75ef9b56e4d66ba0f7072577521eedde546"/>
    <w:p>
      <w:pPr>
        <w:pStyle w:val="Heading3"/>
      </w:pPr>
      <w:r>
        <w:t xml:space="preserve">Appendix C: Landfill Gas Management Technology Comparison</w:t>
      </w:r>
    </w:p>
    <w:p>
      <w:pPr>
        <w:pStyle w:val="FirstParagraph"/>
      </w:pPr>
      <w:r>
        <w:t xml:space="preserve">[Detailed comparison of available technologies for managing low levels of landfill gas]</w:t>
      </w:r>
    </w:p>
    <w:bookmarkEnd w:id="68"/>
    <w:bookmarkStart w:id="69" w:name="appendix-d-regulatory-requirements"/>
    <w:p>
      <w:pPr>
        <w:pStyle w:val="Heading3"/>
      </w:pPr>
      <w:r>
        <w:t xml:space="preserve">Appendix D: Regulatory Requirements</w:t>
      </w:r>
    </w:p>
    <w:p>
      <w:pPr>
        <w:pStyle w:val="FirstParagraph"/>
      </w:pPr>
      <w:r>
        <w:t xml:space="preserve">[Summary of relevant regulatory requirements for landfill gas management in Wales]</w:t>
      </w:r>
    </w:p>
    <w:bookmarkEnd w:id="69"/>
    <w:bookmarkStart w:id="70" w:name="X98899739e08042236d5db0d24cb264e03495172"/>
    <w:p>
      <w:pPr>
        <w:pStyle w:val="Heading3"/>
      </w:pPr>
      <w:r>
        <w:t xml:space="preserve">Appendix E: Gas Generation Modeling Methodology</w:t>
      </w:r>
    </w:p>
    <w:p>
      <w:pPr>
        <w:pStyle w:val="FirstParagraph"/>
      </w:pPr>
      <w:r>
        <w:t xml:space="preserve">[Detailed explanation of the modified first-order decay model and UK-specific adaptations]</w:t>
      </w:r>
    </w:p>
    <w:bookmarkEnd w:id="70"/>
    <w:bookmarkEnd w:id="71"/>
    <w:bookmarkEnd w:id="7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411">
    <w:nsid w:val="A99411"/>
    <w:multiLevelType w:val="multilevel"/>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1">
    <w:abstractNumId w:val="991"/>
  </w:num>
  <w:num w:numId="101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3">
    <w:abstractNumId w:val="991"/>
  </w:num>
  <w:num w:numId="101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6">
    <w:abstractNumId w:val="991"/>
  </w:num>
  <w:num w:numId="101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8">
    <w:abstractNumId w:val="991"/>
  </w:num>
  <w:num w:numId="1019">
    <w:abstractNumId w:val="991"/>
  </w:num>
  <w:num w:numId="1020">
    <w:abstractNumId w:val="991"/>
  </w:num>
  <w:num w:numId="1021">
    <w:abstractNumId w:val="991"/>
  </w:num>
  <w:num w:numId="102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openxmlformats.org/officeDocument/2006/relationships/settings" Target="settings.xml"/><Relationship Id="rId47" Type="http://schemas.openxmlformats.org/officeDocument/2006/relationships/customXml" Target="../customXml/item3.xml"/><Relationship Id="rId7" Type="http://schemas.openxmlformats.org/officeDocument/2006/relationships/footnotes" Target="footnotes.xml"/><Relationship Id="rId46"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45" Type="http://schemas.openxmlformats.org/officeDocument/2006/relationships/customXml" Target="../customXml/item1.xml"/><Relationship Id="rId5" Type="http://schemas.openxmlformats.org/officeDocument/2006/relationships/fontTable" Target="fontTable.xml"/><Relationship Id="rId49" Type="http://schemas.openxmlformats.org/officeDocument/2006/relationships/customXml" Target="../customXml/item5.xml"/><Relationship Id="rId44" Type="http://schemas.openxmlformats.org/officeDocument/2006/relationships/image" Target="media/rId44.png"/><Relationship Id="rId4" Type="http://schemas.openxmlformats.org/officeDocument/2006/relationships/webSettings" Target="webSettings.xml"/><Relationship Id="rId48"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84" ma:contentTypeDescription="Permitting &amp; Compliance Word Document" ma:contentTypeScope="" ma:versionID="c8f4588f70cd0c6d46d4f177e6bdfa96">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5b2a9aac52d4526ff02e2de4154738a7"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dexed="tru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43"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Stormy West Landfill</Site_x0020_Name>
    <Internal_x002f_External xmlns="859f7ad6-93f6-4205-b62b-a17f28acbbac">Incoming document</Internal_x002f_External>
    <Post_x0020_code xmlns="859f7ad6-93f6-4205-b62b-a17f28acbbac">CF32 0NP</Post_x0020_code>
    <TaxCatchAll xmlns="859f7ad6-93f6-4205-b62b-a17f28acbbac" xsi:nil="true"/>
    <lcf76f155ced4ddcb4097134ff3c332f xmlns="2cd7809e-5722-48ef-a95b-f8b7179f3015">
      <Terms xmlns="http://schemas.microsoft.com/office/infopath/2007/PartnerControls"/>
    </lcf76f155ced4ddcb4097134ff3c332f>
    <IconOverlay xmlns="http://schemas.microsoft.com/sharepoint/v4" xsi:nil="true"/>
    <Document_x0020_Type xmlns="859f7ad6-93f6-4205-b62b-a17f28acbbac">Report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Mr Richard Beattie 121 Moffat Street Glasgow G5 0ND 0141 4297724</Addressee>
    <Process_x0020_Type xmlns="859f7ad6-93f6-4205-b62b-a17f28acbbac">Monitoring</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2025-10-13T23:00:00+00:00</Document_x0020_Date>
    <Facility_x0020_Address xmlns="859f7ad6-93f6-4205-b62b-a17f28acbbac">Stormy West landfill, Pyle, Bridgend</Facility_x0020_Address>
    <Environment_x0020_Sub_x0020_Folder xmlns="859f7ad6-93f6-4205-b62b-a17f28acbbac">Engineering</Environment_x0020_Sub_x0020_Folder>
    <Customer_x0020_Name xmlns="859f7ad6-93f6-4205-b62b-a17f28acbbac">Landcare (Manchester) Limited</Customer_x0020_Name>
    <Surrendered_x002f_Expired_x0020_Date xmlns="859f7ad6-93f6-4205-b62b-a17f28acbbac" xsi:nil="true"/>
    <_dlc_DocId xmlns="9be56660-2c31-41ef-bc00-23e72f632f2a">REGU-219-5543454</_dlc_DocId>
    <_dlc_DocIdUrl xmlns="9be56660-2c31-41ef-bc00-23e72f632f2a">
      <Url>https://cyfoethnaturiolcymru.sharepoint.com/teams/Regulatory/Permitting/_layouts/15/DocIdRedir.aspx?ID=REGU-219-5543454</Url>
      <Description>REGU-219-5543454</Description>
    </_dlc_DocIdUrl>
  </documentManagement>
</p:properties>
</file>

<file path=customXml/itemProps1.xml><?xml version="1.0" encoding="utf-8"?>
<ds:datastoreItem xmlns:ds="http://schemas.openxmlformats.org/officeDocument/2006/customXml" ds:itemID="{5701FA11-708B-47BB-B226-3E4900BD8DFB}"/>
</file>

<file path=customXml/itemProps2.xml><?xml version="1.0" encoding="utf-8"?>
<ds:datastoreItem xmlns:ds="http://schemas.openxmlformats.org/officeDocument/2006/customXml" ds:itemID="{7C93420D-AFE0-4203-BED7-7AF53F38D3D4}"/>
</file>

<file path=customXml/itemProps3.xml><?xml version="1.0" encoding="utf-8"?>
<ds:datastoreItem xmlns:ds="http://schemas.openxmlformats.org/officeDocument/2006/customXml" ds:itemID="{EB444783-015B-41B7-B2A2-328021AC7208}"/>
</file>

<file path=customXml/itemProps4.xml><?xml version="1.0" encoding="utf-8"?>
<ds:datastoreItem xmlns:ds="http://schemas.openxmlformats.org/officeDocument/2006/customXml" ds:itemID="{ABFC9CA2-FC1A-4813-8FDC-E7121A9AE72C}"/>
</file>

<file path=customXml/itemProps5.xml><?xml version="1.0" encoding="utf-8"?>
<ds:datastoreItem xmlns:ds="http://schemas.openxmlformats.org/officeDocument/2006/customXml" ds:itemID="{D20E192A-CC55-42D4-BDBF-AF7542ADC807}"/>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2025-09-16T12:36:46Z</dcterms:created>
  <dcterms:modified xsi:type="dcterms:W3CDTF">2025-09-16T12:36:46Z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_dlc_DocIdItemGuid">
    <vt:lpwstr>45db9e01-c945-43a0-bf37-f255b8ed79b7</vt:lpwstr>
  </property>
  <property fmtid="{D5CDD505-2E9C-101B-9397-08002B2CF9AE}" pid="4" name="Order">
    <vt:r8>554345400</vt:r8>
  </property>
  <property fmtid="{D5CDD505-2E9C-101B-9397-08002B2CF9AE}" pid="5" name="MediaServiceImageTags">
    <vt:lpwstr/>
  </property>
</Properties>
</file>