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34BCAC0" w:rsidR="00D04424" w:rsidRPr="003403A5" w:rsidRDefault="0014332B" w:rsidP="003719AD">
      <w:pPr>
        <w:pStyle w:val="Heading1"/>
        <w:spacing w:before="0" w:after="0"/>
        <w:jc w:val="left"/>
        <w:rPr>
          <w:bCs/>
          <w:color w:val="0D0D0D" w:themeColor="text1" w:themeTint="F2"/>
          <w:sz w:val="32"/>
        </w:rPr>
      </w:pPr>
      <w:r w:rsidRPr="003403A5">
        <w:rPr>
          <w:bCs/>
          <w:color w:val="0D0D0D" w:themeColor="text1" w:themeTint="F2"/>
          <w:sz w:val="32"/>
        </w:rPr>
        <w:t>Bespoke p</w:t>
      </w:r>
      <w:r w:rsidR="00D04424" w:rsidRPr="003403A5">
        <w:rPr>
          <w:bCs/>
          <w:color w:val="0D0D0D" w:themeColor="text1" w:themeTint="F2"/>
          <w:sz w:val="32"/>
        </w:rPr>
        <w:t>ermit</w:t>
      </w:r>
      <w:r w:rsidR="00B73ECB" w:rsidRPr="003403A5">
        <w:rPr>
          <w:bCs/>
          <w:color w:val="0D0D0D" w:themeColor="text1" w:themeTint="F2"/>
          <w:sz w:val="32"/>
        </w:rPr>
        <w:t xml:space="preserve"> </w:t>
      </w:r>
    </w:p>
    <w:p w14:paraId="41AC372F" w14:textId="77777777" w:rsidR="00136717" w:rsidRPr="003403A5" w:rsidRDefault="00136717" w:rsidP="00136717">
      <w:pPr>
        <w:rPr>
          <w:color w:val="0D0D0D" w:themeColor="text1" w:themeTint="F2"/>
        </w:rPr>
      </w:pPr>
    </w:p>
    <w:p w14:paraId="0FF1524F" w14:textId="77777777" w:rsidR="007820C3" w:rsidRPr="003403A5" w:rsidRDefault="007820C3" w:rsidP="00D04424">
      <w:pPr>
        <w:rPr>
          <w:rFonts w:ascii="Arial" w:hAnsi="Arial" w:cs="Arial"/>
          <w:color w:val="0D0D0D" w:themeColor="text1" w:themeTint="F2"/>
          <w:szCs w:val="24"/>
        </w:rPr>
      </w:pPr>
    </w:p>
    <w:p w14:paraId="0FF15250" w14:textId="1DDFB912" w:rsidR="00D04424" w:rsidRPr="003403A5" w:rsidRDefault="0060457F" w:rsidP="00777687">
      <w:pPr>
        <w:spacing w:after="120"/>
        <w:rPr>
          <w:rFonts w:ascii="Arial" w:hAnsi="Arial" w:cs="Arial"/>
          <w:color w:val="0D0D0D" w:themeColor="text1" w:themeTint="F2"/>
          <w:szCs w:val="24"/>
        </w:rPr>
      </w:pPr>
      <w:r w:rsidRPr="003403A5">
        <w:rPr>
          <w:rFonts w:ascii="Arial" w:hAnsi="Arial" w:cs="Arial"/>
          <w:color w:val="0D0D0D" w:themeColor="text1" w:themeTint="F2"/>
          <w:szCs w:val="24"/>
        </w:rPr>
        <w:t xml:space="preserve">We have decided to </w:t>
      </w:r>
      <w:r w:rsidR="00D2020E" w:rsidRPr="003403A5">
        <w:rPr>
          <w:rFonts w:ascii="Arial" w:hAnsi="Arial" w:cs="Arial"/>
          <w:color w:val="0D0D0D" w:themeColor="text1" w:themeTint="F2"/>
          <w:szCs w:val="24"/>
        </w:rPr>
        <w:t xml:space="preserve">grant </w:t>
      </w:r>
      <w:r w:rsidRPr="003403A5">
        <w:rPr>
          <w:rFonts w:ascii="Arial" w:hAnsi="Arial" w:cs="Arial"/>
          <w:color w:val="0D0D0D" w:themeColor="text1" w:themeTint="F2"/>
          <w:szCs w:val="24"/>
        </w:rPr>
        <w:t xml:space="preserve">the permit for </w:t>
      </w:r>
      <w:r w:rsidR="00777687" w:rsidRPr="003403A5">
        <w:rPr>
          <w:rFonts w:ascii="Arial" w:hAnsi="Arial" w:cs="Arial"/>
          <w:color w:val="0D0D0D" w:themeColor="text1" w:themeTint="F2"/>
          <w:szCs w:val="24"/>
        </w:rPr>
        <w:t xml:space="preserve">No.1 to 4 </w:t>
      </w:r>
      <w:proofErr w:type="spellStart"/>
      <w:r w:rsidR="00777687" w:rsidRPr="003403A5">
        <w:rPr>
          <w:rFonts w:ascii="Arial" w:hAnsi="Arial" w:cs="Arial"/>
          <w:color w:val="0D0D0D" w:themeColor="text1" w:themeTint="F2"/>
          <w:szCs w:val="24"/>
        </w:rPr>
        <w:t>Bodlonfa</w:t>
      </w:r>
      <w:proofErr w:type="spellEnd"/>
      <w:r w:rsidR="00777687" w:rsidRPr="003403A5">
        <w:rPr>
          <w:rFonts w:ascii="Arial" w:hAnsi="Arial" w:cs="Arial"/>
          <w:color w:val="0D0D0D" w:themeColor="text1" w:themeTint="F2"/>
          <w:szCs w:val="24"/>
        </w:rPr>
        <w:t xml:space="preserve"> Hall Mews, Cherry Tree House and </w:t>
      </w:r>
      <w:proofErr w:type="spellStart"/>
      <w:r w:rsidR="00777687" w:rsidRPr="003403A5">
        <w:rPr>
          <w:rFonts w:ascii="Arial" w:hAnsi="Arial" w:cs="Arial"/>
          <w:color w:val="0D0D0D" w:themeColor="text1" w:themeTint="F2"/>
          <w:szCs w:val="24"/>
        </w:rPr>
        <w:t>Bodlonfa</w:t>
      </w:r>
      <w:proofErr w:type="spellEnd"/>
      <w:r w:rsidR="00777687" w:rsidRPr="003403A5">
        <w:rPr>
          <w:rFonts w:ascii="Arial" w:hAnsi="Arial" w:cs="Arial"/>
          <w:color w:val="0D0D0D" w:themeColor="text1" w:themeTint="F2"/>
          <w:szCs w:val="24"/>
        </w:rPr>
        <w:t xml:space="preserve"> Hal</w:t>
      </w:r>
      <w:r w:rsidR="003403A5">
        <w:rPr>
          <w:rFonts w:ascii="Arial" w:hAnsi="Arial" w:cs="Arial"/>
          <w:color w:val="0D0D0D" w:themeColor="text1" w:themeTint="F2"/>
          <w:szCs w:val="24"/>
        </w:rPr>
        <w:t>l</w:t>
      </w:r>
      <w:r w:rsidRPr="003403A5">
        <w:rPr>
          <w:rFonts w:ascii="Arial" w:hAnsi="Arial" w:cs="Arial"/>
          <w:color w:val="0D0D0D" w:themeColor="text1" w:themeTint="F2"/>
          <w:szCs w:val="24"/>
        </w:rPr>
        <w:t xml:space="preserve"> operated by </w:t>
      </w:r>
      <w:r w:rsidR="003403A5">
        <w:rPr>
          <w:rFonts w:ascii="Arial" w:hAnsi="Arial" w:cs="Arial"/>
          <w:color w:val="0D0D0D" w:themeColor="text1" w:themeTint="F2"/>
          <w:szCs w:val="24"/>
        </w:rPr>
        <w:t>James Wright</w:t>
      </w:r>
      <w:r w:rsidR="001034AC" w:rsidRPr="003403A5">
        <w:rPr>
          <w:rFonts w:ascii="Arial" w:hAnsi="Arial" w:cs="Arial"/>
          <w:color w:val="0D0D0D" w:themeColor="text1" w:themeTint="F2"/>
          <w:szCs w:val="24"/>
        </w:rPr>
        <w:t>.</w:t>
      </w:r>
    </w:p>
    <w:p w14:paraId="178F17B4" w14:textId="31164D71" w:rsidR="00E907C6" w:rsidRPr="003403A5" w:rsidRDefault="00E907C6" w:rsidP="006B0BFB">
      <w:pPr>
        <w:tabs>
          <w:tab w:val="left" w:pos="4253"/>
          <w:tab w:val="left" w:pos="6804"/>
        </w:tabs>
        <w:spacing w:after="120"/>
        <w:rPr>
          <w:rFonts w:ascii="Arial" w:hAnsi="Arial"/>
          <w:color w:val="0D0D0D" w:themeColor="text1" w:themeTint="F2"/>
          <w:kern w:val="28"/>
          <w:szCs w:val="24"/>
        </w:rPr>
      </w:pPr>
      <w:bookmarkStart w:id="0" w:name="OLE_LINK1"/>
      <w:bookmarkStart w:id="1" w:name="OLE_LINK2"/>
      <w:r w:rsidRPr="003403A5">
        <w:rPr>
          <w:rFonts w:ascii="Arial" w:hAnsi="Arial"/>
          <w:color w:val="0D0D0D" w:themeColor="text1" w:themeTint="F2"/>
          <w:kern w:val="28"/>
          <w:szCs w:val="24"/>
        </w:rPr>
        <w:t xml:space="preserve">The application number is </w:t>
      </w:r>
      <w:r w:rsidR="00777687" w:rsidRPr="003403A5">
        <w:rPr>
          <w:rFonts w:ascii="Arial" w:hAnsi="Arial"/>
          <w:color w:val="0D0D0D" w:themeColor="text1" w:themeTint="F2"/>
          <w:szCs w:val="24"/>
        </w:rPr>
        <w:t>PAN-030414</w:t>
      </w:r>
    </w:p>
    <w:p w14:paraId="0FF15251" w14:textId="18B1911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DA46CD">
        <w:rPr>
          <w:rFonts w:ascii="Arial" w:hAnsi="Arial"/>
          <w:color w:val="0D0D0D" w:themeColor="text1" w:themeTint="F2"/>
          <w:szCs w:val="24"/>
        </w:rPr>
        <w:t xml:space="preserve">is </w:t>
      </w:r>
      <w:r w:rsidR="00DA46CD" w:rsidRPr="00DA46CD">
        <w:rPr>
          <w:rFonts w:ascii="Arial" w:hAnsi="Arial"/>
          <w:color w:val="0D0D0D" w:themeColor="text1" w:themeTint="F2"/>
          <w:szCs w:val="24"/>
        </w:rPr>
        <w:t>EPR/DB3598FD</w:t>
      </w:r>
    </w:p>
    <w:bookmarkEnd w:id="0"/>
    <w:bookmarkEnd w:id="1"/>
    <w:p w14:paraId="12172ABE" w14:textId="5C84CEF8" w:rsidR="00777687" w:rsidRPr="003403A5" w:rsidRDefault="00777687" w:rsidP="00777687">
      <w:pPr>
        <w:tabs>
          <w:tab w:val="left" w:pos="4253"/>
          <w:tab w:val="left" w:pos="6804"/>
        </w:tabs>
        <w:spacing w:after="120"/>
        <w:rPr>
          <w:rFonts w:ascii="Arial" w:hAnsi="Arial"/>
          <w:color w:val="0D0D0D" w:themeColor="text1" w:themeTint="F2"/>
        </w:rPr>
      </w:pPr>
      <w:r w:rsidRPr="003403A5">
        <w:rPr>
          <w:rFonts w:ascii="Arial" w:hAnsi="Arial"/>
          <w:color w:val="0D0D0D" w:themeColor="text1" w:themeTint="F2"/>
        </w:rPr>
        <w:t xml:space="preserve">The discharge was originally permitted in 1992, the permit was lapsed through the permit review completed as part the Environment Act 1995 permit review in 1996. This permit is replacing the lapsed permit. </w:t>
      </w:r>
    </w:p>
    <w:p w14:paraId="62920B48" w14:textId="1DCF6B21" w:rsidR="00777687" w:rsidRPr="003403A5" w:rsidRDefault="00777687" w:rsidP="00777687">
      <w:pPr>
        <w:tabs>
          <w:tab w:val="left" w:pos="4253"/>
          <w:tab w:val="left" w:pos="6804"/>
        </w:tabs>
        <w:spacing w:after="120"/>
        <w:rPr>
          <w:rFonts w:ascii="Arial" w:hAnsi="Arial"/>
          <w:color w:val="0D0D0D" w:themeColor="text1" w:themeTint="F2"/>
        </w:rPr>
      </w:pPr>
      <w:r w:rsidRPr="003403A5">
        <w:rPr>
          <w:rFonts w:ascii="Arial" w:hAnsi="Arial"/>
          <w:color w:val="0D0D0D" w:themeColor="text1" w:themeTint="F2"/>
        </w:rPr>
        <w:t xml:space="preserve">The permit regulates an existing unregulated discharge of treated domestic sewage effluent discharging to ground via a septic tank and infiltration system, with a maximum discharge of 4.5 cubic meters per day. The discharge has been in place since 1992 and the system was renewed in 2021. The discharge is located within an Source Protection Zone. </w:t>
      </w:r>
    </w:p>
    <w:p w14:paraId="0FF15253" w14:textId="2621160B" w:rsidR="00D04424" w:rsidRDefault="00D04424" w:rsidP="00777687">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0FF15278" w14:textId="347E4355" w:rsidR="00607AB7" w:rsidRDefault="00607AB7" w:rsidP="007820C3">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3403A5" w:rsidRDefault="007820C3" w:rsidP="00792CEE">
            <w:pPr>
              <w:rPr>
                <w:rFonts w:ascii="Arial" w:hAnsi="Arial" w:cs="Arial"/>
                <w:color w:val="0D0D0D" w:themeColor="text1" w:themeTint="F2"/>
                <w:szCs w:val="24"/>
              </w:rPr>
            </w:pPr>
            <w:r w:rsidRPr="003403A5">
              <w:rPr>
                <w:rFonts w:ascii="Arial" w:hAnsi="Arial" w:cs="Arial"/>
                <w:color w:val="0D0D0D" w:themeColor="text1" w:themeTint="F2"/>
                <w:szCs w:val="24"/>
              </w:rPr>
              <w:t xml:space="preserve">Scope of consultation </w:t>
            </w:r>
          </w:p>
        </w:tc>
        <w:tc>
          <w:tcPr>
            <w:tcW w:w="6266" w:type="dxa"/>
          </w:tcPr>
          <w:p w14:paraId="46862B8A" w14:textId="77777777" w:rsidR="007820C3" w:rsidRDefault="007820C3" w:rsidP="00792CEE">
            <w:pPr>
              <w:rPr>
                <w:rFonts w:ascii="Arial" w:hAnsi="Arial" w:cs="Arial"/>
                <w:color w:val="0D0D0D" w:themeColor="text1" w:themeTint="F2"/>
                <w:szCs w:val="24"/>
              </w:rPr>
            </w:pPr>
            <w:r w:rsidRPr="003403A5">
              <w:rPr>
                <w:rFonts w:ascii="Arial" w:hAnsi="Arial" w:cs="Arial"/>
                <w:color w:val="0D0D0D" w:themeColor="text1" w:themeTint="F2"/>
                <w:szCs w:val="24"/>
              </w:rPr>
              <w:t>The consultation requirements were identified and implemented.  The decision was taken in accordance with RGN 6 High Profile Sites, our Public Participation Statement and our Working Together Agreements.</w:t>
            </w:r>
          </w:p>
          <w:p w14:paraId="0FF15296" w14:textId="77777777" w:rsidR="003403A5" w:rsidRPr="003403A5" w:rsidRDefault="003403A5" w:rsidP="00792CEE">
            <w:pPr>
              <w:rPr>
                <w:rFonts w:ascii="Arial" w:hAnsi="Arial" w:cs="Arial"/>
                <w:color w:val="0D0D0D" w:themeColor="text1" w:themeTint="F2"/>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BE26C3F" w:rsidR="007820C3" w:rsidRPr="003403A5" w:rsidRDefault="007820C3" w:rsidP="007820C3">
            <w:pPr>
              <w:pStyle w:val="Heading3"/>
              <w:spacing w:before="60"/>
              <w:rPr>
                <w:rFonts w:ascii="Arial" w:hAnsi="Arial" w:cs="Arial"/>
                <w:b w:val="0"/>
                <w:color w:val="0D0D0D" w:themeColor="text1" w:themeTint="F2"/>
                <w:szCs w:val="24"/>
                <w:highlight w:val="red"/>
              </w:rPr>
            </w:pPr>
            <w:r w:rsidRPr="003403A5">
              <w:rPr>
                <w:rFonts w:ascii="Arial" w:hAnsi="Arial" w:cs="Arial"/>
                <w:b w:val="0"/>
                <w:color w:val="0D0D0D" w:themeColor="text1" w:themeTint="F2"/>
                <w:szCs w:val="24"/>
              </w:rPr>
              <w:t xml:space="preserve">Responses to web publicising </w:t>
            </w:r>
          </w:p>
        </w:tc>
        <w:tc>
          <w:tcPr>
            <w:tcW w:w="6266" w:type="dxa"/>
            <w:tcBorders>
              <w:bottom w:val="single" w:sz="4" w:space="0" w:color="auto"/>
            </w:tcBorders>
          </w:tcPr>
          <w:p w14:paraId="0A15C038" w14:textId="77777777" w:rsidR="001D69E9" w:rsidRPr="003403A5" w:rsidRDefault="007820C3" w:rsidP="001D69E9">
            <w:pPr>
              <w:spacing w:before="60"/>
              <w:rPr>
                <w:rFonts w:ascii="Arial" w:hAnsi="Arial" w:cs="Arial"/>
                <w:color w:val="0D0D0D" w:themeColor="text1" w:themeTint="F2"/>
                <w:szCs w:val="24"/>
              </w:rPr>
            </w:pPr>
            <w:r w:rsidRPr="003403A5">
              <w:rPr>
                <w:rFonts w:ascii="Arial" w:hAnsi="Arial" w:cs="Arial"/>
                <w:color w:val="0D0D0D" w:themeColor="text1" w:themeTint="F2"/>
                <w:szCs w:val="24"/>
              </w:rPr>
              <w:t xml:space="preserve">The </w:t>
            </w:r>
            <w:r w:rsidR="001D69E9" w:rsidRPr="003403A5">
              <w:rPr>
                <w:rFonts w:ascii="Arial" w:hAnsi="Arial" w:cs="Arial"/>
                <w:color w:val="0D0D0D" w:themeColor="text1" w:themeTint="F2"/>
                <w:szCs w:val="24"/>
              </w:rPr>
              <w:t xml:space="preserve">was no response to </w:t>
            </w:r>
            <w:r w:rsidRPr="003403A5">
              <w:rPr>
                <w:rFonts w:ascii="Arial" w:hAnsi="Arial" w:cs="Arial"/>
                <w:color w:val="0D0D0D" w:themeColor="text1" w:themeTint="F2"/>
                <w:szCs w:val="24"/>
              </w:rPr>
              <w:t>web publicising</w:t>
            </w:r>
            <w:r w:rsidR="001D69E9" w:rsidRPr="003403A5">
              <w:rPr>
                <w:rFonts w:ascii="Arial" w:hAnsi="Arial" w:cs="Arial"/>
                <w:color w:val="0D0D0D" w:themeColor="text1" w:themeTint="F2"/>
                <w:szCs w:val="24"/>
              </w:rPr>
              <w:t>.</w:t>
            </w:r>
          </w:p>
          <w:p w14:paraId="0FF1529B" w14:textId="314C1602" w:rsidR="007820C3" w:rsidRPr="003403A5" w:rsidRDefault="007820C3" w:rsidP="001D69E9">
            <w:pPr>
              <w:spacing w:before="60"/>
              <w:rPr>
                <w:rFonts w:ascii="Arial" w:hAnsi="Arial" w:cs="Arial"/>
                <w:color w:val="0D0D0D" w:themeColor="text1" w:themeTint="F2"/>
                <w:szCs w:val="24"/>
              </w:rPr>
            </w:pPr>
            <w:r w:rsidRPr="003403A5">
              <w:rPr>
                <w:rFonts w:ascii="Arial" w:hAnsi="Arial" w:cs="Arial"/>
                <w:color w:val="0D0D0D" w:themeColor="text1" w:themeTint="F2"/>
                <w:szCs w:val="24"/>
              </w:rPr>
              <w:t xml:space="preserve"> </w:t>
            </w:r>
          </w:p>
          <w:p w14:paraId="0FF1529C" w14:textId="77777777" w:rsidR="007820C3" w:rsidRPr="003403A5" w:rsidRDefault="007820C3" w:rsidP="007820C3">
            <w:pPr>
              <w:spacing w:before="60"/>
              <w:rPr>
                <w:rFonts w:ascii="Arial" w:hAnsi="Arial" w:cs="Arial"/>
                <w:color w:val="0D0D0D" w:themeColor="text1" w:themeTint="F2"/>
                <w:szCs w:val="24"/>
              </w:rPr>
            </w:pPr>
            <w:r w:rsidRPr="003403A5">
              <w:rPr>
                <w:rFonts w:ascii="Arial" w:hAnsi="Arial" w:cs="Arial"/>
                <w:color w:val="0D0D0D" w:themeColor="text1" w:themeTint="F2"/>
                <w:szCs w:val="24"/>
              </w:rPr>
              <w:t xml:space="preserve">The decision was taken in accordance with our guidance. </w:t>
            </w:r>
          </w:p>
          <w:p w14:paraId="0FF1529D" w14:textId="77777777" w:rsidR="007820C3" w:rsidRPr="003403A5" w:rsidRDefault="007820C3" w:rsidP="007820C3">
            <w:pPr>
              <w:spacing w:before="60"/>
              <w:rPr>
                <w:rFonts w:ascii="Arial" w:hAnsi="Arial" w:cs="Arial"/>
                <w:color w:val="0D0D0D" w:themeColor="text1" w:themeTint="F2"/>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E6BB62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403A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3403A5" w:rsidRDefault="00AF4C00" w:rsidP="0016775A">
            <w:pPr>
              <w:rPr>
                <w:rFonts w:ascii="Arial" w:hAnsi="Arial" w:cs="Arial"/>
                <w:color w:val="0D0D0D" w:themeColor="text1" w:themeTint="F2"/>
              </w:rPr>
            </w:pPr>
            <w:r w:rsidRPr="003403A5">
              <w:rPr>
                <w:rFonts w:ascii="Arial" w:hAnsi="Arial" w:cs="Arial"/>
                <w:color w:val="0D0D0D" w:themeColor="text1" w:themeTint="F2"/>
                <w:szCs w:val="24"/>
              </w:rPr>
              <w:t xml:space="preserve">The </w:t>
            </w:r>
            <w:r w:rsidR="00EC6B7A" w:rsidRPr="003403A5">
              <w:rPr>
                <w:rFonts w:ascii="Arial" w:hAnsi="Arial" w:cs="Arial"/>
                <w:color w:val="0D0D0D" w:themeColor="text1" w:themeTint="F2"/>
                <w:szCs w:val="24"/>
              </w:rPr>
              <w:t>discharge</w:t>
            </w:r>
            <w:r w:rsidR="003A1935" w:rsidRPr="003403A5">
              <w:rPr>
                <w:rFonts w:ascii="Arial" w:hAnsi="Arial" w:cs="Arial"/>
                <w:color w:val="0D0D0D" w:themeColor="text1" w:themeTint="F2"/>
                <w:szCs w:val="24"/>
              </w:rPr>
              <w:t xml:space="preserve"> activity</w:t>
            </w:r>
            <w:r w:rsidR="00EC6B7A" w:rsidRPr="003403A5">
              <w:rPr>
                <w:rFonts w:ascii="Arial" w:hAnsi="Arial" w:cs="Arial"/>
                <w:color w:val="0D0D0D" w:themeColor="text1" w:themeTint="F2"/>
                <w:szCs w:val="24"/>
              </w:rPr>
              <w:t xml:space="preserve"> screens out from needing further assessment under WFD as it is not in </w:t>
            </w:r>
            <w:r w:rsidR="009A341D" w:rsidRPr="003403A5">
              <w:rPr>
                <w:rFonts w:ascii="Arial" w:hAnsi="Arial" w:cs="Arial"/>
                <w:color w:val="0D0D0D" w:themeColor="text1" w:themeTint="F2"/>
              </w:rPr>
              <w:t xml:space="preserve">a </w:t>
            </w:r>
            <w:r w:rsidR="00930E1C" w:rsidRPr="003403A5">
              <w:rPr>
                <w:rFonts w:ascii="Arial" w:hAnsi="Arial" w:cs="Arial"/>
                <w:color w:val="0D0D0D" w:themeColor="text1" w:themeTint="F2"/>
              </w:rPr>
              <w:t>water body at high status or high status for morphology</w:t>
            </w:r>
            <w:r w:rsidR="00B13426" w:rsidRPr="003403A5">
              <w:rPr>
                <w:rFonts w:ascii="Arial" w:hAnsi="Arial" w:cs="Arial"/>
                <w:color w:val="0D0D0D" w:themeColor="text1" w:themeTint="F2"/>
              </w:rPr>
              <w:t>,</w:t>
            </w:r>
            <w:r w:rsidR="001B000A" w:rsidRPr="003403A5">
              <w:rPr>
                <w:rFonts w:ascii="Arial" w:hAnsi="Arial" w:cs="Arial"/>
                <w:color w:val="0D0D0D" w:themeColor="text1" w:themeTint="F2"/>
              </w:rPr>
              <w:t xml:space="preserve"> and it</w:t>
            </w:r>
            <w:r w:rsidR="00B13426" w:rsidRPr="003403A5">
              <w:rPr>
                <w:rFonts w:ascii="Arial" w:hAnsi="Arial" w:cs="Arial"/>
                <w:color w:val="0D0D0D" w:themeColor="text1" w:themeTint="F2"/>
              </w:rPr>
              <w:t xml:space="preserve"> is </w:t>
            </w:r>
            <w:r w:rsidR="004709A1" w:rsidRPr="003403A5">
              <w:rPr>
                <w:rFonts w:ascii="Arial" w:hAnsi="Arial" w:cs="Arial"/>
                <w:color w:val="0D0D0D" w:themeColor="text1" w:themeTint="F2"/>
              </w:rPr>
              <w:t xml:space="preserve">listed in Annex D as a low risk activity </w:t>
            </w:r>
            <w:r w:rsidR="001B000A" w:rsidRPr="003403A5">
              <w:rPr>
                <w:rFonts w:ascii="Arial" w:hAnsi="Arial" w:cs="Arial"/>
                <w:color w:val="0D0D0D" w:themeColor="text1" w:themeTint="F2"/>
              </w:rPr>
              <w:t>plus</w:t>
            </w:r>
            <w:r w:rsidR="004709A1" w:rsidRPr="003403A5">
              <w:rPr>
                <w:rFonts w:ascii="Arial" w:hAnsi="Arial" w:cs="Arial"/>
                <w:color w:val="0D0D0D" w:themeColor="text1" w:themeTint="F2"/>
              </w:rPr>
              <w:t xml:space="preserve"> there is no in combination </w:t>
            </w:r>
            <w:r w:rsidR="0040420C" w:rsidRPr="003403A5">
              <w:rPr>
                <w:rFonts w:ascii="Arial" w:hAnsi="Arial" w:cs="Arial"/>
                <w:color w:val="0D0D0D" w:themeColor="text1" w:themeTint="F2"/>
              </w:rPr>
              <w:t>impact</w:t>
            </w:r>
            <w:r w:rsidR="00C920B9" w:rsidRPr="003403A5">
              <w:rPr>
                <w:rFonts w:ascii="Arial" w:hAnsi="Arial" w:cs="Arial"/>
                <w:color w:val="0D0D0D" w:themeColor="text1" w:themeTint="F2"/>
              </w:rPr>
              <w:t>.</w:t>
            </w:r>
          </w:p>
          <w:p w14:paraId="647A13F3" w14:textId="5997FA73" w:rsidR="001D69E9" w:rsidRPr="000771BE" w:rsidRDefault="001D69E9" w:rsidP="0016775A">
            <w:pPr>
              <w:rPr>
                <w:rFonts w:ascii="Arial" w:hAnsi="Arial" w:cs="Arial"/>
                <w:color w:val="FF0000"/>
              </w:rPr>
            </w:pPr>
            <w:r w:rsidRPr="003403A5">
              <w:rPr>
                <w:rFonts w:ascii="Arial" w:hAnsi="Arial" w:cs="Arial"/>
                <w:color w:val="0D0D0D" w:themeColor="text1" w:themeTint="F2"/>
              </w:rPr>
              <w:t xml:space="preserve">Consultation with NRW Geoscience team confirmed the activity  be low risk via risk assessment, therefore it can be considered a Green activity under Annex D of OGN 72. </w:t>
            </w:r>
          </w:p>
          <w:p w14:paraId="7DEDFFF1" w14:textId="75D6F5CA" w:rsidR="002967CA" w:rsidRPr="007820C3" w:rsidRDefault="002967CA" w:rsidP="003403A5">
            <w:pPr>
              <w:spacing w:before="60"/>
              <w:rPr>
                <w:rFonts w:ascii="Arial" w:hAnsi="Arial" w:cs="Arial"/>
                <w:szCs w:val="24"/>
              </w:rPr>
            </w:pPr>
          </w:p>
        </w:tc>
        <w:tc>
          <w:tcPr>
            <w:tcW w:w="1072" w:type="dxa"/>
          </w:tcPr>
          <w:p w14:paraId="2E80C0FB" w14:textId="75F0E7DF" w:rsidR="00D512DF" w:rsidRPr="00FB30B4" w:rsidRDefault="001D69E9"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33D50024" w:rsidR="00FB30B4" w:rsidRPr="007820C3" w:rsidRDefault="007820C3" w:rsidP="00DA46CD">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5828DFBF" w:rsidTr="396B50C7">
        <w:trPr>
          <w:gridAfter w:val="1"/>
          <w:wAfter w:w="13" w:type="dxa"/>
        </w:trPr>
        <w:tc>
          <w:tcPr>
            <w:tcW w:w="1951" w:type="dxa"/>
          </w:tcPr>
          <w:p w14:paraId="0FF152C5" w14:textId="4E6FA1B2" w:rsidR="007820C3" w:rsidRPr="007820C3" w:rsidRDefault="007820C3" w:rsidP="4E0B47CD">
            <w:pPr>
              <w:rPr>
                <w:rFonts w:ascii="Arial" w:hAnsi="Arial" w:cs="Arial"/>
                <w:color w:val="000000"/>
                <w:highlight w:val="yellow"/>
              </w:rPr>
            </w:pPr>
            <w:r w:rsidRPr="4E0B47CD">
              <w:rPr>
                <w:rFonts w:ascii="Arial" w:hAnsi="Arial" w:cs="Arial"/>
                <w:color w:val="000000" w:themeColor="text1"/>
              </w:rPr>
              <w:lastRenderedPageBreak/>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332F0F00"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w:t>
            </w:r>
            <w:r w:rsidR="001D69E9">
              <w:rPr>
                <w:rFonts w:ascii="Arial" w:hAnsi="Arial" w:cs="Arial"/>
                <w:color w:val="000000"/>
                <w:szCs w:val="24"/>
              </w:rPr>
              <w:t xml:space="preserve"> not </w:t>
            </w:r>
            <w:r w:rsidRPr="007820C3">
              <w:rPr>
                <w:rFonts w:ascii="Arial" w:hAnsi="Arial" w:cs="Arial"/>
                <w:color w:val="000000"/>
                <w:szCs w:val="24"/>
              </w:rPr>
              <w:t xml:space="preserve"> within the relevant distance criteria of a site of heritage,  landscape or nature conservation, and/or protected species or habitat .</w:t>
            </w:r>
          </w:p>
          <w:p w14:paraId="0FF152C7" w14:textId="6F8A1DFA" w:rsidR="007820C3" w:rsidRPr="007820C3" w:rsidRDefault="007820C3" w:rsidP="00EF499E">
            <w:pPr>
              <w:rPr>
                <w:rFonts w:ascii="Arial" w:hAnsi="Arial" w:cs="Arial"/>
                <w:color w:val="000000"/>
                <w:szCs w:val="24"/>
              </w:rPr>
            </w:pPr>
          </w:p>
          <w:p w14:paraId="75CEC218" w14:textId="488E9E43" w:rsidR="00136717" w:rsidRDefault="00136717" w:rsidP="001D69E9">
            <w:pPr>
              <w:rPr>
                <w:rFonts w:ascii="Arial" w:hAnsi="Arial" w:cs="Arial"/>
                <w:color w:val="FF00FF"/>
                <w:szCs w:val="24"/>
              </w:rPr>
            </w:pPr>
          </w:p>
          <w:p w14:paraId="0FF152CF" w14:textId="2C9A20B4" w:rsidR="00FB30B4" w:rsidRPr="007820C3" w:rsidRDefault="00FB30B4" w:rsidP="00EF499E">
            <w:pPr>
              <w:rPr>
                <w:rFonts w:ascii="Arial" w:hAnsi="Arial" w:cs="Arial"/>
                <w:color w:val="FF00FF"/>
                <w:szCs w:val="24"/>
              </w:rPr>
            </w:pPr>
          </w:p>
        </w:tc>
        <w:tc>
          <w:tcPr>
            <w:tcW w:w="1072" w:type="dxa"/>
          </w:tcPr>
          <w:p w14:paraId="0FF152D0" w14:textId="0CF618FA"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3403A5" w:rsidRDefault="00136717" w:rsidP="00136717">
            <w:pPr>
              <w:spacing w:before="60"/>
              <w:rPr>
                <w:rFonts w:ascii="Arial" w:hAnsi="Arial" w:cs="Arial"/>
                <w:color w:val="0D0D0D" w:themeColor="text1" w:themeTint="F2"/>
                <w:szCs w:val="24"/>
              </w:rPr>
            </w:pPr>
            <w:r w:rsidRPr="003403A5">
              <w:rPr>
                <w:rFonts w:ascii="Arial" w:hAnsi="Arial" w:cs="Arial"/>
                <w:color w:val="0D0D0D" w:themeColor="text1" w:themeTint="F2"/>
                <w:szCs w:val="24"/>
              </w:rPr>
              <w:t>No FORM 1 completed:</w:t>
            </w:r>
          </w:p>
          <w:p w14:paraId="5CBD4E4C" w14:textId="77777777" w:rsidR="00136717" w:rsidRPr="003403A5" w:rsidRDefault="00136717" w:rsidP="00136717">
            <w:pPr>
              <w:spacing w:before="60"/>
              <w:rPr>
                <w:rFonts w:ascii="Arial" w:hAnsi="Arial" w:cs="Arial"/>
                <w:color w:val="0D0D0D" w:themeColor="text1" w:themeTint="F2"/>
                <w:szCs w:val="24"/>
              </w:rPr>
            </w:pPr>
          </w:p>
          <w:p w14:paraId="50917BB1" w14:textId="724760CF" w:rsidR="00136717" w:rsidRPr="003403A5" w:rsidRDefault="00136717" w:rsidP="001D69E9">
            <w:pPr>
              <w:spacing w:before="60"/>
              <w:rPr>
                <w:rFonts w:ascii="Arial" w:hAnsi="Arial" w:cs="Arial"/>
                <w:color w:val="0D0D0D" w:themeColor="text1" w:themeTint="F2"/>
              </w:rPr>
            </w:pPr>
            <w:r w:rsidRPr="003403A5">
              <w:rPr>
                <w:rFonts w:ascii="Arial" w:hAnsi="Arial" w:cs="Arial"/>
                <w:color w:val="0D0D0D" w:themeColor="text1" w:themeTint="F2"/>
                <w:szCs w:val="24"/>
              </w:rPr>
              <w:t>HRA is not required because there is no conceivable impact pathway to any Natura 2000/Ramsar site</w:t>
            </w:r>
            <w:r w:rsidR="001D69E9" w:rsidRPr="003403A5">
              <w:rPr>
                <w:rFonts w:ascii="Arial" w:hAnsi="Arial" w:cs="Arial"/>
                <w:color w:val="0D0D0D" w:themeColor="text1" w:themeTint="F2"/>
                <w:szCs w:val="24"/>
              </w:rPr>
              <w:t xml:space="preserve"> </w:t>
            </w:r>
            <w:r w:rsidRPr="003403A5">
              <w:rPr>
                <w:rFonts w:ascii="Arial" w:hAnsi="Arial" w:cs="Arial"/>
                <w:color w:val="0D0D0D" w:themeColor="text1" w:themeTint="F2"/>
              </w:rPr>
              <w:t>by virtue of the scale or location or nature of the project.</w:t>
            </w:r>
          </w:p>
          <w:p w14:paraId="78430F49" w14:textId="77777777" w:rsidR="00136717" w:rsidRPr="003403A5" w:rsidRDefault="00136717" w:rsidP="7126189C">
            <w:pPr>
              <w:spacing w:before="60"/>
              <w:rPr>
                <w:rFonts w:ascii="Arial" w:hAnsi="Arial" w:cs="Arial"/>
                <w:color w:val="0D0D0D" w:themeColor="text1" w:themeTint="F2"/>
              </w:rPr>
            </w:pPr>
          </w:p>
          <w:p w14:paraId="73B4824A" w14:textId="77777777" w:rsidR="00136717" w:rsidRDefault="001D69E9" w:rsidP="003403A5">
            <w:pPr>
              <w:spacing w:before="60"/>
              <w:rPr>
                <w:rFonts w:ascii="Arial" w:hAnsi="Arial" w:cs="Arial"/>
                <w:color w:val="0D0D0D" w:themeColor="text1" w:themeTint="F2"/>
              </w:rPr>
            </w:pPr>
            <w:r w:rsidRPr="003403A5">
              <w:rPr>
                <w:rFonts w:ascii="Arial" w:hAnsi="Arial" w:cs="Arial"/>
                <w:color w:val="0D0D0D" w:themeColor="text1" w:themeTint="F2"/>
              </w:rPr>
              <w:t xml:space="preserve">Risk Screening </w:t>
            </w:r>
            <w:r w:rsidR="003403A5">
              <w:rPr>
                <w:rFonts w:ascii="Arial" w:hAnsi="Arial" w:cs="Arial"/>
                <w:color w:val="0D0D0D" w:themeColor="text1" w:themeTint="F2"/>
              </w:rPr>
              <w:t xml:space="preserve">Report </w:t>
            </w:r>
            <w:r w:rsidRPr="003403A5">
              <w:rPr>
                <w:rFonts w:ascii="Arial" w:hAnsi="Arial" w:cs="Arial"/>
                <w:color w:val="0D0D0D" w:themeColor="text1" w:themeTint="F2"/>
              </w:rPr>
              <w:t xml:space="preserve">did not identify a Nature 2000/Ramsar site within screening distance. </w:t>
            </w:r>
          </w:p>
          <w:p w14:paraId="67AFC2B0" w14:textId="604F5ACF" w:rsidR="003403A5" w:rsidRPr="007820C3" w:rsidRDefault="003403A5" w:rsidP="003403A5">
            <w:pPr>
              <w:spacing w:before="60"/>
              <w:rPr>
                <w:rFonts w:ascii="Arial" w:hAnsi="Arial" w:cs="Arial"/>
                <w:color w:val="000000"/>
                <w:szCs w:val="24"/>
              </w:rPr>
            </w:pPr>
          </w:p>
        </w:tc>
        <w:tc>
          <w:tcPr>
            <w:tcW w:w="1072" w:type="dxa"/>
          </w:tcPr>
          <w:p w14:paraId="5CCCC72E" w14:textId="0E59D19C" w:rsidR="00136717" w:rsidRPr="00FB30B4" w:rsidRDefault="003403A5"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ECF0C8D"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3403A5" w:rsidRDefault="00FB30B4" w:rsidP="00A60F17">
            <w:pPr>
              <w:rPr>
                <w:rFonts w:ascii="Arial" w:hAnsi="Arial" w:cs="Arial"/>
                <w:color w:val="0D0D0D" w:themeColor="text1" w:themeTint="F2"/>
                <w:szCs w:val="24"/>
              </w:rPr>
            </w:pPr>
          </w:p>
          <w:p w14:paraId="0FF152E4" w14:textId="77777777" w:rsidR="007820C3" w:rsidRPr="003403A5" w:rsidRDefault="007820C3" w:rsidP="00A60F17">
            <w:pPr>
              <w:rPr>
                <w:rFonts w:ascii="Arial" w:hAnsi="Arial" w:cs="Arial"/>
                <w:color w:val="0D0D0D" w:themeColor="text1" w:themeTint="F2"/>
                <w:szCs w:val="24"/>
              </w:rPr>
            </w:pPr>
            <w:r w:rsidRPr="003403A5">
              <w:rPr>
                <w:rFonts w:ascii="Arial" w:hAnsi="Arial" w:cs="Arial"/>
                <w:color w:val="0D0D0D" w:themeColor="text1" w:themeTint="F2"/>
                <w:szCs w:val="24"/>
              </w:rPr>
              <w:t xml:space="preserve">The operator considers this risk assessment is satisfactory. </w:t>
            </w:r>
          </w:p>
          <w:p w14:paraId="0FF152E7" w14:textId="77777777" w:rsidR="007820C3" w:rsidRPr="003403A5" w:rsidRDefault="007820C3" w:rsidP="00A60F17">
            <w:pPr>
              <w:rPr>
                <w:rFonts w:ascii="Arial" w:hAnsi="Arial" w:cs="Arial"/>
                <w:color w:val="0D0D0D" w:themeColor="text1" w:themeTint="F2"/>
                <w:szCs w:val="24"/>
              </w:rPr>
            </w:pPr>
          </w:p>
          <w:p w14:paraId="0FF152E8" w14:textId="4733E655" w:rsidR="007820C3" w:rsidRPr="003403A5" w:rsidRDefault="007820C3" w:rsidP="00A60F17">
            <w:pPr>
              <w:pStyle w:val="BodyText"/>
              <w:rPr>
                <w:rFonts w:ascii="Arial" w:hAnsi="Arial" w:cs="Arial"/>
                <w:color w:val="0D0D0D" w:themeColor="text1" w:themeTint="F2"/>
                <w:szCs w:val="24"/>
              </w:rPr>
            </w:pPr>
            <w:r w:rsidRPr="003403A5">
              <w:rPr>
                <w:rFonts w:ascii="Arial" w:hAnsi="Arial" w:cs="Arial"/>
                <w:color w:val="0D0D0D" w:themeColor="text1" w:themeTint="F2"/>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6C9A3DFF" w:rsidR="007820C3" w:rsidRPr="00FB30B4" w:rsidRDefault="00C814F8"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3D9C3D3" w14:textId="77777777" w:rsidR="00684051" w:rsidRDefault="00684051" w:rsidP="00792CEE">
            <w:pPr>
              <w:pStyle w:val="BodyText"/>
              <w:rPr>
                <w:rFonts w:ascii="Arial" w:hAnsi="Arial" w:cs="Arial"/>
                <w:color w:val="FF00FF"/>
                <w:szCs w:val="24"/>
              </w:rPr>
            </w:pPr>
          </w:p>
          <w:p w14:paraId="0FF152EE" w14:textId="633D99F9" w:rsidR="007820C3" w:rsidRPr="003403A5" w:rsidRDefault="00684051" w:rsidP="00792CEE">
            <w:pPr>
              <w:pStyle w:val="BodyText"/>
              <w:rPr>
                <w:rFonts w:ascii="Arial" w:hAnsi="Arial" w:cs="Arial"/>
                <w:color w:val="0D0D0D" w:themeColor="text1" w:themeTint="F2"/>
                <w:szCs w:val="24"/>
              </w:rPr>
            </w:pPr>
            <w:r w:rsidRPr="003403A5">
              <w:rPr>
                <w:rFonts w:ascii="Arial" w:hAnsi="Arial" w:cs="Arial"/>
                <w:color w:val="0D0D0D" w:themeColor="text1" w:themeTint="F2"/>
                <w:szCs w:val="24"/>
              </w:rPr>
              <w:t>T</w:t>
            </w:r>
            <w:r w:rsidR="007820C3" w:rsidRPr="003403A5">
              <w:rPr>
                <w:rFonts w:ascii="Arial" w:hAnsi="Arial" w:cs="Arial"/>
                <w:color w:val="0D0D0D" w:themeColor="text1" w:themeTint="F2"/>
                <w:szCs w:val="24"/>
              </w:rPr>
              <w:t xml:space="preserve">he key measures proposed by the operator </w:t>
            </w:r>
            <w:r w:rsidRPr="003403A5">
              <w:rPr>
                <w:rFonts w:ascii="Arial" w:hAnsi="Arial" w:cs="Arial"/>
                <w:color w:val="0D0D0D" w:themeColor="text1" w:themeTint="F2"/>
                <w:szCs w:val="24"/>
              </w:rPr>
              <w:t xml:space="preserve">meet the requirements set out in How to Comply with your permit TGN 7.01, with the treatment system meeting minimum requirements for a discharge to ground. </w:t>
            </w:r>
          </w:p>
          <w:p w14:paraId="5B3A5D39" w14:textId="77777777" w:rsidR="00684051" w:rsidRPr="003403A5" w:rsidRDefault="00684051" w:rsidP="00792CEE">
            <w:pPr>
              <w:pStyle w:val="BodyText"/>
              <w:rPr>
                <w:rFonts w:ascii="Arial" w:hAnsi="Arial" w:cs="Arial"/>
                <w:color w:val="0D0D0D" w:themeColor="text1" w:themeTint="F2"/>
                <w:szCs w:val="24"/>
              </w:rPr>
            </w:pPr>
          </w:p>
          <w:p w14:paraId="175BC4E7" w14:textId="77777777" w:rsidR="00FB30B4" w:rsidRDefault="007820C3" w:rsidP="003403A5">
            <w:pPr>
              <w:pStyle w:val="BodyText"/>
              <w:rPr>
                <w:rFonts w:ascii="Arial" w:hAnsi="Arial" w:cs="Arial"/>
                <w:color w:val="0D0D0D" w:themeColor="text1" w:themeTint="F2"/>
                <w:szCs w:val="24"/>
              </w:rPr>
            </w:pPr>
            <w:r w:rsidRPr="003403A5">
              <w:rPr>
                <w:rFonts w:ascii="Arial" w:hAnsi="Arial" w:cs="Arial"/>
                <w:color w:val="0D0D0D" w:themeColor="text1" w:themeTint="F2"/>
                <w:szCs w:val="24"/>
              </w:rPr>
              <w:t xml:space="preserve">The proposed techniques / emission levels for priorities for control are in line with the benchmark levels contained in the TGN and we consider them to represent appropriate techniques for the facility. </w:t>
            </w:r>
          </w:p>
          <w:p w14:paraId="0FF152F4" w14:textId="6EF73DAD" w:rsidR="00DA46CD" w:rsidRPr="003403A5" w:rsidRDefault="00DA46CD" w:rsidP="003403A5">
            <w:pPr>
              <w:pStyle w:val="BodyText"/>
              <w:rPr>
                <w:rFonts w:ascii="Arial" w:hAnsi="Arial" w:cs="Arial"/>
                <w:color w:val="0D0D0D" w:themeColor="text1" w:themeTint="F2"/>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403A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BE366EF"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3403A5">
              <w:rPr>
                <w:rFonts w:ascii="Arial" w:eastAsia="Arial" w:hAnsi="Arial" w:cs="Arial"/>
                <w:color w:val="0D0D0D" w:themeColor="text1" w:themeTint="F2"/>
              </w:rPr>
              <w:t>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37A0" w14:textId="77777777" w:rsidR="003403A5" w:rsidRDefault="00340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9078D" w14:textId="13EF6EAD" w:rsidR="003403A5" w:rsidRDefault="003403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B514F" w14:textId="6375A8AE" w:rsidR="003403A5" w:rsidRDefault="003403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1F94A" w14:textId="1E3C8CBA" w:rsidR="003403A5" w:rsidRDefault="003403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07524792">
    <w:abstractNumId w:val="1"/>
  </w:num>
  <w:num w:numId="2" w16cid:durableId="970942897">
    <w:abstractNumId w:val="15"/>
  </w:num>
  <w:num w:numId="3" w16cid:durableId="191844321">
    <w:abstractNumId w:val="12"/>
  </w:num>
  <w:num w:numId="4" w16cid:durableId="740905789">
    <w:abstractNumId w:val="2"/>
  </w:num>
  <w:num w:numId="5" w16cid:durableId="1771730030">
    <w:abstractNumId w:val="4"/>
  </w:num>
  <w:num w:numId="6" w16cid:durableId="1860702882">
    <w:abstractNumId w:val="3"/>
  </w:num>
  <w:num w:numId="7" w16cid:durableId="105736345">
    <w:abstractNumId w:val="7"/>
  </w:num>
  <w:num w:numId="8" w16cid:durableId="1179782456">
    <w:abstractNumId w:val="14"/>
  </w:num>
  <w:num w:numId="9" w16cid:durableId="485828425">
    <w:abstractNumId w:val="18"/>
  </w:num>
  <w:num w:numId="10" w16cid:durableId="1720662034">
    <w:abstractNumId w:val="10"/>
  </w:num>
  <w:num w:numId="11" w16cid:durableId="627442610">
    <w:abstractNumId w:val="13"/>
  </w:num>
  <w:num w:numId="12" w16cid:durableId="248193376">
    <w:abstractNumId w:val="17"/>
  </w:num>
  <w:num w:numId="13" w16cid:durableId="1444808892">
    <w:abstractNumId w:val="16"/>
  </w:num>
  <w:num w:numId="14" w16cid:durableId="1603416673">
    <w:abstractNumId w:val="9"/>
  </w:num>
  <w:num w:numId="15" w16cid:durableId="1524902682">
    <w:abstractNumId w:val="11"/>
  </w:num>
  <w:num w:numId="16" w16cid:durableId="48656604">
    <w:abstractNumId w:val="5"/>
  </w:num>
  <w:num w:numId="17" w16cid:durableId="1381444200">
    <w:abstractNumId w:val="0"/>
  </w:num>
  <w:num w:numId="18" w16cid:durableId="1454246435">
    <w:abstractNumId w:val="8"/>
  </w:num>
  <w:num w:numId="19" w16cid:durableId="167190880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D69E9"/>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3A5"/>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2C8F"/>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84051"/>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77687"/>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A4FDB"/>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14F8"/>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42AD"/>
    <w:rsid w:val="00D7711B"/>
    <w:rsid w:val="00D7760F"/>
    <w:rsid w:val="00D8193B"/>
    <w:rsid w:val="00D825C3"/>
    <w:rsid w:val="00D96438"/>
    <w:rsid w:val="00DA0194"/>
    <w:rsid w:val="00DA46CD"/>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Revision">
    <w:name w:val="Revision"/>
    <w:hidden/>
    <w:uiPriority w:val="99"/>
    <w:semiHidden/>
    <w:rsid w:val="0077768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REGU-369-2761554</_dlc_DocId>
    <_dlc_DocIdUrl xmlns="9be56660-2c31-41ef-bc00-23e72f632f2a">
      <Url>https://cyfoethnaturiolcymru.sharepoint.com/teams/Regulatory/Permitting/_layouts/15/DocIdRedir.aspx?ID=REGU-369-2761554</Url>
      <Description>REGU-369-2761554</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Bodlonfa Hall Mews</Site_x0020_Name>
    <Internal_x002f_External xmlns="859f7ad6-93f6-4205-b62b-a17f28acbbac">Outgoing document</Internal_x002f_External>
    <Post_x0020_code xmlns="859f7ad6-93f6-4205-b62b-a17f28acbbac">LL17 0TT</Post_x0020_cod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Bodlonfa Hall, Ruallt, St Aspah, Denbighshire, LL17 0TT</Addressee>
    <Process_x0020_Type xmlns="859f7ad6-93f6-4205-b62b-a17f28acbbac">Application</Process_x0020_Type>
    <Surrendered_x002f_Expired xmlns="859f7ad6-93f6-4205-b62b-a17f28acbbac" xsi:nil="true"/>
    <Document_x0020_Date xmlns="859f7ad6-93f6-4205-b62b-a17f28acbbac">2025-10-14T23:00:00+00:00</Document_x0020_Date>
    <Facility_x0020_Address xmlns="859f7ad6-93f6-4205-b62b-a17f28acbbac">No.1  to 4 Bodlonfa Hall Mews, Cherry Tree House  and Bodlonfa Hall</Facility_x0020_Address>
    <Environment_x0020_Sub_x0020_Folder xmlns="859f7ad6-93f6-4205-b62b-a17f28acbbac">Licences applications</Environment_x0020_Sub_x0020_Folder>
    <Customer_x0020_Name xmlns="859f7ad6-93f6-4205-b62b-a17f28acbbac">Dr Harishchandra Medagedara</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39B7C333-792D-4A0B-A7A0-437720DC49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purl.org/dc/dcmitype/"/>
    <ds:schemaRef ds:uri="http://schemas.openxmlformats.org/package/2006/metadata/core-properties"/>
    <ds:schemaRef ds:uri="http://www.w3.org/XML/1998/namespace"/>
    <ds:schemaRef ds:uri="http://purl.org/dc/elements/1.1/"/>
    <ds:schemaRef ds:uri="http://schemas.microsoft.com/office/infopath/2007/PartnerControls"/>
    <ds:schemaRef ds:uri="9be56660-2c31-41ef-bc00-23e72f632f2a"/>
    <ds:schemaRef ds:uri="cd6faf52-b12f-444c-a3fc-1f0e7a71d996"/>
    <ds:schemaRef ds:uri="http://purl.org/dc/terms/"/>
    <ds:schemaRef ds:uri="http://schemas.microsoft.com/office/2006/documentManagement/types"/>
    <ds:schemaRef ds:uri="6e121689-de5b-41b9-a751-bfeda7fa2b07"/>
    <ds:schemaRef ds:uri="859f7ad6-93f6-4205-b62b-a17f28acbbac"/>
    <ds:schemaRef ds:uri="http://schemas.microsoft.com/office/2006/metadata/properties"/>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950</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Wakeford, James</cp:lastModifiedBy>
  <cp:revision>36</cp:revision>
  <cp:lastPrinted>2008-01-30T13:54:00Z</cp:lastPrinted>
  <dcterms:created xsi:type="dcterms:W3CDTF">2023-07-05T10:11:00Z</dcterms:created>
  <dcterms:modified xsi:type="dcterms:W3CDTF">2025-10-29T11:49:00Z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f7674404-74c6-4853-aad7-3188c352f761</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