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676B56" w:rsidRDefault="00A26EA6" w:rsidP="00D04424">
      <w:pPr>
        <w:pStyle w:val="Heading1"/>
        <w:jc w:val="left"/>
        <w:rPr>
          <w:color w:val="auto"/>
          <w:sz w:val="32"/>
          <w:szCs w:val="32"/>
        </w:rPr>
      </w:pPr>
      <w:r w:rsidRPr="00676B56">
        <w:rPr>
          <w:color w:val="auto"/>
          <w:sz w:val="32"/>
          <w:szCs w:val="32"/>
        </w:rPr>
        <w:t>Nat</w:t>
      </w:r>
      <w:r w:rsidR="00352859" w:rsidRPr="00676B56">
        <w:rPr>
          <w:color w:val="auto"/>
          <w:sz w:val="32"/>
          <w:szCs w:val="32"/>
        </w:rPr>
        <w:t>ur</w:t>
      </w:r>
      <w:r w:rsidRPr="00676B56">
        <w:rPr>
          <w:color w:val="auto"/>
          <w:sz w:val="32"/>
          <w:szCs w:val="32"/>
        </w:rPr>
        <w:t>al Resources Wales</w:t>
      </w:r>
      <w:r w:rsidR="0014332B" w:rsidRPr="00676B56">
        <w:rPr>
          <w:bCs/>
          <w:color w:val="auto"/>
          <w:sz w:val="32"/>
          <w:szCs w:val="32"/>
        </w:rPr>
        <w:t xml:space="preserve"> p</w:t>
      </w:r>
      <w:r w:rsidR="00D04424" w:rsidRPr="00676B56">
        <w:rPr>
          <w:bCs/>
          <w:color w:val="auto"/>
          <w:sz w:val="32"/>
          <w:szCs w:val="32"/>
        </w:rPr>
        <w:t>ermitting</w:t>
      </w:r>
      <w:r w:rsidR="00D04424" w:rsidRPr="00676B56">
        <w:rPr>
          <w:color w:val="auto"/>
          <w:sz w:val="32"/>
          <w:szCs w:val="32"/>
        </w:rPr>
        <w:t xml:space="preserve"> decisions</w:t>
      </w:r>
    </w:p>
    <w:p w14:paraId="0FF15248" w14:textId="77777777" w:rsidR="003719AD" w:rsidRPr="00676B56" w:rsidRDefault="003719AD" w:rsidP="003719AD">
      <w:pPr>
        <w:pStyle w:val="Heading1"/>
        <w:spacing w:before="0" w:after="0"/>
        <w:jc w:val="left"/>
        <w:rPr>
          <w:bCs/>
          <w:color w:val="auto"/>
          <w:sz w:val="24"/>
          <w:szCs w:val="24"/>
        </w:rPr>
      </w:pPr>
    </w:p>
    <w:p w14:paraId="0FF15249" w14:textId="2FF9293E" w:rsidR="00D04424" w:rsidRPr="00676B56" w:rsidRDefault="0014332B" w:rsidP="003719AD">
      <w:pPr>
        <w:pStyle w:val="Heading1"/>
        <w:spacing w:before="0" w:after="0"/>
        <w:jc w:val="left"/>
        <w:rPr>
          <w:bCs/>
          <w:color w:val="auto"/>
          <w:sz w:val="32"/>
        </w:rPr>
      </w:pPr>
      <w:r w:rsidRPr="00676B56">
        <w:rPr>
          <w:bCs/>
          <w:color w:val="auto"/>
          <w:sz w:val="32"/>
        </w:rPr>
        <w:t xml:space="preserve">Bespoke </w:t>
      </w:r>
      <w:r w:rsidR="001F0E23" w:rsidRPr="00676B56">
        <w:rPr>
          <w:bCs/>
          <w:color w:val="auto"/>
          <w:sz w:val="32"/>
        </w:rPr>
        <w:t>Variation</w:t>
      </w:r>
      <w:r w:rsidR="00B73ECB" w:rsidRPr="00676B56">
        <w:rPr>
          <w:bCs/>
          <w:color w:val="auto"/>
          <w:sz w:val="32"/>
        </w:rPr>
        <w:t xml:space="preserve"> </w:t>
      </w:r>
    </w:p>
    <w:p w14:paraId="41AC372F" w14:textId="77777777" w:rsidR="00136717" w:rsidRPr="00676B56" w:rsidRDefault="00136717" w:rsidP="00136717"/>
    <w:p w14:paraId="0FF15250" w14:textId="792B7A41" w:rsidR="00D04424" w:rsidRPr="00676B56" w:rsidRDefault="0060457F" w:rsidP="006B0BFB">
      <w:pPr>
        <w:spacing w:after="120"/>
        <w:rPr>
          <w:rFonts w:ascii="Arial" w:hAnsi="Arial" w:cs="Arial"/>
          <w:szCs w:val="24"/>
        </w:rPr>
      </w:pPr>
      <w:r w:rsidRPr="00676B56">
        <w:rPr>
          <w:rFonts w:ascii="Arial" w:hAnsi="Arial" w:cs="Arial"/>
          <w:szCs w:val="24"/>
        </w:rPr>
        <w:t xml:space="preserve">We have decided to </w:t>
      </w:r>
      <w:r w:rsidR="00D2020E" w:rsidRPr="00676B56">
        <w:rPr>
          <w:rFonts w:ascii="Arial" w:hAnsi="Arial" w:cs="Arial"/>
          <w:szCs w:val="24"/>
        </w:rPr>
        <w:t xml:space="preserve">issue </w:t>
      </w:r>
      <w:r w:rsidRPr="00676B56">
        <w:rPr>
          <w:rFonts w:ascii="Arial" w:hAnsi="Arial" w:cs="Arial"/>
          <w:szCs w:val="24"/>
        </w:rPr>
        <w:t>the variation fo</w:t>
      </w:r>
      <w:r w:rsidR="00676B56" w:rsidRPr="00676B56">
        <w:rPr>
          <w:rFonts w:ascii="Arial" w:hAnsi="Arial" w:cs="Arial"/>
          <w:szCs w:val="24"/>
        </w:rPr>
        <w:t xml:space="preserve">r </w:t>
      </w:r>
      <w:proofErr w:type="spellStart"/>
      <w:r w:rsidR="00676B56" w:rsidRPr="00676B56">
        <w:rPr>
          <w:rFonts w:ascii="Arial" w:hAnsi="Arial" w:cs="Arial"/>
          <w:szCs w:val="24"/>
        </w:rPr>
        <w:t>Henllan</w:t>
      </w:r>
      <w:proofErr w:type="spellEnd"/>
      <w:r w:rsidR="00676B56" w:rsidRPr="00676B56">
        <w:rPr>
          <w:rFonts w:ascii="Arial" w:hAnsi="Arial" w:cs="Arial"/>
          <w:szCs w:val="24"/>
        </w:rPr>
        <w:t xml:space="preserve"> Chalet and Leisure Park</w:t>
      </w:r>
      <w:r w:rsidRPr="00676B56">
        <w:rPr>
          <w:rFonts w:ascii="Arial" w:hAnsi="Arial" w:cs="Arial"/>
          <w:szCs w:val="24"/>
        </w:rPr>
        <w:t xml:space="preserve"> operated by </w:t>
      </w:r>
      <w:proofErr w:type="spellStart"/>
      <w:r w:rsidR="00676B56" w:rsidRPr="00676B56">
        <w:rPr>
          <w:rFonts w:ascii="Arial" w:hAnsi="Arial" w:cs="Arial"/>
          <w:szCs w:val="24"/>
        </w:rPr>
        <w:t>Henllan</w:t>
      </w:r>
      <w:proofErr w:type="spellEnd"/>
      <w:r w:rsidR="00676B56" w:rsidRPr="00676B56">
        <w:rPr>
          <w:rFonts w:ascii="Arial" w:hAnsi="Arial" w:cs="Arial"/>
          <w:szCs w:val="24"/>
        </w:rPr>
        <w:t xml:space="preserve"> Chalet and Leisure Park Limited.</w:t>
      </w:r>
    </w:p>
    <w:p w14:paraId="178F17B4" w14:textId="76C9D668" w:rsidR="00E907C6" w:rsidRPr="00676B56" w:rsidRDefault="00E907C6" w:rsidP="006B0BFB">
      <w:pPr>
        <w:tabs>
          <w:tab w:val="left" w:pos="4253"/>
          <w:tab w:val="left" w:pos="6804"/>
        </w:tabs>
        <w:spacing w:after="120"/>
        <w:rPr>
          <w:rFonts w:ascii="Arial" w:hAnsi="Arial"/>
          <w:kern w:val="28"/>
          <w:szCs w:val="24"/>
        </w:rPr>
      </w:pPr>
      <w:bookmarkStart w:id="0" w:name="OLE_LINK1"/>
      <w:bookmarkStart w:id="1" w:name="OLE_LINK2"/>
      <w:r w:rsidRPr="00676B56">
        <w:rPr>
          <w:rFonts w:ascii="Arial" w:hAnsi="Arial"/>
          <w:kern w:val="28"/>
          <w:szCs w:val="24"/>
        </w:rPr>
        <w:t xml:space="preserve">The application number is </w:t>
      </w:r>
      <w:r w:rsidR="00676B56" w:rsidRPr="00676B56">
        <w:rPr>
          <w:rFonts w:ascii="Arial" w:hAnsi="Arial"/>
          <w:szCs w:val="24"/>
        </w:rPr>
        <w:t>PAN-003657</w:t>
      </w:r>
    </w:p>
    <w:p w14:paraId="0FF15251" w14:textId="1AD5EE59" w:rsidR="00D04424" w:rsidRPr="00676B56" w:rsidRDefault="00D04424" w:rsidP="006B0BFB">
      <w:pPr>
        <w:tabs>
          <w:tab w:val="left" w:pos="4253"/>
          <w:tab w:val="left" w:pos="6804"/>
        </w:tabs>
        <w:spacing w:after="120"/>
        <w:rPr>
          <w:rFonts w:ascii="Arial" w:hAnsi="Arial"/>
          <w:szCs w:val="24"/>
        </w:rPr>
      </w:pPr>
      <w:r w:rsidRPr="00676B56">
        <w:rPr>
          <w:rFonts w:ascii="Arial" w:hAnsi="Arial"/>
          <w:kern w:val="28"/>
          <w:szCs w:val="24"/>
        </w:rPr>
        <w:t>The</w:t>
      </w:r>
      <w:r w:rsidRPr="00676B56">
        <w:rPr>
          <w:rFonts w:ascii="Arial" w:hAnsi="Arial"/>
          <w:b/>
          <w:kern w:val="28"/>
          <w:szCs w:val="24"/>
        </w:rPr>
        <w:t xml:space="preserve"> </w:t>
      </w:r>
      <w:r w:rsidRPr="00676B56">
        <w:rPr>
          <w:rFonts w:ascii="Arial" w:hAnsi="Arial"/>
          <w:szCs w:val="24"/>
        </w:rPr>
        <w:t xml:space="preserve">permit number is </w:t>
      </w:r>
      <w:r w:rsidR="00676B56" w:rsidRPr="00676B56">
        <w:rPr>
          <w:rFonts w:ascii="Arial" w:hAnsi="Arial"/>
          <w:szCs w:val="24"/>
        </w:rPr>
        <w:t>S/01/56096/SG</w:t>
      </w:r>
    </w:p>
    <w:p w14:paraId="39C9ACFC" w14:textId="77777777" w:rsidR="00676B56" w:rsidRDefault="00676B56" w:rsidP="00676B56">
      <w:pPr>
        <w:pStyle w:val="Draftingnote"/>
        <w:spacing w:before="0"/>
        <w:rPr>
          <w:rFonts w:cs="Arial"/>
          <w:i w:val="0"/>
          <w:color w:val="auto"/>
          <w:sz w:val="22"/>
          <w:szCs w:val="22"/>
        </w:rPr>
      </w:pPr>
      <w:r w:rsidRPr="00CF39D2">
        <w:rPr>
          <w:rFonts w:cs="Arial"/>
          <w:i w:val="0"/>
          <w:color w:val="auto"/>
          <w:sz w:val="22"/>
          <w:szCs w:val="22"/>
        </w:rPr>
        <w:t xml:space="preserve">The permit has been varied to include three existing unregulated septic tank discharges to ground. The three septic tanks have been in situ and discharging since the late 1960’s and there is no known information on the standard the </w:t>
      </w:r>
      <w:r>
        <w:rPr>
          <w:rFonts w:cs="Arial"/>
          <w:i w:val="0"/>
          <w:color w:val="auto"/>
          <w:sz w:val="22"/>
          <w:szCs w:val="22"/>
        </w:rPr>
        <w:t>drainage fields</w:t>
      </w:r>
      <w:r w:rsidRPr="00CF39D2">
        <w:rPr>
          <w:rFonts w:cs="Arial"/>
          <w:i w:val="0"/>
          <w:color w:val="auto"/>
          <w:sz w:val="22"/>
          <w:szCs w:val="22"/>
        </w:rPr>
        <w:t xml:space="preserve"> were constructed to. Therefore, this permit has been issued with the improvement condition (Table S1.2) to upgrade the three</w:t>
      </w:r>
      <w:r>
        <w:rPr>
          <w:rFonts w:cs="Arial"/>
          <w:i w:val="0"/>
          <w:color w:val="auto"/>
          <w:sz w:val="22"/>
          <w:szCs w:val="22"/>
        </w:rPr>
        <w:t xml:space="preserve"> drainage fields </w:t>
      </w:r>
      <w:r w:rsidRPr="00CF39D2">
        <w:rPr>
          <w:rFonts w:cs="Arial"/>
          <w:i w:val="0"/>
          <w:color w:val="auto"/>
          <w:sz w:val="22"/>
          <w:szCs w:val="22"/>
        </w:rPr>
        <w:t>so that they meet British Standard BS 6297:2007+A1:2008</w:t>
      </w:r>
      <w:r>
        <w:rPr>
          <w:rFonts w:cs="Arial"/>
          <w:i w:val="0"/>
          <w:color w:val="auto"/>
          <w:sz w:val="22"/>
          <w:szCs w:val="22"/>
        </w:rPr>
        <w:t xml:space="preserve">, </w:t>
      </w:r>
      <w:r w:rsidRPr="00453BE7">
        <w:rPr>
          <w:rFonts w:cs="Arial"/>
          <w:i w:val="0"/>
          <w:color w:val="auto"/>
          <w:sz w:val="22"/>
          <w:szCs w:val="22"/>
        </w:rPr>
        <w:t>Code of practice for the design and installation of drainage fields for use in wastewater treatment’</w:t>
      </w:r>
      <w:r>
        <w:rPr>
          <w:szCs w:val="18"/>
        </w:rPr>
        <w:t xml:space="preserve"> </w:t>
      </w:r>
      <w:r w:rsidRPr="00CF39D2">
        <w:rPr>
          <w:rFonts w:cs="Arial"/>
          <w:i w:val="0"/>
          <w:color w:val="auto"/>
          <w:sz w:val="22"/>
          <w:szCs w:val="22"/>
        </w:rPr>
        <w:t>within 24 months of th</w:t>
      </w:r>
      <w:r>
        <w:rPr>
          <w:rFonts w:cs="Arial"/>
          <w:i w:val="0"/>
          <w:color w:val="auto"/>
          <w:sz w:val="22"/>
          <w:szCs w:val="22"/>
        </w:rPr>
        <w:t>e</w:t>
      </w:r>
      <w:r w:rsidRPr="00CF39D2">
        <w:rPr>
          <w:rFonts w:cs="Arial"/>
          <w:i w:val="0"/>
          <w:color w:val="auto"/>
          <w:sz w:val="22"/>
          <w:szCs w:val="22"/>
        </w:rPr>
        <w:t xml:space="preserve"> permit </w:t>
      </w:r>
      <w:r>
        <w:rPr>
          <w:rFonts w:cs="Arial"/>
          <w:i w:val="0"/>
          <w:color w:val="auto"/>
          <w:sz w:val="22"/>
          <w:szCs w:val="22"/>
        </w:rPr>
        <w:t xml:space="preserve">variation </w:t>
      </w:r>
      <w:r w:rsidRPr="00CF39D2">
        <w:rPr>
          <w:rFonts w:cs="Arial"/>
          <w:i w:val="0"/>
          <w:color w:val="auto"/>
          <w:sz w:val="22"/>
          <w:szCs w:val="22"/>
        </w:rPr>
        <w:t xml:space="preserve">issue date. </w:t>
      </w:r>
    </w:p>
    <w:p w14:paraId="08FE0CBA" w14:textId="77777777" w:rsidR="00676B56" w:rsidRDefault="00676B56" w:rsidP="00676B56">
      <w:pPr>
        <w:pStyle w:val="Draftingnote"/>
        <w:spacing w:before="0"/>
        <w:rPr>
          <w:rFonts w:cs="Arial"/>
          <w:i w:val="0"/>
          <w:color w:val="auto"/>
          <w:sz w:val="22"/>
          <w:szCs w:val="22"/>
        </w:rPr>
      </w:pPr>
    </w:p>
    <w:p w14:paraId="153AF27F" w14:textId="77777777" w:rsidR="00676B56" w:rsidRPr="00CF39D2" w:rsidRDefault="00676B56" w:rsidP="00676B56">
      <w:pPr>
        <w:pStyle w:val="Draftingnote"/>
        <w:spacing w:before="0"/>
        <w:rPr>
          <w:rFonts w:cs="Arial"/>
          <w:i w:val="0"/>
          <w:color w:val="auto"/>
          <w:sz w:val="22"/>
          <w:szCs w:val="22"/>
        </w:rPr>
      </w:pPr>
      <w:r>
        <w:rPr>
          <w:rFonts w:cs="Arial"/>
          <w:i w:val="0"/>
          <w:color w:val="auto"/>
          <w:sz w:val="22"/>
          <w:szCs w:val="22"/>
        </w:rPr>
        <w:t xml:space="preserve">The discharge from the package treatment plant to ground that serves the chalets remains unchanged and continues to be regulated by this permit. </w:t>
      </w:r>
    </w:p>
    <w:p w14:paraId="0FF15252" w14:textId="41AD8B66"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lastRenderedPageBreak/>
        <w:br w:type="page"/>
      </w:r>
      <w:r w:rsidR="00591E64" w:rsidRPr="005B6A95">
        <w:rPr>
          <w:bCs/>
          <w:sz w:val="24"/>
        </w:rPr>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209B1A0" w:rsidR="007820C3" w:rsidRPr="00676B56" w:rsidRDefault="007820C3" w:rsidP="007820C3">
            <w:pPr>
              <w:pStyle w:val="Heading3"/>
              <w:spacing w:before="60"/>
              <w:rPr>
                <w:rFonts w:ascii="Arial" w:hAnsi="Arial" w:cs="Arial"/>
                <w:b w:val="0"/>
                <w:szCs w:val="24"/>
                <w:highlight w:val="red"/>
              </w:rPr>
            </w:pPr>
            <w:r w:rsidRPr="00676B56">
              <w:rPr>
                <w:rFonts w:ascii="Arial" w:hAnsi="Arial" w:cs="Arial"/>
                <w:b w:val="0"/>
                <w:szCs w:val="24"/>
              </w:rPr>
              <w:t xml:space="preserve">Responses to web publicising </w:t>
            </w:r>
          </w:p>
        </w:tc>
        <w:tc>
          <w:tcPr>
            <w:tcW w:w="6266" w:type="dxa"/>
            <w:tcBorders>
              <w:bottom w:val="single" w:sz="4" w:space="0" w:color="auto"/>
            </w:tcBorders>
          </w:tcPr>
          <w:p w14:paraId="0FF1529A" w14:textId="29FE9856" w:rsidR="007820C3" w:rsidRPr="00676B56" w:rsidRDefault="007820C3" w:rsidP="007820C3">
            <w:pPr>
              <w:spacing w:before="60"/>
              <w:rPr>
                <w:rFonts w:ascii="Arial" w:hAnsi="Arial" w:cs="Arial"/>
                <w:szCs w:val="24"/>
              </w:rPr>
            </w:pPr>
            <w:r w:rsidRPr="00676B56">
              <w:rPr>
                <w:rFonts w:ascii="Arial" w:hAnsi="Arial" w:cs="Arial"/>
                <w:szCs w:val="24"/>
              </w:rPr>
              <w:t>The</w:t>
            </w:r>
            <w:r w:rsidR="00676B56" w:rsidRPr="00676B56">
              <w:rPr>
                <w:rFonts w:ascii="Arial" w:hAnsi="Arial" w:cs="Arial"/>
                <w:szCs w:val="24"/>
              </w:rPr>
              <w:t>re were no</w:t>
            </w:r>
            <w:r w:rsidRPr="00676B56">
              <w:rPr>
                <w:rFonts w:ascii="Arial" w:hAnsi="Arial" w:cs="Arial"/>
                <w:szCs w:val="24"/>
              </w:rPr>
              <w:t xml:space="preserve"> web publicising</w:t>
            </w:r>
            <w:r w:rsidR="00676B56" w:rsidRPr="00676B56">
              <w:rPr>
                <w:rFonts w:ascii="Arial" w:hAnsi="Arial" w:cs="Arial"/>
                <w:szCs w:val="24"/>
              </w:rPr>
              <w:t xml:space="preserve"> </w:t>
            </w:r>
            <w:r w:rsidRPr="00676B56">
              <w:rPr>
                <w:rFonts w:ascii="Arial" w:hAnsi="Arial" w:cs="Arial"/>
                <w:szCs w:val="24"/>
              </w:rPr>
              <w:t>responses</w:t>
            </w:r>
            <w:r w:rsidR="00676B56" w:rsidRPr="00676B56">
              <w:rPr>
                <w:rFonts w:ascii="Arial" w:hAnsi="Arial" w:cs="Arial"/>
                <w:szCs w:val="24"/>
              </w:rPr>
              <w:t>.</w:t>
            </w:r>
          </w:p>
          <w:p w14:paraId="0FF1529B" w14:textId="77777777" w:rsidR="007820C3" w:rsidRPr="00676B56" w:rsidRDefault="007820C3" w:rsidP="007820C3">
            <w:pPr>
              <w:spacing w:before="60"/>
              <w:rPr>
                <w:rFonts w:ascii="Arial" w:hAnsi="Arial" w:cs="Arial"/>
                <w:szCs w:val="24"/>
              </w:rPr>
            </w:pPr>
          </w:p>
          <w:p w14:paraId="0FF1529C" w14:textId="77777777" w:rsidR="007820C3" w:rsidRPr="00676B56" w:rsidRDefault="007820C3" w:rsidP="007820C3">
            <w:pPr>
              <w:spacing w:before="60"/>
              <w:rPr>
                <w:rFonts w:ascii="Arial" w:hAnsi="Arial" w:cs="Arial"/>
                <w:szCs w:val="24"/>
              </w:rPr>
            </w:pPr>
            <w:r w:rsidRPr="00676B56">
              <w:rPr>
                <w:rFonts w:ascii="Arial" w:hAnsi="Arial" w:cs="Arial"/>
                <w:szCs w:val="24"/>
              </w:rPr>
              <w:t xml:space="preserve">The decision was taken in accordance with our guidance. </w:t>
            </w:r>
          </w:p>
          <w:p w14:paraId="0FF1529D" w14:textId="77777777" w:rsidR="007820C3" w:rsidRPr="00676B5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056E5F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5514DFED" w14:textId="77777777" w:rsidR="00FB30B4" w:rsidRDefault="007820C3" w:rsidP="00676B56">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32E6A356" w:rsidR="00676B56" w:rsidRPr="007820C3" w:rsidRDefault="00676B56" w:rsidP="00676B5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76B56" w:rsidRDefault="007820C3" w:rsidP="00A60F17">
            <w:pPr>
              <w:rPr>
                <w:rFonts w:ascii="Arial" w:hAnsi="Arial" w:cs="Arial"/>
                <w:szCs w:val="24"/>
              </w:rPr>
            </w:pPr>
            <w:r w:rsidRPr="00676B56">
              <w:rPr>
                <w:rFonts w:ascii="Arial" w:hAnsi="Arial" w:cs="Arial"/>
                <w:szCs w:val="24"/>
              </w:rPr>
              <w:t>Environmental risk</w:t>
            </w:r>
          </w:p>
          <w:p w14:paraId="0FF152E1" w14:textId="35CF56EA" w:rsidR="007820C3" w:rsidRPr="00676B56" w:rsidRDefault="007820C3" w:rsidP="00A26EA6">
            <w:pPr>
              <w:rPr>
                <w:rFonts w:ascii="Arial" w:hAnsi="Arial" w:cs="Arial"/>
                <w:szCs w:val="24"/>
              </w:rPr>
            </w:pPr>
          </w:p>
        </w:tc>
        <w:tc>
          <w:tcPr>
            <w:tcW w:w="6266" w:type="dxa"/>
          </w:tcPr>
          <w:p w14:paraId="0FF152E2" w14:textId="77777777" w:rsidR="007820C3" w:rsidRPr="00676B56" w:rsidRDefault="007820C3" w:rsidP="00A60F17">
            <w:pPr>
              <w:rPr>
                <w:rFonts w:ascii="Arial" w:hAnsi="Arial" w:cs="Arial"/>
                <w:szCs w:val="24"/>
              </w:rPr>
            </w:pPr>
            <w:r w:rsidRPr="00676B56">
              <w:rPr>
                <w:rFonts w:ascii="Arial" w:hAnsi="Arial" w:cs="Arial"/>
                <w:szCs w:val="24"/>
              </w:rPr>
              <w:t xml:space="preserve">We have carried out a risk assessment on behalf of the operator.  </w:t>
            </w:r>
          </w:p>
          <w:p w14:paraId="0FF152E3" w14:textId="77777777" w:rsidR="00FB30B4" w:rsidRPr="00676B56" w:rsidRDefault="00FB30B4" w:rsidP="00A60F17">
            <w:pPr>
              <w:rPr>
                <w:rFonts w:ascii="Arial" w:hAnsi="Arial" w:cs="Arial"/>
                <w:szCs w:val="24"/>
              </w:rPr>
            </w:pPr>
          </w:p>
          <w:p w14:paraId="0FF152E4" w14:textId="77777777" w:rsidR="007820C3" w:rsidRPr="00676B56" w:rsidRDefault="007820C3" w:rsidP="00A60F17">
            <w:pPr>
              <w:rPr>
                <w:rFonts w:ascii="Arial" w:hAnsi="Arial" w:cs="Arial"/>
                <w:szCs w:val="24"/>
              </w:rPr>
            </w:pPr>
            <w:r w:rsidRPr="00676B56">
              <w:rPr>
                <w:rFonts w:ascii="Arial" w:hAnsi="Arial" w:cs="Arial"/>
                <w:szCs w:val="24"/>
              </w:rPr>
              <w:t xml:space="preserve">The operator considers this risk assessment is satisfactory. </w:t>
            </w:r>
          </w:p>
          <w:p w14:paraId="0FF152E5" w14:textId="078D34E9" w:rsidR="007820C3" w:rsidRPr="00676B56" w:rsidRDefault="007820C3" w:rsidP="00A60F17">
            <w:pPr>
              <w:rPr>
                <w:rFonts w:ascii="Arial" w:hAnsi="Arial" w:cs="Arial"/>
                <w:szCs w:val="24"/>
              </w:rPr>
            </w:pPr>
          </w:p>
          <w:p w14:paraId="0FF152E9" w14:textId="4EE132BC" w:rsidR="00FB30B4" w:rsidRPr="00676B56" w:rsidRDefault="007820C3" w:rsidP="00676B56">
            <w:pPr>
              <w:pStyle w:val="BodyText"/>
              <w:rPr>
                <w:rFonts w:ascii="Arial" w:hAnsi="Arial" w:cs="Arial"/>
                <w:color w:val="auto"/>
                <w:szCs w:val="24"/>
              </w:rPr>
            </w:pPr>
            <w:r w:rsidRPr="00676B56">
              <w:rPr>
                <w:rFonts w:ascii="Arial" w:hAnsi="Arial" w:cs="Arial"/>
                <w:color w:val="auto"/>
                <w:szCs w:val="24"/>
              </w:rPr>
              <w:t>The assessment shows that, applying the conservative criteria in our guidance on Environmental Risk Assessment, all emissions may be categorised as environmentally insignificant</w:t>
            </w:r>
            <w:r w:rsidR="00676B56" w:rsidRPr="00676B56">
              <w:rPr>
                <w:rFonts w:ascii="Arial" w:hAnsi="Arial" w:cs="Arial"/>
                <w:color w:val="auto"/>
                <w:szCs w:val="24"/>
              </w:rPr>
              <w: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676B56" w:rsidRDefault="007820C3" w:rsidP="00792CEE">
            <w:pPr>
              <w:rPr>
                <w:rFonts w:ascii="Arial" w:hAnsi="Arial" w:cs="Arial"/>
                <w:szCs w:val="24"/>
              </w:rPr>
            </w:pPr>
            <w:r w:rsidRPr="00676B56">
              <w:rPr>
                <w:rFonts w:ascii="Arial" w:hAnsi="Arial" w:cs="Arial"/>
                <w:szCs w:val="24"/>
              </w:rPr>
              <w:t>Operating techniques</w:t>
            </w:r>
          </w:p>
        </w:tc>
        <w:tc>
          <w:tcPr>
            <w:tcW w:w="6266" w:type="dxa"/>
          </w:tcPr>
          <w:p w14:paraId="0FF152ED" w14:textId="77777777" w:rsidR="007820C3" w:rsidRPr="00676B56" w:rsidRDefault="007820C3" w:rsidP="00792CEE">
            <w:pPr>
              <w:pStyle w:val="BodyText"/>
              <w:rPr>
                <w:rFonts w:ascii="Arial" w:hAnsi="Arial" w:cs="Arial"/>
                <w:color w:val="auto"/>
                <w:szCs w:val="24"/>
              </w:rPr>
            </w:pPr>
            <w:r w:rsidRPr="00676B56">
              <w:rPr>
                <w:rFonts w:ascii="Arial" w:hAnsi="Arial" w:cs="Arial"/>
                <w:color w:val="auto"/>
                <w:szCs w:val="24"/>
              </w:rPr>
              <w:t xml:space="preserve">We have reviewed the techniques used by the operator and compared these with the relevant guidance notes. </w:t>
            </w:r>
          </w:p>
          <w:p w14:paraId="47209EFF" w14:textId="77777777" w:rsidR="00676B56" w:rsidRPr="00676B56" w:rsidRDefault="00676B56" w:rsidP="00792CEE">
            <w:pPr>
              <w:pStyle w:val="BodyText"/>
              <w:rPr>
                <w:rFonts w:ascii="Arial" w:hAnsi="Arial" w:cs="Arial"/>
                <w:color w:val="auto"/>
                <w:szCs w:val="24"/>
              </w:rPr>
            </w:pPr>
          </w:p>
          <w:p w14:paraId="0FF152EF" w14:textId="7A9527B1" w:rsidR="007820C3" w:rsidRPr="00676B56" w:rsidRDefault="007820C3" w:rsidP="00792CEE">
            <w:pPr>
              <w:pStyle w:val="BodyText"/>
              <w:rPr>
                <w:rFonts w:ascii="Arial" w:hAnsi="Arial" w:cs="Arial"/>
                <w:color w:val="auto"/>
                <w:szCs w:val="24"/>
              </w:rPr>
            </w:pPr>
            <w:r w:rsidRPr="00676B5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3DC45662" w:rsidR="00FB30B4" w:rsidRPr="00676B56" w:rsidRDefault="00FB30B4" w:rsidP="00676B56">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676B56" w:rsidRDefault="007820C3" w:rsidP="00792CEE">
            <w:pPr>
              <w:rPr>
                <w:rFonts w:ascii="Arial" w:hAnsi="Arial" w:cs="Arial"/>
                <w:szCs w:val="24"/>
              </w:rPr>
            </w:pPr>
            <w:bookmarkStart w:id="2" w:name="_GoBack" w:colFirst="0" w:colLast="1"/>
            <w:r w:rsidRPr="00676B56">
              <w:rPr>
                <w:rFonts w:ascii="Arial" w:hAnsi="Arial" w:cs="Arial"/>
                <w:szCs w:val="24"/>
              </w:rPr>
              <w:t>Improvement conditions</w:t>
            </w:r>
          </w:p>
        </w:tc>
        <w:tc>
          <w:tcPr>
            <w:tcW w:w="6266" w:type="dxa"/>
          </w:tcPr>
          <w:p w14:paraId="0FF15313" w14:textId="77777777" w:rsidR="007820C3" w:rsidRPr="00676B56" w:rsidRDefault="007820C3" w:rsidP="00DC3714">
            <w:pPr>
              <w:rPr>
                <w:rFonts w:ascii="Arial" w:hAnsi="Arial" w:cs="Arial"/>
                <w:szCs w:val="24"/>
              </w:rPr>
            </w:pPr>
            <w:r w:rsidRPr="00676B56">
              <w:rPr>
                <w:rFonts w:ascii="Arial" w:hAnsi="Arial" w:cs="Arial"/>
                <w:szCs w:val="24"/>
              </w:rPr>
              <w:t xml:space="preserve">Based on the information on the application, we consider that we need to impose improvement conditions.   </w:t>
            </w:r>
          </w:p>
          <w:p w14:paraId="0FF15314" w14:textId="77777777" w:rsidR="007820C3" w:rsidRPr="00676B56" w:rsidRDefault="007820C3" w:rsidP="00DC3714">
            <w:pPr>
              <w:rPr>
                <w:rFonts w:ascii="Arial" w:hAnsi="Arial" w:cs="Arial"/>
                <w:szCs w:val="24"/>
              </w:rPr>
            </w:pPr>
          </w:p>
          <w:p w14:paraId="0FF15315" w14:textId="2821F077" w:rsidR="007820C3" w:rsidRPr="00676B56" w:rsidRDefault="007820C3" w:rsidP="00D2020E">
            <w:pPr>
              <w:rPr>
                <w:rFonts w:ascii="Arial" w:hAnsi="Arial" w:cs="Arial"/>
                <w:szCs w:val="24"/>
              </w:rPr>
            </w:pPr>
            <w:r w:rsidRPr="00676B56">
              <w:rPr>
                <w:rFonts w:ascii="Arial" w:hAnsi="Arial" w:cs="Arial"/>
                <w:szCs w:val="24"/>
              </w:rPr>
              <w:t>We have imposed improvement conditions to ensure that</w:t>
            </w:r>
            <w:r w:rsidR="00676B56" w:rsidRPr="00676B56">
              <w:rPr>
                <w:rFonts w:ascii="Arial" w:hAnsi="Arial" w:cs="Arial"/>
                <w:szCs w:val="24"/>
              </w:rPr>
              <w:t xml:space="preserve"> the existing infiltration systems are constructed to British Standard </w:t>
            </w:r>
            <w:r w:rsidR="00676B56" w:rsidRPr="00676B56">
              <w:rPr>
                <w:rFonts w:ascii="Arial" w:hAnsi="Arial" w:cs="Arial"/>
                <w:szCs w:val="24"/>
              </w:rPr>
              <w:t>BS 6297:2007+A1:2008, Code of practice for the design and installation of drainage fields for use in wastewater treatment’</w:t>
            </w:r>
          </w:p>
          <w:p w14:paraId="0FF15316" w14:textId="77777777" w:rsidR="00FB30B4" w:rsidRPr="00676B56" w:rsidRDefault="00FB30B4" w:rsidP="00D2020E">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bookmarkEnd w:id="2"/>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48BCD687" w:rsidR="00E96702" w:rsidRPr="00676B56"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2AF390C3" w:rsidR="00C44B7E" w:rsidRDefault="00C44B7E" w:rsidP="00676B56">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76B56"/>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183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676B56"/>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676B56"/>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Henllan Chalet and Leisure Park</Site_x0020_Name>
    <Internal_x002f_External xmlns="859f7ad6-93f6-4205-b62b-a17f28acbbac">Outgoing document</Internal_x002f_External>
    <Post_x0020_code xmlns="859f7ad6-93f6-4205-b62b-a17f28acbbac">SY21 9EJ</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2019-02-06T00:00:00+00:00</Document_x0020_Date>
    <Facility_x0020_Address xmlns="859f7ad6-93f6-4205-b62b-a17f28acbbac">Henllan Fawr Chalet Park, Llangniew, Welshpool</Facility_x0020_Address>
    <Environment_x0020_Sub_x0020_Folder xmlns="859f7ad6-93f6-4205-b62b-a17f28acbbac">Licence variation</Environment_x0020_Sub_x0020_Folder>
    <Customer_x0020_Name xmlns="859f7ad6-93f6-4205-b62b-a17f28acbbac">Henllan Chalet and Leisure Park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F6140C0-F3DB-4C55-BF26-B29C8276733F}"/>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724</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3</cp:revision>
  <cp:lastPrinted>2008-01-30T13:54:00Z</cp:lastPrinted>
  <dcterms:created xsi:type="dcterms:W3CDTF">2019-02-06T11:38:00Z</dcterms:created>
  <dcterms:modified xsi:type="dcterms:W3CDTF">2019-02-06T11:45:00Z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c86ac2c2-9341-49ed-ad6d-29277db22abc</vt:lpwstr>
  </property>
  <property fmtid="{D5CDD505-2E9C-101B-9397-08002B2CF9AE}" pid="11" name="SharedWithUsers">
    <vt:lpwstr/>
  </property>
  <property fmtid="{D5CDD505-2E9C-101B-9397-08002B2CF9AE}" pid="12" name="_dlc_DocId">
    <vt:lpwstr>REGU-212-37949</vt:lpwstr>
  </property>
  <property fmtid="{D5CDD505-2E9C-101B-9397-08002B2CF9AE}" pid="13" name="_dlc_DocIdUrl">
    <vt:lpwstr>https://cyfoethnaturiolcymru.sharepoint.com/teams/Regulatory/Permitting/_layouts/15/DocIdRedir.aspx?ID=REGU-212-37949, REGU-212-37949</vt:lpwstr>
  </property>
</Properties>
</file>