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bookmarkStart w:id="0" w:name="_GoBack"/>
      <w:bookmarkEnd w:id="0"/>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3ABC98B0" w14:textId="77777777" w:rsidR="001E421E" w:rsidRDefault="001E421E" w:rsidP="001E421E">
      <w:pPr>
        <w:pStyle w:val="Heading1"/>
        <w:spacing w:before="0" w:after="0"/>
        <w:jc w:val="left"/>
        <w:rPr>
          <w:rFonts w:cs="Arial"/>
          <w:b w:val="0"/>
          <w:color w:val="auto"/>
          <w:kern w:val="0"/>
          <w:sz w:val="24"/>
        </w:rPr>
      </w:pPr>
      <w:r>
        <w:rPr>
          <w:bCs/>
          <w:color w:val="auto"/>
          <w:sz w:val="32"/>
        </w:rPr>
        <w:t xml:space="preserve">Full transfer </w:t>
      </w:r>
    </w:p>
    <w:p w14:paraId="703A5BD2" w14:textId="77777777" w:rsidR="001E421E" w:rsidRDefault="001E421E" w:rsidP="001E421E">
      <w:pPr>
        <w:spacing w:after="60"/>
        <w:rPr>
          <w:rFonts w:ascii="Arial" w:hAnsi="Arial" w:cs="Arial"/>
          <w:szCs w:val="24"/>
        </w:rPr>
      </w:pPr>
    </w:p>
    <w:p w14:paraId="09E176DC" w14:textId="77777777" w:rsidR="001E421E" w:rsidRDefault="001E421E" w:rsidP="001E421E">
      <w:pPr>
        <w:spacing w:after="60"/>
        <w:rPr>
          <w:rFonts w:ascii="Arial" w:hAnsi="Arial" w:cs="Arial"/>
          <w:szCs w:val="24"/>
        </w:rPr>
      </w:pPr>
      <w:r>
        <w:rPr>
          <w:rFonts w:ascii="Arial" w:hAnsi="Arial" w:cs="Arial"/>
          <w:szCs w:val="24"/>
        </w:rPr>
        <w:t>We have decided to grant the transfer for Llandow Metals Ltd from Mr Paul Jones to Llandow Metals Limited.</w:t>
      </w:r>
    </w:p>
    <w:p w14:paraId="29999B3B" w14:textId="77777777" w:rsidR="001E421E" w:rsidRDefault="001E421E" w:rsidP="001E421E">
      <w:pPr>
        <w:tabs>
          <w:tab w:val="left" w:pos="4253"/>
          <w:tab w:val="left" w:pos="6804"/>
        </w:tabs>
        <w:spacing w:after="60"/>
        <w:rPr>
          <w:rFonts w:ascii="Arial" w:hAnsi="Arial"/>
          <w:kern w:val="28"/>
          <w:szCs w:val="24"/>
        </w:rPr>
      </w:pPr>
    </w:p>
    <w:p w14:paraId="04E500F3" w14:textId="04E843C4" w:rsidR="001E421E" w:rsidRDefault="001E421E" w:rsidP="001E421E">
      <w:pPr>
        <w:tabs>
          <w:tab w:val="left" w:pos="4253"/>
          <w:tab w:val="left" w:pos="6804"/>
        </w:tabs>
        <w:spacing w:after="60"/>
        <w:rPr>
          <w:rFonts w:ascii="Arial" w:hAnsi="Arial"/>
          <w:szCs w:val="24"/>
        </w:rPr>
      </w:pPr>
      <w:r>
        <w:rPr>
          <w:rFonts w:ascii="Arial" w:hAnsi="Arial"/>
          <w:kern w:val="28"/>
          <w:szCs w:val="24"/>
        </w:rPr>
        <w:t>The</w:t>
      </w:r>
      <w:r>
        <w:rPr>
          <w:rFonts w:ascii="Arial" w:hAnsi="Arial"/>
          <w:b/>
          <w:kern w:val="28"/>
          <w:szCs w:val="24"/>
        </w:rPr>
        <w:t xml:space="preserve"> </w:t>
      </w:r>
      <w:r>
        <w:rPr>
          <w:rFonts w:ascii="Arial" w:hAnsi="Arial"/>
          <w:szCs w:val="24"/>
        </w:rPr>
        <w:t>permit number is AP3098FF</w:t>
      </w:r>
      <w:r w:rsidR="00360996">
        <w:rPr>
          <w:rFonts w:ascii="Arial" w:hAnsi="Arial"/>
          <w:szCs w:val="24"/>
        </w:rPr>
        <w:t>/T002</w:t>
      </w:r>
    </w:p>
    <w:p w14:paraId="60622DF0" w14:textId="77777777" w:rsidR="001E421E" w:rsidRDefault="001E421E" w:rsidP="001E421E">
      <w:pPr>
        <w:spacing w:after="120"/>
        <w:rPr>
          <w:rFonts w:ascii="Arial" w:hAnsi="Arial"/>
          <w:color w:val="FF00FF"/>
          <w:szCs w:val="24"/>
        </w:rPr>
      </w:pPr>
    </w:p>
    <w:p w14:paraId="31892ADA" w14:textId="77777777" w:rsidR="001E421E" w:rsidRDefault="001E421E" w:rsidP="001E421E">
      <w:pPr>
        <w:spacing w:after="120"/>
        <w:rPr>
          <w:rFonts w:ascii="Arial" w:hAnsi="Arial"/>
          <w:szCs w:val="24"/>
        </w:rPr>
      </w:pPr>
      <w:r>
        <w:rPr>
          <w:rFonts w:ascii="Arial" w:hAnsi="Arial"/>
          <w:szCs w:val="24"/>
        </w:rPr>
        <w:t>We consider in reaching that decision we have taken into account all relevant considerations and legal requirements and that the permit will ensure that the appropriate level of environmental protection is provided.</w:t>
      </w:r>
    </w:p>
    <w:p w14:paraId="763DBECA" w14:textId="77777777" w:rsidR="001E421E" w:rsidRDefault="001E421E" w:rsidP="001E421E">
      <w:pPr>
        <w:rPr>
          <w:rFonts w:ascii="Arial" w:hAnsi="Arial" w:cs="Arial"/>
          <w:b/>
          <w:szCs w:val="24"/>
        </w:rPr>
      </w:pPr>
    </w:p>
    <w:p w14:paraId="39CD442B" w14:textId="77777777" w:rsidR="001E421E" w:rsidRDefault="001E421E" w:rsidP="001E421E">
      <w:pPr>
        <w:rPr>
          <w:rFonts w:ascii="Arial" w:hAnsi="Arial" w:cs="Arial"/>
          <w:b/>
          <w:sz w:val="28"/>
          <w:szCs w:val="28"/>
        </w:rPr>
      </w:pPr>
      <w:r>
        <w:rPr>
          <w:rFonts w:ascii="Arial" w:hAnsi="Arial" w:cs="Arial"/>
          <w:b/>
          <w:sz w:val="28"/>
          <w:szCs w:val="28"/>
        </w:rPr>
        <w:t>Purpose of this document</w:t>
      </w:r>
    </w:p>
    <w:p w14:paraId="12BCF7F8" w14:textId="77777777" w:rsidR="001E421E" w:rsidRDefault="001E421E" w:rsidP="001E421E">
      <w:pPr>
        <w:rPr>
          <w:rFonts w:ascii="Arial" w:hAnsi="Arial"/>
          <w:b/>
          <w:sz w:val="20"/>
        </w:rPr>
      </w:pPr>
    </w:p>
    <w:p w14:paraId="7681B078" w14:textId="77777777" w:rsidR="001E421E" w:rsidRDefault="001E421E" w:rsidP="001E421E">
      <w:pPr>
        <w:spacing w:after="60"/>
        <w:rPr>
          <w:rFonts w:ascii="Arial" w:hAnsi="Arial"/>
        </w:rPr>
      </w:pPr>
      <w:r>
        <w:rPr>
          <w:rFonts w:ascii="Arial" w:hAnsi="Arial"/>
        </w:rPr>
        <w:t>This decision document:</w:t>
      </w:r>
    </w:p>
    <w:p w14:paraId="685BE174" w14:textId="77777777" w:rsidR="001E421E" w:rsidRDefault="001E421E" w:rsidP="001E421E">
      <w:pPr>
        <w:pStyle w:val="BulletText1"/>
        <w:numPr>
          <w:ilvl w:val="1"/>
          <w:numId w:val="18"/>
        </w:numPr>
        <w:tabs>
          <w:tab w:val="num" w:pos="1134"/>
        </w:tabs>
        <w:spacing w:after="60"/>
        <w:ind w:hanging="873"/>
        <w:rPr>
          <w:rFonts w:ascii="Arial" w:hAnsi="Arial" w:cs="Arial"/>
        </w:rPr>
      </w:pPr>
      <w:r>
        <w:rPr>
          <w:rFonts w:ascii="Arial" w:hAnsi="Arial" w:cs="Arial"/>
        </w:rPr>
        <w:t>explains how the application has been determined</w:t>
      </w:r>
    </w:p>
    <w:p w14:paraId="27E514B4" w14:textId="77777777" w:rsidR="001E421E" w:rsidRDefault="001E421E" w:rsidP="001E421E">
      <w:pPr>
        <w:pStyle w:val="BulletText1"/>
        <w:numPr>
          <w:ilvl w:val="1"/>
          <w:numId w:val="18"/>
        </w:numPr>
        <w:tabs>
          <w:tab w:val="num" w:pos="1134"/>
        </w:tabs>
        <w:spacing w:after="60"/>
        <w:ind w:hanging="873"/>
        <w:rPr>
          <w:rFonts w:ascii="Arial" w:hAnsi="Arial" w:cs="Arial"/>
        </w:rPr>
      </w:pPr>
      <w:r>
        <w:rPr>
          <w:rFonts w:ascii="Arial" w:hAnsi="Arial" w:cs="Arial"/>
        </w:rPr>
        <w:t>provides a record of the decision-making process</w:t>
      </w:r>
    </w:p>
    <w:p w14:paraId="1A581702" w14:textId="77777777" w:rsidR="001E421E" w:rsidRDefault="001E421E" w:rsidP="001E421E">
      <w:pPr>
        <w:pStyle w:val="BulletText1"/>
        <w:numPr>
          <w:ilvl w:val="1"/>
          <w:numId w:val="18"/>
        </w:numPr>
        <w:tabs>
          <w:tab w:val="num" w:pos="1134"/>
        </w:tabs>
        <w:spacing w:after="60"/>
        <w:ind w:hanging="873"/>
        <w:rPr>
          <w:rFonts w:ascii="Arial" w:hAnsi="Arial" w:cs="Arial"/>
        </w:rPr>
      </w:pPr>
      <w:r>
        <w:rPr>
          <w:rFonts w:ascii="Arial" w:hAnsi="Arial" w:cs="Arial"/>
        </w:rPr>
        <w:t>shows how all relevant factors have been taken into account</w:t>
      </w:r>
    </w:p>
    <w:p w14:paraId="4077647E" w14:textId="77777777" w:rsidR="001E421E" w:rsidRDefault="001E421E" w:rsidP="001E421E">
      <w:pPr>
        <w:rPr>
          <w:rFonts w:ascii="Arial" w:hAnsi="Arial"/>
        </w:rPr>
      </w:pPr>
    </w:p>
    <w:p w14:paraId="3F571B87" w14:textId="77777777" w:rsidR="001E421E" w:rsidRDefault="001E421E" w:rsidP="001E421E">
      <w:pPr>
        <w:rPr>
          <w:rFonts w:ascii="Arial" w:hAnsi="Arial"/>
          <w:b/>
          <w:sz w:val="28"/>
          <w:szCs w:val="28"/>
        </w:rPr>
      </w:pPr>
    </w:p>
    <w:p w14:paraId="0BC7D726" w14:textId="77777777" w:rsidR="001E421E" w:rsidRDefault="001E421E" w:rsidP="001E421E">
      <w:pPr>
        <w:rPr>
          <w:rFonts w:ascii="Arial" w:hAnsi="Arial"/>
          <w:b/>
          <w:sz w:val="28"/>
          <w:szCs w:val="28"/>
        </w:rPr>
      </w:pPr>
      <w:r>
        <w:rPr>
          <w:rFonts w:ascii="Arial" w:hAnsi="Arial"/>
          <w:b/>
          <w:sz w:val="28"/>
          <w:szCs w:val="28"/>
        </w:rPr>
        <w:t>Structure of this document</w:t>
      </w:r>
    </w:p>
    <w:p w14:paraId="0C957CC3" w14:textId="77777777" w:rsidR="001E421E" w:rsidRDefault="001E421E" w:rsidP="001E421E">
      <w:pPr>
        <w:rPr>
          <w:rFonts w:ascii="Arial" w:hAnsi="Arial"/>
          <w:b/>
          <w:caps/>
          <w:sz w:val="28"/>
          <w:szCs w:val="28"/>
        </w:rPr>
      </w:pPr>
    </w:p>
    <w:p w14:paraId="5DE001E8" w14:textId="77777777" w:rsidR="001E421E" w:rsidRDefault="001E421E" w:rsidP="001E421E">
      <w:pPr>
        <w:pStyle w:val="BulletText1"/>
        <w:numPr>
          <w:ilvl w:val="1"/>
          <w:numId w:val="18"/>
        </w:numPr>
        <w:tabs>
          <w:tab w:val="num" w:pos="1134"/>
        </w:tabs>
        <w:ind w:hanging="873"/>
        <w:rPr>
          <w:rFonts w:ascii="Arial" w:hAnsi="Arial" w:cs="Arial"/>
        </w:rPr>
      </w:pPr>
      <w:r>
        <w:rPr>
          <w:rFonts w:ascii="Arial" w:hAnsi="Arial" w:cs="Arial"/>
        </w:rPr>
        <w:t xml:space="preserve">Annex 1 the decision checklist </w:t>
      </w:r>
    </w:p>
    <w:p w14:paraId="75B5FC8A" w14:textId="77777777" w:rsidR="001E421E" w:rsidRDefault="001E421E" w:rsidP="001E421E">
      <w:pPr>
        <w:pStyle w:val="Heading1"/>
        <w:rPr>
          <w:bCs/>
          <w:sz w:val="24"/>
        </w:rPr>
      </w:pP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61A6437A"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1E421E">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79B2DA6E"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1A1FE9F0" w14:textId="77777777" w:rsidR="00E934DF" w:rsidRDefault="00C13334" w:rsidP="00B115E1">
            <w:pPr>
              <w:rPr>
                <w:rFonts w:ascii="Arial" w:hAnsi="Arial" w:cs="Arial"/>
                <w:color w:val="000000"/>
                <w:szCs w:val="24"/>
              </w:rPr>
            </w:pPr>
            <w:r w:rsidRPr="00CF487C">
              <w:rPr>
                <w:rFonts w:ascii="Arial" w:hAnsi="Arial" w:cs="Arial"/>
                <w:color w:val="000000"/>
                <w:szCs w:val="24"/>
              </w:rPr>
              <w:t xml:space="preserve">There is no known reason to consider that the operator will not have the management systems to enable it to comply with the permit conditions.  </w:t>
            </w:r>
          </w:p>
          <w:p w14:paraId="1EACF839" w14:textId="77777777" w:rsidR="00E934DF" w:rsidRDefault="00E934DF" w:rsidP="00B115E1">
            <w:pPr>
              <w:rPr>
                <w:rFonts w:ascii="Arial" w:hAnsi="Arial" w:cs="Arial"/>
                <w:color w:val="000000"/>
                <w:szCs w:val="24"/>
              </w:rPr>
            </w:pPr>
          </w:p>
          <w:p w14:paraId="6C268BDE" w14:textId="555E5342" w:rsidR="00C13334" w:rsidRDefault="00C13334" w:rsidP="00B115E1">
            <w:pPr>
              <w:rPr>
                <w:rFonts w:ascii="Arial" w:hAnsi="Arial" w:cs="Arial"/>
                <w:color w:val="000000"/>
                <w:szCs w:val="24"/>
              </w:rPr>
            </w:pPr>
            <w:r w:rsidRPr="00CF487C">
              <w:rPr>
                <w:rFonts w:ascii="Arial" w:hAnsi="Arial" w:cs="Arial"/>
                <w:color w:val="000000"/>
                <w:szCs w:val="24"/>
              </w:rPr>
              <w:t>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4A8D890F"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1E421E" w:rsidRDefault="00C13334" w:rsidP="00FD2974">
            <w:pPr>
              <w:pStyle w:val="BodyText"/>
              <w:rPr>
                <w:rFonts w:ascii="Arial" w:hAnsi="Arial" w:cs="Arial"/>
                <w:color w:val="auto"/>
                <w:szCs w:val="24"/>
              </w:rPr>
            </w:pPr>
          </w:p>
          <w:p w14:paraId="6C268BE6" w14:textId="77777777" w:rsidR="00C13334" w:rsidRPr="001E421E" w:rsidRDefault="00C13334" w:rsidP="00FD2974">
            <w:pPr>
              <w:pStyle w:val="BodyText"/>
              <w:rPr>
                <w:rFonts w:ascii="Arial" w:hAnsi="Arial" w:cs="Arial"/>
                <w:color w:val="auto"/>
                <w:szCs w:val="24"/>
              </w:rPr>
            </w:pPr>
            <w:r w:rsidRPr="001E421E">
              <w:rPr>
                <w:rFonts w:ascii="Arial" w:hAnsi="Arial" w:cs="Arial"/>
                <w:color w:val="auto"/>
                <w:szCs w:val="24"/>
              </w:rPr>
              <w:t xml:space="preserve">The operator </w:t>
            </w:r>
            <w:r w:rsidR="00EA142C" w:rsidRPr="001E421E">
              <w:rPr>
                <w:rFonts w:ascii="Arial" w:hAnsi="Arial" w:cs="Arial"/>
                <w:color w:val="auto"/>
                <w:szCs w:val="24"/>
              </w:rPr>
              <w:t>is a member</w:t>
            </w:r>
            <w:r w:rsidRPr="001E421E">
              <w:rPr>
                <w:rFonts w:ascii="Arial" w:hAnsi="Arial" w:cs="Arial"/>
                <w:color w:val="auto"/>
                <w:szCs w:val="24"/>
              </w:rPr>
              <w:t xml:space="preserve"> of an agreed scheme. </w:t>
            </w:r>
          </w:p>
          <w:p w14:paraId="6C268BE9" w14:textId="77777777" w:rsidR="00CF487C" w:rsidRPr="001E421E" w:rsidRDefault="00CF487C" w:rsidP="00FD2974">
            <w:pPr>
              <w:rPr>
                <w:rFonts w:ascii="Arial" w:hAnsi="Arial" w:cs="Arial"/>
                <w:szCs w:val="24"/>
              </w:rPr>
            </w:pPr>
          </w:p>
          <w:p w14:paraId="6C268BEA" w14:textId="77777777" w:rsidR="00C13334" w:rsidRPr="001E421E" w:rsidRDefault="00C13334" w:rsidP="00FD2974">
            <w:pPr>
              <w:rPr>
                <w:rFonts w:ascii="Arial" w:hAnsi="Arial" w:cs="Arial"/>
                <w:szCs w:val="24"/>
              </w:rPr>
            </w:pPr>
            <w:r w:rsidRPr="001E421E">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1E421E" w:rsidRDefault="00C13334" w:rsidP="00053DA9">
            <w:pPr>
              <w:rPr>
                <w:rFonts w:ascii="Arial" w:hAnsi="Arial" w:cs="Arial"/>
                <w:szCs w:val="24"/>
              </w:rPr>
            </w:pPr>
            <w:r w:rsidRPr="001E421E">
              <w:rPr>
                <w:rFonts w:ascii="Arial" w:hAnsi="Arial" w:cs="Arial"/>
                <w:szCs w:val="24"/>
              </w:rPr>
              <w:t xml:space="preserve">Relevant </w:t>
            </w:r>
            <w:r w:rsidR="00874B1A" w:rsidRPr="001E421E">
              <w:rPr>
                <w:rFonts w:ascii="Arial" w:hAnsi="Arial" w:cs="Arial"/>
                <w:szCs w:val="24"/>
              </w:rPr>
              <w:t>c</w:t>
            </w:r>
            <w:r w:rsidRPr="001E421E">
              <w:rPr>
                <w:rFonts w:ascii="Arial" w:hAnsi="Arial" w:cs="Arial"/>
                <w:szCs w:val="24"/>
              </w:rPr>
              <w:t>onvictions</w:t>
            </w:r>
          </w:p>
          <w:p w14:paraId="6C268BEF" w14:textId="6C2AC792" w:rsidR="00C13334" w:rsidRPr="001E421E" w:rsidRDefault="00C13334" w:rsidP="00053DA9">
            <w:pPr>
              <w:rPr>
                <w:rFonts w:ascii="Arial" w:hAnsi="Arial" w:cs="Arial"/>
                <w:szCs w:val="24"/>
              </w:rPr>
            </w:pPr>
          </w:p>
        </w:tc>
        <w:tc>
          <w:tcPr>
            <w:tcW w:w="5954" w:type="dxa"/>
          </w:tcPr>
          <w:p w14:paraId="6C268BF0" w14:textId="3017EDBD" w:rsidR="00C13334" w:rsidRPr="001E421E" w:rsidRDefault="00CE34FE" w:rsidP="00053DA9">
            <w:pPr>
              <w:rPr>
                <w:rFonts w:ascii="Arial" w:hAnsi="Arial" w:cs="Arial"/>
                <w:szCs w:val="24"/>
              </w:rPr>
            </w:pPr>
            <w:r>
              <w:rPr>
                <w:rFonts w:ascii="Arial" w:hAnsi="Arial" w:cs="Arial"/>
                <w:szCs w:val="24"/>
              </w:rPr>
              <w:t>The Colins</w:t>
            </w:r>
            <w:r w:rsidR="00085AF5" w:rsidRPr="001E421E">
              <w:rPr>
                <w:rFonts w:ascii="Arial" w:hAnsi="Arial" w:cs="Arial"/>
                <w:szCs w:val="24"/>
              </w:rPr>
              <w:t xml:space="preserve"> Database </w:t>
            </w:r>
            <w:r w:rsidR="00C13334" w:rsidRPr="001E421E">
              <w:rPr>
                <w:rFonts w:ascii="Arial" w:hAnsi="Arial" w:cs="Arial"/>
                <w:szCs w:val="24"/>
              </w:rPr>
              <w:t xml:space="preserve">has been checked to ensure that all relevant convictions have been declared.  </w:t>
            </w:r>
          </w:p>
          <w:p w14:paraId="6C268BF1" w14:textId="77777777" w:rsidR="00C13334" w:rsidRPr="001E421E" w:rsidRDefault="00C13334" w:rsidP="00053DA9">
            <w:pPr>
              <w:rPr>
                <w:rFonts w:ascii="Arial" w:hAnsi="Arial" w:cs="Arial"/>
                <w:szCs w:val="24"/>
              </w:rPr>
            </w:pPr>
          </w:p>
          <w:p w14:paraId="6C268BF2" w14:textId="77777777" w:rsidR="00C13334" w:rsidRPr="001E421E" w:rsidRDefault="00C13334" w:rsidP="00053DA9">
            <w:pPr>
              <w:rPr>
                <w:rFonts w:ascii="Arial" w:hAnsi="Arial" w:cs="Arial"/>
                <w:szCs w:val="24"/>
              </w:rPr>
            </w:pPr>
            <w:r w:rsidRPr="001E421E">
              <w:rPr>
                <w:rFonts w:ascii="Arial" w:hAnsi="Arial" w:cs="Arial"/>
                <w:szCs w:val="24"/>
              </w:rPr>
              <w:t xml:space="preserve">No relevant convictions were found. </w:t>
            </w:r>
          </w:p>
          <w:p w14:paraId="6C268BF5" w14:textId="77777777" w:rsidR="00C13334" w:rsidRPr="001E421E" w:rsidRDefault="00C13334" w:rsidP="00053DA9">
            <w:pPr>
              <w:rPr>
                <w:rFonts w:ascii="Arial" w:hAnsi="Arial" w:cs="Arial"/>
                <w:szCs w:val="24"/>
              </w:rPr>
            </w:pPr>
          </w:p>
          <w:p w14:paraId="6C268BF6" w14:textId="77777777" w:rsidR="00C13334" w:rsidRPr="001E421E" w:rsidRDefault="00C13334" w:rsidP="00053DA9">
            <w:pPr>
              <w:rPr>
                <w:rFonts w:ascii="Arial" w:hAnsi="Arial" w:cs="Arial"/>
                <w:szCs w:val="24"/>
              </w:rPr>
            </w:pPr>
            <w:r w:rsidRPr="001E421E">
              <w:rPr>
                <w:rFonts w:ascii="Arial" w:hAnsi="Arial" w:cs="Arial"/>
                <w:szCs w:val="24"/>
              </w:rPr>
              <w:t>The operator satisfies the criteria in RGN 5 on Operator Competence.</w:t>
            </w:r>
          </w:p>
          <w:p w14:paraId="6C268BF7" w14:textId="77777777" w:rsidR="00CF487C" w:rsidRPr="001E421E" w:rsidRDefault="00CF487C" w:rsidP="00053DA9">
            <w:pPr>
              <w:rPr>
                <w:rFonts w:ascii="Arial" w:hAnsi="Arial" w:cs="Arial"/>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0585A7B3" w:rsidR="00C13334" w:rsidRPr="00CF487C" w:rsidRDefault="00C13334" w:rsidP="006E6208">
            <w:pPr>
              <w:rPr>
                <w:rFonts w:ascii="Arial" w:hAnsi="Arial" w:cs="Arial"/>
                <w:color w:val="FF00FF"/>
                <w:szCs w:val="24"/>
              </w:rPr>
            </w:pPr>
          </w:p>
        </w:tc>
        <w:tc>
          <w:tcPr>
            <w:tcW w:w="5954" w:type="dxa"/>
          </w:tcPr>
          <w:p w14:paraId="6E156F2E" w14:textId="77777777" w:rsidR="00611927" w:rsidRDefault="00C13334" w:rsidP="00053DA9">
            <w:pPr>
              <w:rPr>
                <w:rFonts w:ascii="Arial" w:hAnsi="Arial" w:cs="Arial"/>
                <w:szCs w:val="24"/>
              </w:rPr>
            </w:pPr>
            <w:r w:rsidRPr="00CF487C">
              <w:rPr>
                <w:rFonts w:ascii="Arial" w:hAnsi="Arial" w:cs="Arial"/>
                <w:szCs w:val="24"/>
              </w:rPr>
              <w:t xml:space="preserve">There is no known reason to consider that the operator will not be financially able to comply with the permit conditions. </w:t>
            </w:r>
          </w:p>
          <w:p w14:paraId="750C4027" w14:textId="77777777" w:rsidR="00611927" w:rsidRDefault="00611927" w:rsidP="00053DA9">
            <w:pPr>
              <w:rPr>
                <w:rFonts w:ascii="Arial" w:hAnsi="Arial" w:cs="Arial"/>
                <w:szCs w:val="24"/>
              </w:rPr>
            </w:pPr>
          </w:p>
          <w:p w14:paraId="6C268BFC" w14:textId="72060E8D" w:rsidR="00C13334" w:rsidRPr="00CF487C" w:rsidRDefault="00C13334" w:rsidP="00053DA9">
            <w:pPr>
              <w:rPr>
                <w:rFonts w:ascii="Arial" w:hAnsi="Arial" w:cs="Arial"/>
                <w:szCs w:val="24"/>
              </w:rPr>
            </w:pPr>
            <w:r w:rsidRPr="00CF487C">
              <w:rPr>
                <w:rFonts w:ascii="Arial" w:hAnsi="Arial" w:cs="Arial"/>
                <w:szCs w:val="24"/>
              </w:rPr>
              <w:t>The decision was taken in accordance with RGN 5 on Operator Competence.</w:t>
            </w:r>
          </w:p>
          <w:p w14:paraId="6C268C00" w14:textId="77777777" w:rsidR="00C13334" w:rsidRPr="00CF487C" w:rsidRDefault="00C13334" w:rsidP="00C54A1B">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 w:numId="1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E421E"/>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60996"/>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1927"/>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9C183A"/>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34FE"/>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934DF"/>
    <w:rsid w:val="00EA142C"/>
    <w:rsid w:val="00EA3AB8"/>
    <w:rsid w:val="00EA4DEE"/>
    <w:rsid w:val="00EB010F"/>
    <w:rsid w:val="00EB2F5B"/>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character" w:customStyle="1" w:styleId="Heading1Char">
    <w:name w:val="Heading 1 Char"/>
    <w:basedOn w:val="DefaultParagraphFont"/>
    <w:link w:val="Heading1"/>
    <w:rsid w:val="001E421E"/>
    <w:rPr>
      <w:rFonts w:ascii="Arial" w:hAnsi="Arial"/>
      <w:b/>
      <w:color w:val="000000"/>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189407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0" ma:contentTypeDescription="Permitting &amp; Compliance Word Document" ma:contentTypeScope="" ma:versionID="b703c3a558be405748a4e5b1ecc3d164">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d3ce6f78f06f410b484ecc5b496286b8"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Llandow Metals Ltd</Site_x0020_Name>
    <Internal_x002f_External xmlns="859f7ad6-93f6-4205-b62b-a17f28acbbac">Internal document</Internal_x002f_External>
    <Post_x0020_code xmlns="859f7ad6-93f6-4205-b62b-a17f28acbbac">CF71 7PB</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Unit 10a, Vale Business Park, Llandow, Cowbridge, South Glamorgan, Wales, CF71 7PF </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2020-01-02T00:00:00+00:00</Document_x0020_Date>
    <Facility_x0020_Address xmlns="859f7ad6-93f6-4205-b62b-a17f28acbbac">Unit 16, Llandow Industrial Estate, Llandow, Cowbridge  </Facility_x0020_Address>
    <Environment_x0020_Sub_x0020_Folder xmlns="859f7ad6-93f6-4205-b62b-a17f28acbbac">Licence transfer</Environment_x0020_Sub_x0020_Folder>
    <Customer_x0020_Name xmlns="859f7ad6-93f6-4205-b62b-a17f28acbbac">Llandow Metals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845508D-E049-439B-B519-51001096FA39}"/>
</file>

<file path=customXml/itemProps2.xml><?xml version="1.0" encoding="utf-8"?>
<ds:datastoreItem xmlns:ds="http://schemas.openxmlformats.org/officeDocument/2006/customXml" ds:itemID="{6F84FDF9-3F1D-488B-99F3-868F589A393E}">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156CA80D-F80D-4630-9F02-302F8703AC98}">
  <ds:schemaRefs>
    <ds:schemaRef ds:uri="http://schemas.microsoft.com/sharepoint/v3/contenttype/forms"/>
  </ds:schemaRefs>
</ds:datastoreItem>
</file>

<file path=customXml/itemProps4.xml><?xml version="1.0" encoding="utf-8"?>
<ds:datastoreItem xmlns:ds="http://schemas.openxmlformats.org/officeDocument/2006/customXml" ds:itemID="{B9012E08-D707-499A-9E97-C0E317BC0DAA}">
  <ds:schemaRefs>
    <ds:schemaRef ds:uri="http://schemas.microsoft.com/sharepoint/events"/>
  </ds:schemaRefs>
</ds:datastoreItem>
</file>

<file path=customXml/itemProps5.xml><?xml version="1.0" encoding="utf-8"?>
<ds:datastoreItem xmlns:ds="http://schemas.openxmlformats.org/officeDocument/2006/customXml" ds:itemID="{CFA7EF3D-AD64-4A87-B0BA-BD20C695E410}"/>
</file>

<file path=docProps/app.xml><?xml version="1.0" encoding="utf-8"?>
<Properties xmlns="http://schemas.openxmlformats.org/officeDocument/2006/extended-properties" xmlns:vt="http://schemas.openxmlformats.org/officeDocument/2006/docPropsVTypes">
  <Template>Normal</Template>
  <TotalTime>4</TotalTime>
  <Pages>3</Pages>
  <Words>415</Words>
  <Characters>2279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 </dc:creator>
  <cp:keywords>23308SD94, 233 08 SD94, 233-08-SD94</cp:keywords>
  <dc:description>233_08_SD94, Version 3_x000d_
Issue date: 19/07/2011</dc:description>
  <cp:lastModifiedBy>Loughlin, Hannah</cp:lastModifiedBy>
  <cp:revision>7</cp:revision>
  <cp:lastPrinted>2010-03-19T12:06:00Z</cp:lastPrinted>
  <dcterms:created xsi:type="dcterms:W3CDTF">2019-12-12T14:42:00Z</dcterms:created>
  <dcterms:modified xsi:type="dcterms:W3CDTF">2019-12-17T10:52:00Z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66e74808-8052-4cf7-8add-9cb5a7ecf7d1</vt:lpwstr>
  </property>
  <property fmtid="{D5CDD505-2E9C-101B-9397-08002B2CF9AE}" pid="5" name="_dlc_DocId">
    <vt:lpwstr>REGU-106-79425</vt:lpwstr>
  </property>
  <property fmtid="{D5CDD505-2E9C-101B-9397-08002B2CF9AE}" pid="6" name="_dlc_DocIdUrl">
    <vt:lpwstr>https://cyfoethnaturiolcymru.sharepoint.com/teams/Regulatory/Permitting/_layouts/15/DocIdRedir.aspx?ID=REGU-106-79425, REGU-106-79425</vt:lpwstr>
  </property>
</Properties>
</file>