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bookmarkStart w:id="0" w:name="_GoBack"/>
      <w:bookmarkEnd w:id="0"/>
    </w:p>
    <w:p w14:paraId="41AC372F" w14:textId="3516A76A" w:rsidR="00136717" w:rsidRPr="006B3D06" w:rsidRDefault="0014332B" w:rsidP="004E68CD">
      <w:pPr>
        <w:pStyle w:val="Heading1"/>
        <w:spacing w:before="0" w:after="0"/>
        <w:jc w:val="left"/>
        <w:rPr>
          <w:bCs/>
          <w:color w:val="auto"/>
          <w:sz w:val="32"/>
        </w:rPr>
      </w:pPr>
      <w:r w:rsidRPr="006B3D06">
        <w:rPr>
          <w:bCs/>
          <w:color w:val="auto"/>
          <w:sz w:val="32"/>
        </w:rPr>
        <w:t>Bespoke p</w:t>
      </w:r>
      <w:r w:rsidR="00D04424" w:rsidRPr="006B3D06">
        <w:rPr>
          <w:bCs/>
          <w:color w:val="auto"/>
          <w:sz w:val="32"/>
        </w:rPr>
        <w:t>ermit</w:t>
      </w:r>
      <w:r w:rsidR="00B73ECB" w:rsidRPr="006B3D06">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744BA8F1" w:rsidR="00D04424" w:rsidRPr="004E68CD" w:rsidRDefault="0060457F" w:rsidP="006B0BFB">
      <w:pPr>
        <w:spacing w:after="120"/>
        <w:rPr>
          <w:rFonts w:ascii="Arial" w:hAnsi="Arial" w:cs="Arial"/>
          <w:color w:val="000000"/>
          <w:szCs w:val="24"/>
        </w:rPr>
      </w:pPr>
      <w:r w:rsidRPr="0014332B">
        <w:rPr>
          <w:rFonts w:ascii="Arial" w:hAnsi="Arial" w:cs="Arial"/>
          <w:szCs w:val="24"/>
        </w:rPr>
        <w:t xml:space="preserve">We have decided to </w:t>
      </w:r>
      <w:r w:rsidR="00D2020E" w:rsidRPr="004E68CD">
        <w:rPr>
          <w:rFonts w:ascii="Arial" w:hAnsi="Arial" w:cs="Arial"/>
          <w:color w:val="000000"/>
          <w:szCs w:val="24"/>
        </w:rPr>
        <w:t xml:space="preserve">grant </w:t>
      </w:r>
      <w:r w:rsidRPr="0014332B">
        <w:rPr>
          <w:rFonts w:ascii="Arial" w:hAnsi="Arial" w:cs="Arial"/>
          <w:color w:val="000000"/>
          <w:szCs w:val="24"/>
        </w:rPr>
        <w:t xml:space="preserve">the </w:t>
      </w:r>
      <w:r w:rsidRPr="004E68CD">
        <w:rPr>
          <w:rFonts w:ascii="Arial" w:hAnsi="Arial" w:cs="Arial"/>
          <w:color w:val="000000"/>
          <w:szCs w:val="24"/>
        </w:rPr>
        <w:t>permit</w:t>
      </w:r>
      <w:r w:rsidRPr="0014332B">
        <w:rPr>
          <w:rFonts w:ascii="Arial" w:hAnsi="Arial" w:cs="Arial"/>
          <w:color w:val="000000"/>
          <w:szCs w:val="24"/>
        </w:rPr>
        <w:t xml:space="preserve"> </w:t>
      </w:r>
      <w:r w:rsidRPr="004E68CD">
        <w:rPr>
          <w:rFonts w:ascii="Arial" w:hAnsi="Arial" w:cs="Arial"/>
          <w:color w:val="000000"/>
          <w:szCs w:val="24"/>
        </w:rPr>
        <w:t xml:space="preserve">for </w:t>
      </w:r>
      <w:r w:rsidR="004E68CD" w:rsidRPr="004E68CD">
        <w:rPr>
          <w:rFonts w:ascii="Arial" w:hAnsi="Arial" w:cs="Arial"/>
          <w:color w:val="000000"/>
          <w:szCs w:val="24"/>
        </w:rPr>
        <w:t>P</w:t>
      </w:r>
      <w:r w:rsidR="007A3409">
        <w:rPr>
          <w:rFonts w:ascii="Arial" w:hAnsi="Arial" w:cs="Arial"/>
          <w:color w:val="000000"/>
          <w:szCs w:val="24"/>
        </w:rPr>
        <w:t xml:space="preserve">lot 1 </w:t>
      </w:r>
      <w:r w:rsidRPr="0014332B">
        <w:rPr>
          <w:rFonts w:ascii="Arial" w:hAnsi="Arial" w:cs="Arial"/>
          <w:color w:val="000000"/>
          <w:szCs w:val="24"/>
        </w:rPr>
        <w:t>operated by</w:t>
      </w:r>
      <w:r w:rsidRPr="004E68CD">
        <w:rPr>
          <w:rFonts w:ascii="Arial" w:hAnsi="Arial" w:cs="Arial"/>
          <w:color w:val="000000"/>
          <w:szCs w:val="24"/>
        </w:rPr>
        <w:t xml:space="preserve"> </w:t>
      </w:r>
      <w:r w:rsidR="007A3409">
        <w:rPr>
          <w:rFonts w:ascii="Arial" w:hAnsi="Arial" w:cs="Arial"/>
          <w:color w:val="000000"/>
          <w:szCs w:val="24"/>
        </w:rPr>
        <w:t>Casper Homes Ltd</w:t>
      </w:r>
      <w:r w:rsidR="001034AC" w:rsidRPr="004E68CD">
        <w:rPr>
          <w:rFonts w:ascii="Arial" w:hAnsi="Arial" w:cs="Arial"/>
          <w:color w:val="000000"/>
          <w:szCs w:val="24"/>
        </w:rPr>
        <w:t>.</w:t>
      </w:r>
    </w:p>
    <w:p w14:paraId="178F17B4" w14:textId="32A76F65" w:rsidR="00E907C6" w:rsidRPr="00CD7386" w:rsidRDefault="00E907C6" w:rsidP="006B0BFB">
      <w:pPr>
        <w:tabs>
          <w:tab w:val="left" w:pos="4253"/>
          <w:tab w:val="left" w:pos="6804"/>
        </w:tabs>
        <w:spacing w:after="120"/>
        <w:rPr>
          <w:rFonts w:ascii="Arial" w:hAnsi="Arial"/>
          <w:kern w:val="28"/>
          <w:szCs w:val="24"/>
        </w:rPr>
      </w:pPr>
      <w:bookmarkStart w:id="1" w:name="OLE_LINK1"/>
      <w:bookmarkStart w:id="2" w:name="OLE_LINK2"/>
      <w:r>
        <w:rPr>
          <w:rFonts w:ascii="Arial" w:hAnsi="Arial"/>
          <w:color w:val="000000"/>
          <w:kern w:val="28"/>
          <w:szCs w:val="24"/>
        </w:rPr>
        <w:t xml:space="preserve">The application number </w:t>
      </w:r>
      <w:r w:rsidRPr="004E68CD">
        <w:rPr>
          <w:rFonts w:ascii="Arial" w:hAnsi="Arial"/>
          <w:kern w:val="28"/>
          <w:szCs w:val="24"/>
        </w:rPr>
        <w:t xml:space="preserve">is </w:t>
      </w:r>
      <w:r w:rsidR="004E68CD" w:rsidRPr="004E68CD">
        <w:rPr>
          <w:rFonts w:ascii="Arial" w:hAnsi="Arial"/>
          <w:szCs w:val="24"/>
        </w:rPr>
        <w:t>PAN-0</w:t>
      </w:r>
      <w:r w:rsidR="000C44B1">
        <w:rPr>
          <w:rFonts w:ascii="Arial" w:hAnsi="Arial"/>
          <w:szCs w:val="24"/>
        </w:rPr>
        <w:t>10573</w:t>
      </w:r>
    </w:p>
    <w:p w14:paraId="23B38F84" w14:textId="79C1C5BF" w:rsidR="001B63AA" w:rsidRPr="00CD7386" w:rsidRDefault="00D04424" w:rsidP="001B63AA">
      <w:pPr>
        <w:tabs>
          <w:tab w:val="left" w:pos="4253"/>
          <w:tab w:val="left" w:pos="6804"/>
        </w:tabs>
        <w:spacing w:after="120"/>
        <w:rPr>
          <w:rFonts w:ascii="Arial" w:hAnsi="Arial"/>
          <w:szCs w:val="24"/>
        </w:rPr>
      </w:pPr>
      <w:r w:rsidRPr="00CD7386">
        <w:rPr>
          <w:rFonts w:ascii="Arial" w:hAnsi="Arial"/>
          <w:kern w:val="28"/>
          <w:szCs w:val="24"/>
        </w:rPr>
        <w:t>The</w:t>
      </w:r>
      <w:r w:rsidRPr="00CD7386">
        <w:rPr>
          <w:rFonts w:ascii="Arial" w:hAnsi="Arial"/>
          <w:b/>
          <w:kern w:val="28"/>
          <w:szCs w:val="24"/>
        </w:rPr>
        <w:t xml:space="preserve"> </w:t>
      </w:r>
      <w:r w:rsidRPr="00CD7386">
        <w:rPr>
          <w:rFonts w:ascii="Arial" w:hAnsi="Arial"/>
          <w:szCs w:val="24"/>
        </w:rPr>
        <w:t xml:space="preserve">permit number is </w:t>
      </w:r>
      <w:bookmarkEnd w:id="1"/>
      <w:bookmarkEnd w:id="2"/>
      <w:r w:rsidR="001B63AA" w:rsidRPr="00CD7386">
        <w:rPr>
          <w:rFonts w:ascii="Arial" w:hAnsi="Arial"/>
          <w:szCs w:val="24"/>
        </w:rPr>
        <w:t>EPR/</w:t>
      </w:r>
      <w:r w:rsidR="00CD7386" w:rsidRPr="00CD7386">
        <w:rPr>
          <w:rFonts w:ascii="Arial" w:hAnsi="Arial"/>
          <w:szCs w:val="24"/>
        </w:rPr>
        <w:t>BB3793FC</w:t>
      </w:r>
    </w:p>
    <w:p w14:paraId="79B24E01" w14:textId="77777777" w:rsidR="00C529AD" w:rsidRDefault="00C529AD" w:rsidP="006B0BFB">
      <w:pPr>
        <w:spacing w:after="120"/>
        <w:rPr>
          <w:rFonts w:ascii="Arial" w:hAnsi="Arial"/>
          <w:color w:val="000000"/>
        </w:rPr>
      </w:pPr>
      <w:r w:rsidRPr="00C529AD">
        <w:rPr>
          <w:rFonts w:ascii="Arial" w:hAnsi="Arial"/>
          <w:color w:val="000000"/>
        </w:rPr>
        <w:t>This application is for a new discharge of secondary treated sewage effluent originating from a single domestic property. The property is served by a British Standard Package Treatment Plant with a maximum daily discharge volume of 1.5m</w:t>
      </w:r>
      <w:r w:rsidRPr="00896CC2">
        <w:rPr>
          <w:rFonts w:ascii="Arial" w:hAnsi="Arial"/>
          <w:color w:val="000000"/>
          <w:vertAlign w:val="superscript"/>
        </w:rPr>
        <w:t>3</w:t>
      </w:r>
      <w:r w:rsidRPr="00C529AD">
        <w:rPr>
          <w:rFonts w:ascii="Arial" w:hAnsi="Arial"/>
          <w:color w:val="000000"/>
        </w:rPr>
        <w:t xml:space="preserve">/day. The discharge is to a small unnamed watercourse that receives constant flow throughout the year.  </w:t>
      </w:r>
    </w:p>
    <w:p w14:paraId="0FF15253" w14:textId="64B11CFF"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5EE8EB91" w:rsidR="006420BA" w:rsidRPr="008118CE"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8A203B3" w14:textId="03F8A18D" w:rsidR="008118CE" w:rsidRPr="0067478B" w:rsidRDefault="008118CE" w:rsidP="006420BA">
      <w:pPr>
        <w:numPr>
          <w:ilvl w:val="0"/>
          <w:numId w:val="17"/>
        </w:numPr>
        <w:tabs>
          <w:tab w:val="clear" w:pos="1440"/>
          <w:tab w:val="num" w:pos="1134"/>
        </w:tabs>
        <w:spacing w:after="60"/>
        <w:ind w:left="1134" w:hanging="567"/>
        <w:rPr>
          <w:rFonts w:ascii="Arial" w:hAnsi="Arial"/>
        </w:rPr>
      </w:pPr>
      <w:r w:rsidRPr="008118CE">
        <w:rPr>
          <w:rFonts w:ascii="Arial" w:hAnsi="Arial"/>
        </w:rPr>
        <w:t>Annex 2: Consultation responses</w:t>
      </w:r>
    </w:p>
    <w:p w14:paraId="64C11E60" w14:textId="77777777" w:rsidR="004E68CD" w:rsidRDefault="004E68CD">
      <w:pPr>
        <w:rPr>
          <w:rFonts w:ascii="Arial" w:hAnsi="Arial"/>
          <w:b/>
          <w:color w:val="FF0000"/>
          <w:kern w:val="28"/>
          <w:sz w:val="28"/>
          <w:szCs w:val="28"/>
        </w:rPr>
      </w:pPr>
      <w:r>
        <w:rPr>
          <w:color w:val="FF0000"/>
          <w:szCs w:val="28"/>
        </w:rPr>
        <w:br w:type="page"/>
      </w:r>
    </w:p>
    <w:p w14:paraId="0FF15271" w14:textId="45F8617F"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1D926824"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4E68CD">
              <w:rPr>
                <w:rFonts w:ascii="Arial" w:hAnsi="Arial" w:cs="Arial"/>
                <w:b w:val="0"/>
                <w:szCs w:val="24"/>
              </w:rPr>
              <w:t>consultation</w:t>
            </w:r>
            <w:r w:rsidR="004E68CD" w:rsidRPr="004E68CD">
              <w:rPr>
                <w:rFonts w:ascii="Arial" w:hAnsi="Arial" w:cs="Arial"/>
                <w:b w:val="0"/>
                <w:szCs w:val="24"/>
              </w:rPr>
              <w:t xml:space="preserve"> and</w:t>
            </w:r>
            <w:r w:rsidRPr="004E68CD">
              <w:rPr>
                <w:rFonts w:ascii="Arial" w:hAnsi="Arial" w:cs="Arial"/>
                <w:b w:val="0"/>
                <w:szCs w:val="24"/>
              </w:rPr>
              <w:t xml:space="preserve"> web public</w:t>
            </w:r>
            <w:r w:rsidR="004E68CD" w:rsidRPr="004E68CD">
              <w:rPr>
                <w:rFonts w:ascii="Arial" w:hAnsi="Arial" w:cs="Arial"/>
                <w:b w:val="0"/>
                <w:szCs w:val="24"/>
              </w:rPr>
              <w:t>ation</w:t>
            </w:r>
          </w:p>
        </w:tc>
        <w:tc>
          <w:tcPr>
            <w:tcW w:w="6266" w:type="dxa"/>
            <w:tcBorders>
              <w:bottom w:val="single" w:sz="4" w:space="0" w:color="auto"/>
            </w:tcBorders>
          </w:tcPr>
          <w:p w14:paraId="0FF1529A" w14:textId="3BF76D9D" w:rsidR="007820C3" w:rsidRPr="00C052C4" w:rsidRDefault="007820C3" w:rsidP="007820C3">
            <w:pPr>
              <w:spacing w:before="60"/>
              <w:rPr>
                <w:rFonts w:ascii="Arial" w:hAnsi="Arial" w:cs="Arial"/>
                <w:szCs w:val="24"/>
              </w:rPr>
            </w:pPr>
            <w:r w:rsidRPr="00C052C4">
              <w:rPr>
                <w:rFonts w:ascii="Arial" w:hAnsi="Arial" w:cs="Arial"/>
                <w:szCs w:val="24"/>
              </w:rPr>
              <w:t xml:space="preserve">The </w:t>
            </w:r>
            <w:r w:rsidRPr="004E68CD">
              <w:rPr>
                <w:rFonts w:ascii="Arial" w:hAnsi="Arial" w:cs="Arial"/>
                <w:szCs w:val="24"/>
              </w:rPr>
              <w:t>web public</w:t>
            </w:r>
            <w:r w:rsidR="004E68CD" w:rsidRPr="004E68CD">
              <w:rPr>
                <w:rFonts w:ascii="Arial" w:hAnsi="Arial" w:cs="Arial"/>
                <w:szCs w:val="24"/>
              </w:rPr>
              <w:t>ation and</w:t>
            </w:r>
            <w:r w:rsidRPr="004E68CD">
              <w:rPr>
                <w:rFonts w:ascii="Arial" w:hAnsi="Arial" w:cs="Arial"/>
                <w:szCs w:val="24"/>
              </w:rPr>
              <w:t xml:space="preserve"> consultation responses (Annex 2) were taken into account in the decision.  </w:t>
            </w:r>
          </w:p>
          <w:p w14:paraId="0FF1529B" w14:textId="77777777" w:rsidR="007820C3" w:rsidRPr="00C052C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2D2EEB8"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60B1DF68" w14:textId="77777777" w:rsidR="007820C3" w:rsidRDefault="007820C3" w:rsidP="004E68CD">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09822429" w:rsidR="004E68CD" w:rsidRPr="007820C3" w:rsidRDefault="004E68CD" w:rsidP="004E68CD">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4E68CD">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0013671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22D4808F" w:rsidR="007820C3" w:rsidRPr="00FB30B4" w:rsidRDefault="007820C3" w:rsidP="00792CEE">
            <w:pPr>
              <w:rPr>
                <w:rFonts w:ascii="Arial" w:hAnsi="Arial" w:cs="Arial"/>
                <w:color w:val="FF00FF"/>
                <w:szCs w:val="24"/>
              </w:rPr>
            </w:pPr>
          </w:p>
        </w:tc>
        <w:tc>
          <w:tcPr>
            <w:tcW w:w="6266" w:type="dxa"/>
          </w:tcPr>
          <w:p w14:paraId="047024FF" w14:textId="77777777" w:rsidR="00DF1F8E" w:rsidRPr="00DF1F8E" w:rsidRDefault="00DF1F8E" w:rsidP="00DF1F8E">
            <w:pPr>
              <w:rPr>
                <w:rFonts w:ascii="Arial" w:hAnsi="Arial" w:cs="Arial"/>
                <w:szCs w:val="24"/>
              </w:rPr>
            </w:pPr>
            <w:r w:rsidRPr="00DF1F8E">
              <w:rPr>
                <w:rFonts w:ascii="Arial" w:hAnsi="Arial" w:cs="Arial"/>
                <w:szCs w:val="24"/>
              </w:rPr>
              <w:t xml:space="preserve">We have carried out a risk assessment on behalf of the operator.  </w:t>
            </w:r>
          </w:p>
          <w:p w14:paraId="5D47EDC7" w14:textId="77777777" w:rsidR="00DF1F8E" w:rsidRPr="00DF1F8E" w:rsidRDefault="00DF1F8E" w:rsidP="00DF1F8E">
            <w:pPr>
              <w:rPr>
                <w:rFonts w:ascii="Arial" w:hAnsi="Arial" w:cs="Arial"/>
                <w:szCs w:val="24"/>
              </w:rPr>
            </w:pPr>
          </w:p>
          <w:p w14:paraId="0FF152DB" w14:textId="7AA34E7A" w:rsidR="007820C3" w:rsidRDefault="00DF1F8E" w:rsidP="00DF1F8E">
            <w:pPr>
              <w:rPr>
                <w:rFonts w:ascii="Arial" w:hAnsi="Arial" w:cs="Arial"/>
                <w:szCs w:val="24"/>
              </w:rPr>
            </w:pPr>
            <w:r w:rsidRPr="00DF1F8E">
              <w:rPr>
                <w:rFonts w:ascii="Arial" w:hAnsi="Arial" w:cs="Arial"/>
                <w:szCs w:val="24"/>
              </w:rPr>
              <w:t xml:space="preserve">The operator considers this risk assessment is satisfactory. </w:t>
            </w:r>
          </w:p>
          <w:p w14:paraId="66068DF6" w14:textId="77777777" w:rsidR="00DF1F8E" w:rsidRPr="0067695E" w:rsidRDefault="00DF1F8E" w:rsidP="00DF1F8E">
            <w:pPr>
              <w:rPr>
                <w:rFonts w:ascii="Arial" w:hAnsi="Arial" w:cs="Arial"/>
                <w:szCs w:val="24"/>
              </w:rPr>
            </w:pPr>
          </w:p>
          <w:p w14:paraId="0FF152DD" w14:textId="26FA4C20" w:rsidR="00FB30B4" w:rsidRPr="007820C3" w:rsidRDefault="006F5638" w:rsidP="00792CEE">
            <w:pPr>
              <w:pStyle w:val="BodyText"/>
              <w:rPr>
                <w:rFonts w:ascii="Arial" w:hAnsi="Arial" w:cs="Arial"/>
                <w:szCs w:val="24"/>
              </w:rPr>
            </w:pPr>
            <w:r w:rsidRPr="006F5638">
              <w:rPr>
                <w:rFonts w:ascii="Arial" w:hAnsi="Arial" w:cs="Arial"/>
                <w:color w:val="auto"/>
                <w:szCs w:val="24"/>
              </w:rPr>
              <w:t>The assessment shows that, applying the conservative criteria in our guidance on Environmental Risk Assessment</w:t>
            </w:r>
            <w:r w:rsidR="00E3627B">
              <w:rPr>
                <w:rFonts w:ascii="Arial" w:hAnsi="Arial" w:cs="Arial"/>
                <w:color w:val="auto"/>
                <w:szCs w:val="24"/>
              </w:rPr>
              <w:t>,</w:t>
            </w:r>
            <w:r w:rsidRPr="006F5638">
              <w:rPr>
                <w:rFonts w:ascii="Arial" w:hAnsi="Arial" w:cs="Arial"/>
                <w:color w:val="auto"/>
                <w:szCs w:val="24"/>
              </w:rPr>
              <w:t xml:space="preserve"> all emissions may be categorised as environmentally insignificant </w:t>
            </w: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lastRenderedPageBreak/>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415901A1" w14:textId="77777777" w:rsidR="0067695E" w:rsidRDefault="0067695E" w:rsidP="00792CEE">
            <w:pPr>
              <w:pStyle w:val="BodyText"/>
              <w:rPr>
                <w:rFonts w:ascii="Arial" w:hAnsi="Arial" w:cs="Arial"/>
                <w:color w:val="FF00FF"/>
                <w:szCs w:val="24"/>
              </w:rPr>
            </w:pPr>
          </w:p>
          <w:p w14:paraId="0FF152EF" w14:textId="384BA2CD" w:rsidR="007820C3" w:rsidRPr="0067695E" w:rsidRDefault="007820C3" w:rsidP="00792CEE">
            <w:pPr>
              <w:pStyle w:val="BodyText"/>
              <w:rPr>
                <w:rFonts w:ascii="Arial" w:hAnsi="Arial" w:cs="Arial"/>
                <w:color w:val="auto"/>
                <w:szCs w:val="24"/>
              </w:rPr>
            </w:pPr>
            <w:r w:rsidRPr="0067695E">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48B15F80" w14:textId="57A980D9" w:rsidR="0067695E" w:rsidRPr="0067695E" w:rsidRDefault="0067695E" w:rsidP="00792CEE">
            <w:pPr>
              <w:pStyle w:val="BodyText"/>
              <w:rPr>
                <w:rFonts w:ascii="Arial" w:hAnsi="Arial" w:cs="Arial"/>
                <w:color w:val="auto"/>
                <w:szCs w:val="24"/>
              </w:rPr>
            </w:pPr>
          </w:p>
          <w:p w14:paraId="1CC0EC63" w14:textId="07394A12" w:rsidR="0067695E" w:rsidRPr="0067695E" w:rsidRDefault="0067695E" w:rsidP="00792CEE">
            <w:pPr>
              <w:pStyle w:val="BodyText"/>
              <w:rPr>
                <w:rFonts w:ascii="Arial" w:hAnsi="Arial" w:cs="Arial"/>
                <w:color w:val="auto"/>
                <w:szCs w:val="24"/>
              </w:rPr>
            </w:pPr>
            <w:r w:rsidRPr="0067695E">
              <w:rPr>
                <w:rFonts w:ascii="Arial" w:hAnsi="Arial" w:cs="Arial"/>
                <w:color w:val="auto"/>
                <w:szCs w:val="24"/>
              </w:rPr>
              <w:t>As required in EPR 7.01.</w:t>
            </w:r>
          </w:p>
          <w:p w14:paraId="0FF152F4" w14:textId="77777777" w:rsidR="00FB30B4" w:rsidRPr="007820C3" w:rsidRDefault="00FB30B4" w:rsidP="0067695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4E68CD">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20081264" w:rsidR="00E96702" w:rsidRPr="006B3D06"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E96702"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51" w14:textId="198C88BE" w:rsidR="00FB30B4" w:rsidRPr="00F42026" w:rsidRDefault="006765AE" w:rsidP="006B3D06">
      <w:pPr>
        <w:pStyle w:val="Heading1"/>
        <w:jc w:val="left"/>
        <w:rPr>
          <w:color w:val="FF0000"/>
        </w:rPr>
      </w:pPr>
      <w:r>
        <w:br w:type="page"/>
      </w:r>
      <w:r w:rsidR="00FB30B4" w:rsidRPr="006B3D06">
        <w:rPr>
          <w:color w:val="auto"/>
          <w:sz w:val="24"/>
        </w:rPr>
        <w:lastRenderedPageBreak/>
        <w:t>Annex 2: Consultation responses</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2FACC38B" w:rsidR="00FB30B4" w:rsidRPr="00136717" w:rsidRDefault="006B3D06" w:rsidP="00FB30B4">
            <w:pPr>
              <w:jc w:val="both"/>
              <w:rPr>
                <w:rFonts w:ascii="Arial" w:hAnsi="Arial" w:cs="Arial"/>
                <w:b/>
                <w:color w:val="FFFFFF" w:themeColor="background1"/>
              </w:rPr>
            </w:pPr>
            <w:r w:rsidRPr="003661C5">
              <w:rPr>
                <w:rFonts w:ascii="Arial" w:hAnsi="Arial" w:cs="Arial"/>
              </w:rPr>
              <w:t>DCWW</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43F333AB" w14:textId="77777777" w:rsidR="006B3D06" w:rsidRPr="003661C5" w:rsidRDefault="006B3D06" w:rsidP="006B3D06">
            <w:pPr>
              <w:jc w:val="both"/>
              <w:rPr>
                <w:rFonts w:ascii="Arial" w:hAnsi="Arial" w:cs="Arial"/>
              </w:rPr>
            </w:pPr>
            <w:r w:rsidRPr="003661C5">
              <w:rPr>
                <w:rFonts w:ascii="Arial" w:hAnsi="Arial" w:cs="Arial"/>
              </w:rPr>
              <w:t>No issues raised, response was as follows:</w:t>
            </w:r>
          </w:p>
          <w:p w14:paraId="6411FF76" w14:textId="77777777" w:rsidR="006B3D06" w:rsidRPr="003661C5" w:rsidRDefault="006B3D06" w:rsidP="006B3D06">
            <w:pPr>
              <w:jc w:val="both"/>
              <w:rPr>
                <w:rFonts w:ascii="Arial" w:hAnsi="Arial" w:cs="Arial"/>
              </w:rPr>
            </w:pPr>
          </w:p>
          <w:p w14:paraId="57D82BDE" w14:textId="60ED8DF6" w:rsidR="00FB30B4" w:rsidRDefault="006B3D06" w:rsidP="00FB30B4">
            <w:pPr>
              <w:jc w:val="both"/>
              <w:rPr>
                <w:rFonts w:ascii="Arial" w:hAnsi="Arial" w:cs="Arial"/>
              </w:rPr>
            </w:pPr>
            <w:r>
              <w:rPr>
                <w:rFonts w:ascii="Arial" w:hAnsi="Arial" w:cs="Arial"/>
              </w:rPr>
              <w:t>‘</w:t>
            </w:r>
            <w:r w:rsidR="003077E4" w:rsidRPr="003077E4">
              <w:rPr>
                <w:rFonts w:ascii="Arial" w:hAnsi="Arial" w:cs="Arial"/>
              </w:rPr>
              <w:t>This application falls downstream of our point of abstraction and we therefore have no concerns</w:t>
            </w:r>
            <w:r w:rsidRPr="006B3D06">
              <w:rPr>
                <w:rFonts w:ascii="Arial" w:hAnsi="Arial" w:cs="Arial"/>
              </w:rPr>
              <w:t>.</w:t>
            </w:r>
            <w:r>
              <w:rPr>
                <w:rFonts w:ascii="Arial" w:hAnsi="Arial" w:cs="Arial"/>
              </w:rPr>
              <w:t>’</w:t>
            </w:r>
            <w:r w:rsidRPr="006B3D06">
              <w:rPr>
                <w:rFonts w:ascii="Arial" w:hAnsi="Arial" w:cs="Arial"/>
              </w:rPr>
              <w:t xml:space="preserve"> </w:t>
            </w:r>
          </w:p>
          <w:p w14:paraId="0FF15359" w14:textId="4B214EC8" w:rsidR="006B3D06" w:rsidRPr="004243F4" w:rsidRDefault="006B3D06" w:rsidP="00FB30B4">
            <w:pPr>
              <w:jc w:val="both"/>
              <w:rPr>
                <w:rFonts w:ascii="Arial" w:hAnsi="Arial" w:cs="Arial"/>
                <w:color w:val="FF0000"/>
              </w:rPr>
            </w:pP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2FF246B2" w:rsidR="00FB30B4" w:rsidRPr="004243F4" w:rsidRDefault="006B3D06" w:rsidP="00FB30B4">
            <w:pPr>
              <w:jc w:val="both"/>
              <w:rPr>
                <w:rFonts w:ascii="Arial" w:hAnsi="Arial" w:cs="Arial"/>
              </w:rPr>
            </w:pPr>
            <w:r>
              <w:rPr>
                <w:rFonts w:ascii="Arial" w:hAnsi="Arial" w:cs="Arial"/>
              </w:rPr>
              <w:t>N/A</w:t>
            </w:r>
          </w:p>
        </w:tc>
      </w:tr>
    </w:tbl>
    <w:p w14:paraId="0FF15360" w14:textId="77777777" w:rsidR="00FB30B4" w:rsidRPr="004243F4" w:rsidRDefault="00FB30B4" w:rsidP="00FB30B4">
      <w:pPr>
        <w:jc w:val="both"/>
        <w:rPr>
          <w:rFonts w:ascii="Arial" w:hAnsi="Arial" w:cs="Arial"/>
        </w:rPr>
      </w:pPr>
    </w:p>
    <w:p w14:paraId="0FF15363" w14:textId="77777777" w:rsidR="00FB30B4" w:rsidRPr="004243F4" w:rsidRDefault="00FB30B4" w:rsidP="00FB30B4">
      <w:pPr>
        <w:rPr>
          <w:rFonts w:ascii="Arial" w:hAnsi="Arial" w:cs="Arial"/>
          <w:color w:val="FF0000"/>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AB9030" w14:textId="77777777" w:rsidR="004A7BB9" w:rsidRDefault="004A7BB9">
      <w:r>
        <w:separator/>
      </w:r>
    </w:p>
  </w:endnote>
  <w:endnote w:type="continuationSeparator" w:id="0">
    <w:p w14:paraId="4A2A093C" w14:textId="77777777" w:rsidR="004A7BB9" w:rsidRDefault="004A7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67695E" w:rsidRDefault="0067695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67695E" w:rsidRDefault="006769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67695E" w:rsidRPr="002B61AE" w14:paraId="0FF15380" w14:textId="77777777" w:rsidTr="008632BF">
      <w:trPr>
        <w:trHeight w:val="286"/>
      </w:trPr>
      <w:tc>
        <w:tcPr>
          <w:tcW w:w="2659" w:type="dxa"/>
        </w:tcPr>
        <w:p w14:paraId="0FF1537C" w14:textId="10411AA5" w:rsidR="0067695E" w:rsidRPr="00E907C6" w:rsidRDefault="0067695E" w:rsidP="008632BF">
          <w:pPr>
            <w:tabs>
              <w:tab w:val="left" w:pos="4335"/>
              <w:tab w:val="right" w:pos="10348"/>
            </w:tabs>
            <w:rPr>
              <w:rStyle w:val="PageNumber"/>
              <w:rFonts w:ascii="Arial" w:hAnsi="Arial" w:cs="Arial"/>
              <w:color w:val="0070C0"/>
              <w:sz w:val="18"/>
              <w:lang w:val="en-US"/>
            </w:rPr>
          </w:pPr>
        </w:p>
      </w:tc>
      <w:tc>
        <w:tcPr>
          <w:tcW w:w="2659" w:type="dxa"/>
        </w:tcPr>
        <w:p w14:paraId="0FF1537D" w14:textId="5E1ABA50" w:rsidR="0067695E" w:rsidRPr="00E907C6" w:rsidRDefault="0067695E"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67695E" w:rsidRPr="00E907C6" w:rsidRDefault="0067695E"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67695E" w:rsidRPr="00E907C6" w:rsidRDefault="0067695E"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67695E" w:rsidRPr="003F4346" w:rsidRDefault="0067695E"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101697" w14:textId="77777777" w:rsidR="004A7BB9" w:rsidRDefault="004A7BB9">
      <w:r>
        <w:separator/>
      </w:r>
    </w:p>
  </w:footnote>
  <w:footnote w:type="continuationSeparator" w:id="0">
    <w:p w14:paraId="1DBB59B3" w14:textId="77777777" w:rsidR="004A7BB9" w:rsidRDefault="004A7B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C44B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63AA"/>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7BC2"/>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077E4"/>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A7BB9"/>
    <w:rsid w:val="004B3156"/>
    <w:rsid w:val="004C16AD"/>
    <w:rsid w:val="004E4418"/>
    <w:rsid w:val="004E68CD"/>
    <w:rsid w:val="004E7719"/>
    <w:rsid w:val="0053399B"/>
    <w:rsid w:val="0053589C"/>
    <w:rsid w:val="00564C6D"/>
    <w:rsid w:val="005761B2"/>
    <w:rsid w:val="005910D1"/>
    <w:rsid w:val="00591847"/>
    <w:rsid w:val="00591E64"/>
    <w:rsid w:val="005A03EE"/>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7695E"/>
    <w:rsid w:val="00680A19"/>
    <w:rsid w:val="006817A9"/>
    <w:rsid w:val="00681CCF"/>
    <w:rsid w:val="006926EA"/>
    <w:rsid w:val="006933D4"/>
    <w:rsid w:val="00695D92"/>
    <w:rsid w:val="006B0BFB"/>
    <w:rsid w:val="006B1FC3"/>
    <w:rsid w:val="006B3D06"/>
    <w:rsid w:val="006B4555"/>
    <w:rsid w:val="006C735F"/>
    <w:rsid w:val="006F3A65"/>
    <w:rsid w:val="006F4CBC"/>
    <w:rsid w:val="006F5638"/>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A3409"/>
    <w:rsid w:val="007B4377"/>
    <w:rsid w:val="007C0D90"/>
    <w:rsid w:val="007C391D"/>
    <w:rsid w:val="007D1C17"/>
    <w:rsid w:val="007D2A88"/>
    <w:rsid w:val="007D2C10"/>
    <w:rsid w:val="007E1C67"/>
    <w:rsid w:val="007E3284"/>
    <w:rsid w:val="007E5AD7"/>
    <w:rsid w:val="007F1354"/>
    <w:rsid w:val="008118CE"/>
    <w:rsid w:val="008146E9"/>
    <w:rsid w:val="00844046"/>
    <w:rsid w:val="008524F0"/>
    <w:rsid w:val="008557BC"/>
    <w:rsid w:val="008632BF"/>
    <w:rsid w:val="008642DA"/>
    <w:rsid w:val="008743F4"/>
    <w:rsid w:val="00882814"/>
    <w:rsid w:val="008828A9"/>
    <w:rsid w:val="00885742"/>
    <w:rsid w:val="00887285"/>
    <w:rsid w:val="0089254B"/>
    <w:rsid w:val="00896CC2"/>
    <w:rsid w:val="008A5C1D"/>
    <w:rsid w:val="008D0A1D"/>
    <w:rsid w:val="008D1489"/>
    <w:rsid w:val="008D4796"/>
    <w:rsid w:val="008E0382"/>
    <w:rsid w:val="008E03A3"/>
    <w:rsid w:val="008E417C"/>
    <w:rsid w:val="009027F9"/>
    <w:rsid w:val="009047F4"/>
    <w:rsid w:val="009070E1"/>
    <w:rsid w:val="00910775"/>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29AD"/>
    <w:rsid w:val="00C57F82"/>
    <w:rsid w:val="00C8353B"/>
    <w:rsid w:val="00C85FD5"/>
    <w:rsid w:val="00C91798"/>
    <w:rsid w:val="00C93F6F"/>
    <w:rsid w:val="00CA35B5"/>
    <w:rsid w:val="00CA4E7D"/>
    <w:rsid w:val="00CA62D3"/>
    <w:rsid w:val="00CD7386"/>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DF1F8E"/>
    <w:rsid w:val="00E22C8C"/>
    <w:rsid w:val="00E244F7"/>
    <w:rsid w:val="00E25A5B"/>
    <w:rsid w:val="00E35F5D"/>
    <w:rsid w:val="00E3627B"/>
    <w:rsid w:val="00E44A95"/>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5579742">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05" ma:contentTypeDescription="Permitting &amp; Compliance Word Document" ma:contentTypeScope="" ma:versionID="a018bd0481fef5565d5749ff85912395">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Berllan Deg</Site_x0020_Name>
    <Internal_x002f_External xmlns="859f7ad6-93f6-4205-b62b-a17f28acbbac">Internal document</Internal_x002f_External>
    <Post_x0020_code xmlns="859f7ad6-93f6-4205-b62b-a17f28acbbac">SA32 8AD</Post_x0020_code>
    <IconOverlay xmlns="http://schemas.microsoft.com/sharepoint/v4"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27 St. Ives Gardens, Bournemouth, BH2 6NS</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2020-07-08T23:00:00.000Z</Document_x0020_Date>
    <Facility_x0020_Address xmlns="859f7ad6-93f6-4205-b62b-a17f28acbbac">Y Clos, Capel Dewi, Carmarthen</Facility_x0020_Address>
    <Environment_x0020_Sub_x0020_Folder xmlns="859f7ad6-93f6-4205-b62b-a17f28acbbac">Licences applications</Environment_x0020_Sub_x0020_Folder>
    <Customer_x0020_Name xmlns="859f7ad6-93f6-4205-b62b-a17f28acbbac">Casper Homes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66C96648-4E04-4AE9-9787-AC1978888585}">
  <ds:schemaRefs>
    <ds:schemaRef ds:uri="http://schemas.microsoft.com/sharepoint/events"/>
  </ds:schemaRefs>
</ds:datastoreItem>
</file>

<file path=customXml/itemProps2.xml><?xml version="1.0" encoding="utf-8"?>
<ds:datastoreItem xmlns:ds="http://schemas.openxmlformats.org/officeDocument/2006/customXml" ds:itemID="{45497C5C-2835-47E5-8480-EE0A0D006C5E}">
  <ds:schemaRefs>
    <ds:schemaRef ds:uri="Microsoft.SharePoint.Taxonomy.ContentTypeSync"/>
  </ds:schemaRefs>
</ds:datastoreItem>
</file>

<file path=customXml/itemProps3.xml><?xml version="1.0" encoding="utf-8"?>
<ds:datastoreItem xmlns:ds="http://schemas.openxmlformats.org/officeDocument/2006/customXml" ds:itemID="{005615A9-5E2D-4602-941B-1E3FC22B44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76c396e-0f13-4de6-8381-592a969a477d"/>
    <ds:schemaRef ds:uri="6e121689-de5b-41b9-a751-bfeda7fa2b07"/>
    <ds:schemaRef ds:uri="http://schemas.microsoft.com/sharepoint/v4"/>
    <ds:schemaRef ds:uri="005db27c-c37f-4c3b-898d-3fee1249b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http://schemas.microsoft.com/office/2006/documentManagement/types"/>
    <ds:schemaRef ds:uri="859f7ad6-93f6-4205-b62b-a17f28acbbac"/>
    <ds:schemaRef ds:uri="http://purl.org/dc/terms/"/>
    <ds:schemaRef ds:uri="976c396e-0f13-4de6-8381-592a969a477d"/>
    <ds:schemaRef ds:uri="http://purl.org/dc/dcmitype/"/>
    <ds:schemaRef ds:uri="http://schemas.microsoft.com/office/infopath/2007/PartnerControls"/>
    <ds:schemaRef ds:uri="http://schemas.openxmlformats.org/package/2006/metadata/core-properties"/>
    <ds:schemaRef ds:uri="005db27c-c37f-4c3b-898d-3fee1249b087"/>
    <ds:schemaRef ds:uri="http://schemas.microsoft.com/sharepoint/v4"/>
    <ds:schemaRef ds:uri="6e121689-de5b-41b9-a751-bfeda7fa2b0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665</Words>
  <Characters>3781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Dauncey, Thomas</dc:creator>
  <cp:keywords>23308SD92, 233 08 SD92, 233-08-SD92</cp:keywords>
  <dc:description>233_08_SD92, Version 3_x000d_
Issue date: 19/07/2011</dc:description>
  <cp:lastModifiedBy>Dauncey, Thomas</cp:lastModifiedBy>
  <cp:revision>9</cp:revision>
  <cp:lastPrinted>2008-01-30T13:54:00Z</cp:lastPrinted>
  <dcterms:created xsi:type="dcterms:W3CDTF">2020-06-29T13:26:00Z</dcterms:created>
  <dcterms:modified xsi:type="dcterms:W3CDTF">2020-07-28T11:15:00Z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b5cdd9c3-bf11-4b87-acff-040aa3642d75</vt:lpwstr>
  </property>
  <property fmtid="{D5CDD505-2E9C-101B-9397-08002B2CF9AE}" pid="11" name="SharedWithUsers">
    <vt:lpwstr/>
  </property>
  <property fmtid="{D5CDD505-2E9C-101B-9397-08002B2CF9AE}" pid="12" name="_dlc_DocId">
    <vt:lpwstr>REGU-193-2075833</vt:lpwstr>
  </property>
  <property fmtid="{D5CDD505-2E9C-101B-9397-08002B2CF9AE}" pid="13" name="_dlc_DocIdUrl">
    <vt:lpwstr>https://cyfoethnaturiolcymru.sharepoint.com/teams/Regulatory/Permitting/_layouts/15/DocIdRedir.aspx?ID=REGU-193-2075833, REGU-193-2075833</vt:lpwstr>
  </property>
  <property fmtid="{D5CDD505-2E9C-101B-9397-08002B2CF9AE}" pid="14" name="_docset_NoMedatataSyncRequired">
    <vt:lpwstr>False</vt:lpwstr>
  </property>
</Properties>
</file>