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C3BC" w14:textId="62A5EDBC" w:rsidR="00CA624D" w:rsidRPr="00A54CE1" w:rsidRDefault="0023655C">
      <w:pPr>
        <w:rPr>
          <w:rFonts w:cstheme="minorHAnsi"/>
          <w:sz w:val="24"/>
          <w:szCs w:val="24"/>
          <w:u w:val="single"/>
        </w:rPr>
      </w:pPr>
      <w:bookmarkStart w:id="0" w:name="_GoBack"/>
      <w:bookmarkEnd w:id="0"/>
      <w:r w:rsidRPr="0023655C">
        <w:rPr>
          <w:rFonts w:cstheme="minorHAnsi"/>
          <w:sz w:val="24"/>
          <w:szCs w:val="24"/>
          <w:u w:val="single"/>
        </w:rPr>
        <w:t xml:space="preserve">Operating </w:t>
      </w:r>
      <w:r w:rsidR="002F0E9E">
        <w:rPr>
          <w:rFonts w:cstheme="minorHAnsi"/>
          <w:sz w:val="24"/>
          <w:szCs w:val="24"/>
          <w:u w:val="single"/>
        </w:rPr>
        <w:t>Techniques</w:t>
      </w:r>
      <w:r w:rsidRPr="0023655C">
        <w:rPr>
          <w:rFonts w:cstheme="minorHAnsi"/>
          <w:sz w:val="24"/>
          <w:szCs w:val="24"/>
          <w:u w:val="single"/>
        </w:rPr>
        <w:t xml:space="preserve"> – </w:t>
      </w:r>
      <w:r w:rsidR="00A54CE1">
        <w:rPr>
          <w:rFonts w:cstheme="minorHAnsi"/>
          <w:sz w:val="24"/>
          <w:szCs w:val="24"/>
          <w:u w:val="single"/>
        </w:rPr>
        <w:t>Mold</w:t>
      </w:r>
      <w:r w:rsidRPr="0023655C">
        <w:rPr>
          <w:rFonts w:cstheme="minorHAnsi"/>
          <w:sz w:val="24"/>
          <w:szCs w:val="24"/>
          <w:u w:val="single"/>
        </w:rPr>
        <w:t xml:space="preserve"> </w:t>
      </w:r>
      <w:r w:rsidRPr="00A54CE1">
        <w:rPr>
          <w:rFonts w:cstheme="minorHAnsi"/>
          <w:sz w:val="24"/>
          <w:szCs w:val="24"/>
          <w:u w:val="single"/>
        </w:rPr>
        <w:t>STW (</w:t>
      </w:r>
      <w:r w:rsidR="00A54CE1" w:rsidRPr="00A54CE1">
        <w:rPr>
          <w:rFonts w:cstheme="minorHAnsi"/>
          <w:sz w:val="24"/>
          <w:szCs w:val="24"/>
          <w:u w:val="single"/>
        </w:rPr>
        <w:t>CM0031001</w:t>
      </w:r>
      <w:r w:rsidRPr="00A54CE1">
        <w:rPr>
          <w:rFonts w:cstheme="minorHAnsi"/>
          <w:sz w:val="24"/>
          <w:szCs w:val="24"/>
          <w:u w:val="single"/>
        </w:rPr>
        <w:t>)</w:t>
      </w:r>
    </w:p>
    <w:p w14:paraId="77072F39" w14:textId="77777777" w:rsidR="002F0E9E" w:rsidRPr="00251B64" w:rsidRDefault="002F0E9E" w:rsidP="002F0E9E">
      <w:pPr>
        <w:rPr>
          <w:rFonts w:cstheme="minorHAnsi"/>
          <w:sz w:val="24"/>
          <w:szCs w:val="24"/>
          <w:u w:val="single"/>
        </w:rPr>
      </w:pPr>
      <w:r w:rsidRPr="00251B64">
        <w:rPr>
          <w:rFonts w:cstheme="minorHAnsi"/>
          <w:sz w:val="24"/>
          <w:szCs w:val="24"/>
          <w:u w:val="single"/>
        </w:rPr>
        <w:t>Standstill permit limit monitoring and reporting</w:t>
      </w:r>
    </w:p>
    <w:p w14:paraId="69AB8661" w14:textId="0CBF3A49" w:rsidR="002F0E9E" w:rsidRDefault="002F0E9E" w:rsidP="002F0E9E">
      <w:r>
        <w:rPr>
          <w:rFonts w:cstheme="minorHAnsi"/>
          <w:sz w:val="24"/>
          <w:szCs w:val="24"/>
        </w:rPr>
        <w:t xml:space="preserve">Mold STW is subject to an AMP7 </w:t>
      </w:r>
      <w:r>
        <w:rPr>
          <w:rFonts w:eastAsia="Times New Roman"/>
        </w:rPr>
        <w:t xml:space="preserve">CHEM ND2 driver which specifies: </w:t>
      </w:r>
      <w:r w:rsidRPr="00A06172">
        <w:t>Prevent further deterioration where there is risk to EQS. Monitoring alternative to standstill limits - Permit conditions for monitoring and reporting, from April 2020.</w:t>
      </w:r>
    </w:p>
    <w:p w14:paraId="744F2DFF" w14:textId="74D241D1" w:rsidR="002F0E9E" w:rsidRDefault="002F0E9E" w:rsidP="002F0E9E">
      <w:pPr>
        <w:rPr>
          <w:color w:val="171717"/>
        </w:rPr>
      </w:pPr>
      <w:r w:rsidRPr="003843CE">
        <w:t>Dwr Cymru will be required to assess against a calculated Standstill permit limit, failure of which will be counted as a descriptive permit condition failure not a non-compliance. This assessment will take the form of</w:t>
      </w:r>
      <w:r>
        <w:t xml:space="preserve"> effluent</w:t>
      </w:r>
      <w:r w:rsidRPr="003843CE">
        <w:t xml:space="preserve"> spot sampling</w:t>
      </w:r>
      <w:r>
        <w:t xml:space="preserve"> together with upstream and downstream river sampling</w:t>
      </w:r>
      <w:r w:rsidRPr="003843CE">
        <w:t xml:space="preserve"> at current OSM frequency. Dwr Cymru will submit a summary report to the NRW on an annual basis and will commit to undertaking an investigation if the limits specified below are exceeded</w:t>
      </w:r>
      <w:r>
        <w:rPr>
          <w:color w:val="171717"/>
        </w:rPr>
        <w:t>.</w:t>
      </w:r>
    </w:p>
    <w:p w14:paraId="1CA48C05" w14:textId="5F007C63" w:rsidR="002F0E9E" w:rsidRDefault="002F0E9E" w:rsidP="002F0E9E">
      <w:pPr>
        <w:rPr>
          <w:color w:val="171717"/>
        </w:rPr>
      </w:pPr>
      <w:r>
        <w:rPr>
          <w:color w:val="171717"/>
        </w:rPr>
        <w:t xml:space="preserve"> Dwr Cymru will look at trends in data to determine if stable or increasing or decreasing. Agreement to look at data and review if increased treatment is needed at AMP8 planning. If analysis of the sampling data indicates a significant threat to achieving the EQS downstream (using the 50/80 rule), appropriate numeric limits shall be derived and applied to the permit from AMP8.  </w:t>
      </w:r>
    </w:p>
    <w:p w14:paraId="30B0B92F" w14:textId="77777777" w:rsidR="002F0E9E" w:rsidRDefault="002F0E9E" w:rsidP="002F0E9E">
      <w:pPr>
        <w:rPr>
          <w:color w:val="171717"/>
        </w:rPr>
      </w:pPr>
    </w:p>
    <w:p w14:paraId="472B198D" w14:textId="5BFABCA7" w:rsidR="00A06172" w:rsidRPr="003843CE" w:rsidRDefault="003843CE" w:rsidP="00A06172">
      <w:pPr>
        <w:rPr>
          <w:u w:val="single"/>
        </w:rPr>
      </w:pPr>
      <w:r w:rsidRPr="003843CE">
        <w:rPr>
          <w:u w:val="single"/>
        </w:rPr>
        <w:t>Sampling Programme</w:t>
      </w:r>
    </w:p>
    <w:p w14:paraId="732B10EF" w14:textId="77777777" w:rsidR="00A06172" w:rsidRPr="00A06172" w:rsidRDefault="00A06172" w:rsidP="00A06172"/>
    <w:tbl>
      <w:tblPr>
        <w:tblStyle w:val="TableGrid"/>
        <w:tblW w:w="0" w:type="auto"/>
        <w:tblLook w:val="04A0" w:firstRow="1" w:lastRow="0" w:firstColumn="1" w:lastColumn="0" w:noHBand="0" w:noVBand="1"/>
      </w:tblPr>
      <w:tblGrid>
        <w:gridCol w:w="1288"/>
        <w:gridCol w:w="1421"/>
        <w:gridCol w:w="1288"/>
        <w:gridCol w:w="1490"/>
        <w:gridCol w:w="1288"/>
        <w:gridCol w:w="1288"/>
      </w:tblGrid>
      <w:tr w:rsidR="003843CE" w14:paraId="3DA02474" w14:textId="77777777" w:rsidTr="003843CE">
        <w:tc>
          <w:tcPr>
            <w:tcW w:w="1288" w:type="dxa"/>
          </w:tcPr>
          <w:p w14:paraId="01220BB2" w14:textId="0042B5DC" w:rsidR="003843CE" w:rsidRPr="003843CE" w:rsidRDefault="003843CE">
            <w:pPr>
              <w:rPr>
                <w:rFonts w:cstheme="minorHAnsi"/>
              </w:rPr>
            </w:pPr>
            <w:r w:rsidRPr="003843CE">
              <w:rPr>
                <w:rFonts w:cstheme="minorHAnsi"/>
              </w:rPr>
              <w:t>Effluent Discharge Point</w:t>
            </w:r>
          </w:p>
        </w:tc>
        <w:tc>
          <w:tcPr>
            <w:tcW w:w="1288" w:type="dxa"/>
          </w:tcPr>
          <w:p w14:paraId="12275879" w14:textId="6628391D" w:rsidR="003843CE" w:rsidRPr="003843CE" w:rsidRDefault="003843CE">
            <w:pPr>
              <w:rPr>
                <w:rFonts w:cstheme="minorHAnsi"/>
              </w:rPr>
            </w:pPr>
            <w:r>
              <w:rPr>
                <w:rFonts w:cstheme="minorHAnsi"/>
              </w:rPr>
              <w:t>Parameter</w:t>
            </w:r>
          </w:p>
        </w:tc>
        <w:tc>
          <w:tcPr>
            <w:tcW w:w="1288" w:type="dxa"/>
          </w:tcPr>
          <w:p w14:paraId="0A79E544" w14:textId="64C7A5FD" w:rsidR="003843CE" w:rsidRPr="003843CE" w:rsidRDefault="003843CE">
            <w:pPr>
              <w:rPr>
                <w:rFonts w:cstheme="minorHAnsi"/>
              </w:rPr>
            </w:pPr>
            <w:r w:rsidRPr="003843CE">
              <w:rPr>
                <w:rFonts w:cstheme="minorHAnsi"/>
              </w:rPr>
              <w:t>Limit (including unit)</w:t>
            </w:r>
          </w:p>
        </w:tc>
        <w:tc>
          <w:tcPr>
            <w:tcW w:w="1288" w:type="dxa"/>
          </w:tcPr>
          <w:p w14:paraId="015D0F60" w14:textId="3D8BC13F" w:rsidR="003843CE" w:rsidRPr="003843CE" w:rsidRDefault="003843CE">
            <w:pPr>
              <w:rPr>
                <w:rFonts w:cstheme="minorHAnsi"/>
              </w:rPr>
            </w:pPr>
            <w:r w:rsidRPr="003843CE">
              <w:rPr>
                <w:rFonts w:cstheme="minorHAnsi"/>
              </w:rPr>
              <w:t>Reference period</w:t>
            </w:r>
          </w:p>
        </w:tc>
        <w:tc>
          <w:tcPr>
            <w:tcW w:w="1288" w:type="dxa"/>
          </w:tcPr>
          <w:p w14:paraId="6A239167" w14:textId="699987BB" w:rsidR="003843CE" w:rsidRPr="003843CE" w:rsidRDefault="003843CE">
            <w:pPr>
              <w:rPr>
                <w:rFonts w:cstheme="minorHAnsi"/>
              </w:rPr>
            </w:pPr>
            <w:r w:rsidRPr="003843CE">
              <w:rPr>
                <w:rFonts w:cstheme="minorHAnsi"/>
              </w:rPr>
              <w:t>Monitoring Frequency</w:t>
            </w:r>
          </w:p>
        </w:tc>
        <w:tc>
          <w:tcPr>
            <w:tcW w:w="1288" w:type="dxa"/>
          </w:tcPr>
          <w:p w14:paraId="718E1577" w14:textId="75A3AA69" w:rsidR="003843CE" w:rsidRPr="003843CE" w:rsidRDefault="003843CE">
            <w:pPr>
              <w:rPr>
                <w:rFonts w:cstheme="minorHAnsi"/>
              </w:rPr>
            </w:pPr>
            <w:r w:rsidRPr="003843CE">
              <w:rPr>
                <w:rFonts w:cstheme="minorHAnsi"/>
              </w:rPr>
              <w:t>Compliance Statistic</w:t>
            </w:r>
          </w:p>
        </w:tc>
      </w:tr>
      <w:tr w:rsidR="003843CE" w14:paraId="1F908BB3" w14:textId="77777777" w:rsidTr="003843CE">
        <w:tc>
          <w:tcPr>
            <w:tcW w:w="1288" w:type="dxa"/>
          </w:tcPr>
          <w:p w14:paraId="43A35560" w14:textId="77777777" w:rsidR="003843CE" w:rsidRDefault="003843CE">
            <w:pPr>
              <w:rPr>
                <w:rFonts w:ascii="Helvetica" w:hAnsi="Helvetica" w:cs="Helvetica"/>
                <w:sz w:val="24"/>
                <w:szCs w:val="24"/>
              </w:rPr>
            </w:pPr>
          </w:p>
        </w:tc>
        <w:tc>
          <w:tcPr>
            <w:tcW w:w="1288" w:type="dxa"/>
          </w:tcPr>
          <w:p w14:paraId="6C0F188B" w14:textId="4C44982F" w:rsidR="003843CE" w:rsidRPr="00A54CE1" w:rsidRDefault="00A54CE1">
            <w:pPr>
              <w:rPr>
                <w:rFonts w:cstheme="minorHAnsi"/>
              </w:rPr>
            </w:pPr>
            <w:r w:rsidRPr="00A54CE1">
              <w:rPr>
                <w:rFonts w:eastAsia="Malgun Gothic Semilight" w:cstheme="minorHAnsi"/>
                <w:color w:val="000000" w:themeColor="text1"/>
              </w:rPr>
              <w:t>Fluoranthene</w:t>
            </w:r>
          </w:p>
        </w:tc>
        <w:tc>
          <w:tcPr>
            <w:tcW w:w="1288" w:type="dxa"/>
          </w:tcPr>
          <w:p w14:paraId="1A2D7014" w14:textId="0031BAFC" w:rsidR="003843CE" w:rsidRPr="003843CE" w:rsidRDefault="00A54CE1">
            <w:pPr>
              <w:rPr>
                <w:rFonts w:cstheme="minorHAnsi"/>
              </w:rPr>
            </w:pPr>
            <w:r>
              <w:rPr>
                <w:rFonts w:cstheme="minorHAnsi"/>
              </w:rPr>
              <w:t>0.043</w:t>
            </w:r>
            <w:r w:rsidR="003843CE" w:rsidRPr="003843CE">
              <w:rPr>
                <w:rFonts w:cstheme="minorHAnsi"/>
              </w:rPr>
              <w:t xml:space="preserve"> ug/l</w:t>
            </w:r>
          </w:p>
        </w:tc>
        <w:tc>
          <w:tcPr>
            <w:tcW w:w="1288" w:type="dxa"/>
          </w:tcPr>
          <w:p w14:paraId="5C31722D" w14:textId="090CB9BE" w:rsidR="003843CE" w:rsidRPr="003843CE" w:rsidRDefault="003843CE">
            <w:pPr>
              <w:rPr>
                <w:rFonts w:cstheme="minorHAnsi"/>
              </w:rPr>
            </w:pPr>
            <w:r w:rsidRPr="003843CE">
              <w:rPr>
                <w:rFonts w:cstheme="minorHAnsi"/>
              </w:rPr>
              <w:t>Instantaneous (spot)</w:t>
            </w:r>
          </w:p>
        </w:tc>
        <w:tc>
          <w:tcPr>
            <w:tcW w:w="1288" w:type="dxa"/>
          </w:tcPr>
          <w:p w14:paraId="6FF60A0D" w14:textId="692D0AF7" w:rsidR="003843CE" w:rsidRPr="003843CE" w:rsidRDefault="003843CE">
            <w:pPr>
              <w:rPr>
                <w:rFonts w:cstheme="minorHAnsi"/>
              </w:rPr>
            </w:pPr>
            <w:r w:rsidRPr="003843CE">
              <w:rPr>
                <w:rFonts w:cstheme="minorHAnsi"/>
              </w:rPr>
              <w:t>Monthly</w:t>
            </w:r>
          </w:p>
        </w:tc>
        <w:tc>
          <w:tcPr>
            <w:tcW w:w="1288" w:type="dxa"/>
          </w:tcPr>
          <w:p w14:paraId="72623D90" w14:textId="77777777" w:rsidR="003843CE" w:rsidRPr="003843CE" w:rsidRDefault="003843CE">
            <w:pPr>
              <w:rPr>
                <w:rFonts w:cstheme="minorHAnsi"/>
              </w:rPr>
            </w:pPr>
            <w:r w:rsidRPr="003843CE">
              <w:rPr>
                <w:rFonts w:cstheme="minorHAnsi"/>
              </w:rPr>
              <w:t>95%ile</w:t>
            </w:r>
          </w:p>
          <w:p w14:paraId="4CEC8F88" w14:textId="5F1C9844" w:rsidR="003843CE" w:rsidRPr="003843CE" w:rsidRDefault="003843CE">
            <w:pPr>
              <w:rPr>
                <w:rFonts w:cstheme="minorHAnsi"/>
              </w:rPr>
            </w:pPr>
            <w:r w:rsidRPr="003843CE">
              <w:rPr>
                <w:rFonts w:cstheme="minorHAnsi"/>
              </w:rPr>
              <w:t>Compliance to be assessed as descriptive</w:t>
            </w:r>
          </w:p>
        </w:tc>
      </w:tr>
      <w:tr w:rsidR="003843CE" w14:paraId="702C1B13" w14:textId="77777777" w:rsidTr="003843CE">
        <w:tc>
          <w:tcPr>
            <w:tcW w:w="1288" w:type="dxa"/>
          </w:tcPr>
          <w:p w14:paraId="074C2786" w14:textId="77777777" w:rsidR="003843CE" w:rsidRDefault="003843CE">
            <w:pPr>
              <w:rPr>
                <w:rFonts w:ascii="Helvetica" w:hAnsi="Helvetica" w:cs="Helvetica"/>
                <w:sz w:val="24"/>
                <w:szCs w:val="24"/>
              </w:rPr>
            </w:pPr>
          </w:p>
        </w:tc>
        <w:tc>
          <w:tcPr>
            <w:tcW w:w="1288" w:type="dxa"/>
          </w:tcPr>
          <w:p w14:paraId="0F94FCD3" w14:textId="23528A96" w:rsidR="003843CE" w:rsidRPr="00A54CE1" w:rsidRDefault="00A54CE1">
            <w:pPr>
              <w:rPr>
                <w:rFonts w:cstheme="minorHAnsi"/>
                <w:sz w:val="24"/>
                <w:szCs w:val="24"/>
              </w:rPr>
            </w:pPr>
            <w:r w:rsidRPr="00A54CE1">
              <w:rPr>
                <w:rFonts w:eastAsia="Malgun Gothic Semilight" w:cstheme="minorHAnsi"/>
                <w:color w:val="000000" w:themeColor="text1"/>
              </w:rPr>
              <w:t>Fluoranthene</w:t>
            </w:r>
          </w:p>
        </w:tc>
        <w:tc>
          <w:tcPr>
            <w:tcW w:w="1288" w:type="dxa"/>
          </w:tcPr>
          <w:p w14:paraId="61B3E685" w14:textId="0BC71C56" w:rsidR="003843CE" w:rsidRPr="003843CE" w:rsidRDefault="00A54CE1">
            <w:pPr>
              <w:rPr>
                <w:rFonts w:cstheme="minorHAnsi"/>
              </w:rPr>
            </w:pPr>
            <w:r>
              <w:rPr>
                <w:rFonts w:cstheme="minorHAnsi"/>
              </w:rPr>
              <w:t>2.084</w:t>
            </w:r>
            <w:r w:rsidR="003843CE" w:rsidRPr="003843CE">
              <w:rPr>
                <w:rFonts w:cstheme="minorHAnsi"/>
              </w:rPr>
              <w:t xml:space="preserve"> ug/l</w:t>
            </w:r>
          </w:p>
        </w:tc>
        <w:tc>
          <w:tcPr>
            <w:tcW w:w="1288" w:type="dxa"/>
          </w:tcPr>
          <w:p w14:paraId="4D9F5B2D" w14:textId="3C975114" w:rsidR="003843CE" w:rsidRDefault="003843CE">
            <w:pPr>
              <w:rPr>
                <w:rFonts w:ascii="Helvetica" w:hAnsi="Helvetica" w:cs="Helvetica"/>
                <w:sz w:val="24"/>
                <w:szCs w:val="24"/>
              </w:rPr>
            </w:pPr>
            <w:r w:rsidRPr="003843CE">
              <w:rPr>
                <w:rFonts w:cstheme="minorHAnsi"/>
              </w:rPr>
              <w:t>Instantaneous (spot)</w:t>
            </w:r>
          </w:p>
        </w:tc>
        <w:tc>
          <w:tcPr>
            <w:tcW w:w="1288" w:type="dxa"/>
          </w:tcPr>
          <w:p w14:paraId="7579A589" w14:textId="37091762" w:rsidR="003843CE" w:rsidRDefault="003843CE">
            <w:pPr>
              <w:rPr>
                <w:rFonts w:ascii="Helvetica" w:hAnsi="Helvetica" w:cs="Helvetica"/>
                <w:sz w:val="24"/>
                <w:szCs w:val="24"/>
              </w:rPr>
            </w:pPr>
            <w:r w:rsidRPr="003843CE">
              <w:rPr>
                <w:rFonts w:cstheme="minorHAnsi"/>
              </w:rPr>
              <w:t>Monthly</w:t>
            </w:r>
          </w:p>
        </w:tc>
        <w:tc>
          <w:tcPr>
            <w:tcW w:w="1288" w:type="dxa"/>
          </w:tcPr>
          <w:p w14:paraId="06969074" w14:textId="77777777" w:rsidR="003843CE" w:rsidRPr="003843CE" w:rsidRDefault="003843CE">
            <w:pPr>
              <w:rPr>
                <w:rFonts w:cstheme="minorHAnsi"/>
              </w:rPr>
            </w:pPr>
            <w:r w:rsidRPr="003843CE">
              <w:rPr>
                <w:rFonts w:cstheme="minorHAnsi"/>
              </w:rPr>
              <w:t>Maximum</w:t>
            </w:r>
          </w:p>
          <w:p w14:paraId="56D070F4" w14:textId="3D432C4C" w:rsidR="003843CE" w:rsidRDefault="003843CE">
            <w:pPr>
              <w:rPr>
                <w:rFonts w:ascii="Helvetica" w:hAnsi="Helvetica" w:cs="Helvetica"/>
                <w:sz w:val="24"/>
                <w:szCs w:val="24"/>
              </w:rPr>
            </w:pPr>
            <w:r w:rsidRPr="003843CE">
              <w:rPr>
                <w:rFonts w:cstheme="minorHAnsi"/>
              </w:rPr>
              <w:t>Compliance to be assessed as Descriptive</w:t>
            </w:r>
          </w:p>
        </w:tc>
      </w:tr>
    </w:tbl>
    <w:p w14:paraId="76630135" w14:textId="1133D973" w:rsidR="0023655C" w:rsidRDefault="0023655C">
      <w:pPr>
        <w:rPr>
          <w:rFonts w:ascii="Helvetica" w:hAnsi="Helvetica" w:cs="Helvetica"/>
          <w:sz w:val="24"/>
          <w:szCs w:val="24"/>
        </w:rPr>
      </w:pPr>
    </w:p>
    <w:p w14:paraId="565DA2AB" w14:textId="558B4937" w:rsidR="0023655C" w:rsidRDefault="00A81EC9" w:rsidP="003843CE">
      <w:pPr>
        <w:pStyle w:val="ListParagraph"/>
        <w:numPr>
          <w:ilvl w:val="0"/>
          <w:numId w:val="1"/>
        </w:numPr>
        <w:rPr>
          <w:sz w:val="24"/>
          <w:szCs w:val="24"/>
        </w:rPr>
      </w:pPr>
      <w:r>
        <w:rPr>
          <w:sz w:val="24"/>
          <w:szCs w:val="24"/>
        </w:rPr>
        <w:t>Sampling will consist of 12 monthly spot</w:t>
      </w:r>
      <w:r w:rsidR="003843CE">
        <w:rPr>
          <w:sz w:val="24"/>
          <w:szCs w:val="24"/>
        </w:rPr>
        <w:t xml:space="preserve"> </w:t>
      </w:r>
      <w:r>
        <w:rPr>
          <w:sz w:val="24"/>
          <w:szCs w:val="24"/>
        </w:rPr>
        <w:t>samples (as per OSM requirement for non sanitary)</w:t>
      </w:r>
    </w:p>
    <w:p w14:paraId="7995F1C9" w14:textId="163CC2CD" w:rsidR="00A81EC9" w:rsidRDefault="00A81EC9" w:rsidP="003843CE">
      <w:pPr>
        <w:pStyle w:val="ListParagraph"/>
        <w:numPr>
          <w:ilvl w:val="0"/>
          <w:numId w:val="1"/>
        </w:numPr>
        <w:rPr>
          <w:sz w:val="24"/>
          <w:szCs w:val="24"/>
        </w:rPr>
      </w:pPr>
      <w:r>
        <w:rPr>
          <w:sz w:val="24"/>
          <w:szCs w:val="24"/>
        </w:rPr>
        <w:t>Exceedance of the 95%ile limit to be subject to look up table</w:t>
      </w:r>
    </w:p>
    <w:p w14:paraId="4DCFB73D" w14:textId="1E4AEAC2" w:rsidR="00A81EC9" w:rsidRDefault="00A81EC9" w:rsidP="003843CE">
      <w:pPr>
        <w:pStyle w:val="ListParagraph"/>
        <w:numPr>
          <w:ilvl w:val="0"/>
          <w:numId w:val="1"/>
        </w:numPr>
        <w:rPr>
          <w:sz w:val="24"/>
          <w:szCs w:val="24"/>
        </w:rPr>
      </w:pPr>
      <w:r>
        <w:rPr>
          <w:sz w:val="24"/>
          <w:szCs w:val="24"/>
        </w:rPr>
        <w:t>Dwr Cymru to undertake investigation upon confirmation of the maximum number of samples being exceeded in the Look up table below or an exceedance of the maximum limit.</w:t>
      </w:r>
    </w:p>
    <w:p w14:paraId="3B1CC9AD" w14:textId="6B77C8A0" w:rsidR="000D6C8A" w:rsidRDefault="000D6C8A" w:rsidP="003843CE">
      <w:pPr>
        <w:pStyle w:val="ListParagraph"/>
        <w:numPr>
          <w:ilvl w:val="0"/>
          <w:numId w:val="1"/>
        </w:numPr>
        <w:rPr>
          <w:sz w:val="24"/>
          <w:szCs w:val="24"/>
        </w:rPr>
      </w:pPr>
      <w:r>
        <w:rPr>
          <w:sz w:val="24"/>
          <w:szCs w:val="24"/>
        </w:rPr>
        <w:t>Dwr Cymru to provide annual report to NRW 2 months after completion of the sampling programme.</w:t>
      </w:r>
    </w:p>
    <w:p w14:paraId="3BDED54A" w14:textId="0C63BA93" w:rsidR="00A81EC9" w:rsidRDefault="000D6C8A" w:rsidP="003843CE">
      <w:pPr>
        <w:pStyle w:val="ListParagraph"/>
        <w:numPr>
          <w:ilvl w:val="0"/>
          <w:numId w:val="1"/>
        </w:numPr>
        <w:rPr>
          <w:sz w:val="24"/>
          <w:szCs w:val="24"/>
        </w:rPr>
      </w:pPr>
      <w:r>
        <w:rPr>
          <w:sz w:val="24"/>
          <w:szCs w:val="24"/>
        </w:rPr>
        <w:t>Details of any investigations to be included within the annual report.</w:t>
      </w:r>
    </w:p>
    <w:p w14:paraId="423D59C1" w14:textId="77777777" w:rsidR="002F0E9E" w:rsidRDefault="002F0E9E" w:rsidP="002F0E9E">
      <w:pPr>
        <w:pStyle w:val="ListParagraph"/>
        <w:numPr>
          <w:ilvl w:val="0"/>
          <w:numId w:val="1"/>
        </w:numPr>
        <w:rPr>
          <w:sz w:val="24"/>
          <w:szCs w:val="24"/>
        </w:rPr>
      </w:pPr>
      <w:r>
        <w:rPr>
          <w:sz w:val="24"/>
          <w:szCs w:val="24"/>
        </w:rPr>
        <w:lastRenderedPageBreak/>
        <w:t>In addition to Final effluent sampling DCWW shall undertake 12 monthly samples of the watercourse upstream and downstream of the final effluent discharge point</w:t>
      </w:r>
      <w:r w:rsidRPr="00F555B4">
        <w:rPr>
          <w:color w:val="000000" w:themeColor="text1"/>
          <w:sz w:val="24"/>
          <w:szCs w:val="24"/>
        </w:rPr>
        <w:t xml:space="preserve"> at a time to be agreed with the NRW</w:t>
      </w:r>
    </w:p>
    <w:p w14:paraId="46A91110" w14:textId="77777777" w:rsidR="002F0E9E" w:rsidRDefault="002F0E9E" w:rsidP="002F0E9E">
      <w:pPr>
        <w:pStyle w:val="ListParagraph"/>
        <w:numPr>
          <w:ilvl w:val="0"/>
          <w:numId w:val="1"/>
        </w:numPr>
        <w:rPr>
          <w:sz w:val="24"/>
          <w:szCs w:val="24"/>
        </w:rPr>
      </w:pPr>
      <w:r>
        <w:rPr>
          <w:sz w:val="24"/>
          <w:szCs w:val="24"/>
        </w:rPr>
        <w:t>Dwr Cymru to consider undertaking downstream river quality samples in yr5 to aid any modelling requirements.</w:t>
      </w:r>
    </w:p>
    <w:p w14:paraId="68F959C3" w14:textId="697874C8" w:rsidR="00427036" w:rsidRDefault="00427036" w:rsidP="00427036">
      <w:pPr>
        <w:rPr>
          <w:sz w:val="24"/>
          <w:szCs w:val="24"/>
        </w:rPr>
      </w:pPr>
    </w:p>
    <w:p w14:paraId="4D2519A3" w14:textId="5FE22E8F" w:rsidR="00427036" w:rsidRDefault="00427036" w:rsidP="00427036">
      <w:pPr>
        <w:rPr>
          <w:sz w:val="24"/>
          <w:szCs w:val="24"/>
          <w:u w:val="single"/>
        </w:rPr>
      </w:pPr>
      <w:r w:rsidRPr="00427036">
        <w:rPr>
          <w:sz w:val="24"/>
          <w:szCs w:val="24"/>
          <w:u w:val="single"/>
        </w:rPr>
        <w:t>Look Up Table</w:t>
      </w:r>
    </w:p>
    <w:tbl>
      <w:tblPr>
        <w:tblStyle w:val="TableGrid"/>
        <w:tblW w:w="0" w:type="auto"/>
        <w:tblLook w:val="04A0" w:firstRow="1" w:lastRow="0" w:firstColumn="1" w:lastColumn="0" w:noHBand="0" w:noVBand="1"/>
      </w:tblPr>
      <w:tblGrid>
        <w:gridCol w:w="4508"/>
        <w:gridCol w:w="4508"/>
      </w:tblGrid>
      <w:tr w:rsidR="00427036" w14:paraId="6E41D32E" w14:textId="77777777" w:rsidTr="00427036">
        <w:tc>
          <w:tcPr>
            <w:tcW w:w="4508" w:type="dxa"/>
            <w:shd w:val="clear" w:color="auto" w:fill="A6A6A6" w:themeFill="background1" w:themeFillShade="A6"/>
          </w:tcPr>
          <w:p w14:paraId="16450540" w14:textId="507A0FDE" w:rsidR="00427036" w:rsidRPr="00427036" w:rsidRDefault="00427036" w:rsidP="00427036">
            <w:r w:rsidRPr="00427036">
              <w:t>Number of Samples taken in any period of 12 months</w:t>
            </w:r>
          </w:p>
        </w:tc>
        <w:tc>
          <w:tcPr>
            <w:tcW w:w="4508" w:type="dxa"/>
            <w:shd w:val="clear" w:color="auto" w:fill="A6A6A6" w:themeFill="background1" w:themeFillShade="A6"/>
          </w:tcPr>
          <w:p w14:paraId="70E7234A" w14:textId="2319194D" w:rsidR="00427036" w:rsidRPr="00427036" w:rsidRDefault="00427036" w:rsidP="00427036">
            <w:pPr>
              <w:rPr>
                <w:sz w:val="24"/>
                <w:szCs w:val="24"/>
              </w:rPr>
            </w:pPr>
            <w:r w:rsidRPr="00427036">
              <w:rPr>
                <w:sz w:val="24"/>
                <w:szCs w:val="24"/>
              </w:rPr>
              <w:t>Maximum number of samples permitted to exceed limit for given parameter</w:t>
            </w:r>
          </w:p>
        </w:tc>
      </w:tr>
      <w:tr w:rsidR="00427036" w14:paraId="192809A8" w14:textId="77777777" w:rsidTr="00427036">
        <w:tc>
          <w:tcPr>
            <w:tcW w:w="4508" w:type="dxa"/>
          </w:tcPr>
          <w:p w14:paraId="6E4F6AF1" w14:textId="35298E7F" w:rsidR="00427036" w:rsidRPr="00427036" w:rsidRDefault="00427036" w:rsidP="00427036">
            <w:pPr>
              <w:jc w:val="center"/>
              <w:rPr>
                <w:sz w:val="24"/>
                <w:szCs w:val="24"/>
              </w:rPr>
            </w:pPr>
            <w:r w:rsidRPr="00427036">
              <w:rPr>
                <w:sz w:val="24"/>
                <w:szCs w:val="24"/>
              </w:rPr>
              <w:t>4-7</w:t>
            </w:r>
          </w:p>
        </w:tc>
        <w:tc>
          <w:tcPr>
            <w:tcW w:w="4508" w:type="dxa"/>
          </w:tcPr>
          <w:p w14:paraId="77C69AA8" w14:textId="0AA5D7EA" w:rsidR="00427036" w:rsidRPr="00427036" w:rsidRDefault="00427036" w:rsidP="00427036">
            <w:pPr>
              <w:jc w:val="center"/>
              <w:rPr>
                <w:sz w:val="24"/>
                <w:szCs w:val="24"/>
              </w:rPr>
            </w:pPr>
            <w:r w:rsidRPr="00427036">
              <w:rPr>
                <w:sz w:val="24"/>
                <w:szCs w:val="24"/>
              </w:rPr>
              <w:t>1</w:t>
            </w:r>
          </w:p>
        </w:tc>
      </w:tr>
      <w:tr w:rsidR="00427036" w14:paraId="733CE743" w14:textId="77777777" w:rsidTr="00427036">
        <w:tc>
          <w:tcPr>
            <w:tcW w:w="4508" w:type="dxa"/>
          </w:tcPr>
          <w:p w14:paraId="300737CA" w14:textId="1F0F24BF" w:rsidR="00427036" w:rsidRPr="00427036" w:rsidRDefault="00427036" w:rsidP="00427036">
            <w:pPr>
              <w:jc w:val="center"/>
              <w:rPr>
                <w:sz w:val="24"/>
                <w:szCs w:val="24"/>
              </w:rPr>
            </w:pPr>
            <w:r w:rsidRPr="00427036">
              <w:rPr>
                <w:sz w:val="24"/>
                <w:szCs w:val="24"/>
              </w:rPr>
              <w:t>8-16</w:t>
            </w:r>
          </w:p>
        </w:tc>
        <w:tc>
          <w:tcPr>
            <w:tcW w:w="4508" w:type="dxa"/>
          </w:tcPr>
          <w:p w14:paraId="1FF41E58" w14:textId="1758D1B3" w:rsidR="00427036" w:rsidRPr="00427036" w:rsidRDefault="00427036" w:rsidP="00427036">
            <w:pPr>
              <w:jc w:val="center"/>
              <w:rPr>
                <w:sz w:val="24"/>
                <w:szCs w:val="24"/>
              </w:rPr>
            </w:pPr>
            <w:r w:rsidRPr="00427036">
              <w:rPr>
                <w:sz w:val="24"/>
                <w:szCs w:val="24"/>
              </w:rPr>
              <w:t>2</w:t>
            </w:r>
          </w:p>
        </w:tc>
      </w:tr>
      <w:tr w:rsidR="00427036" w14:paraId="4A1110E1" w14:textId="77777777" w:rsidTr="00427036">
        <w:tc>
          <w:tcPr>
            <w:tcW w:w="4508" w:type="dxa"/>
          </w:tcPr>
          <w:p w14:paraId="4D7296CE" w14:textId="70F53958" w:rsidR="00427036" w:rsidRPr="00427036" w:rsidRDefault="00427036" w:rsidP="00427036">
            <w:pPr>
              <w:jc w:val="center"/>
              <w:rPr>
                <w:sz w:val="24"/>
                <w:szCs w:val="24"/>
              </w:rPr>
            </w:pPr>
            <w:r w:rsidRPr="00427036">
              <w:rPr>
                <w:sz w:val="24"/>
                <w:szCs w:val="24"/>
              </w:rPr>
              <w:t>17-28</w:t>
            </w:r>
          </w:p>
        </w:tc>
        <w:tc>
          <w:tcPr>
            <w:tcW w:w="4508" w:type="dxa"/>
          </w:tcPr>
          <w:p w14:paraId="40103D6B" w14:textId="45718184" w:rsidR="00427036" w:rsidRPr="00427036" w:rsidRDefault="00427036" w:rsidP="00427036">
            <w:pPr>
              <w:jc w:val="center"/>
              <w:rPr>
                <w:sz w:val="24"/>
                <w:szCs w:val="24"/>
              </w:rPr>
            </w:pPr>
            <w:r w:rsidRPr="00427036">
              <w:rPr>
                <w:sz w:val="24"/>
                <w:szCs w:val="24"/>
              </w:rPr>
              <w:t>3</w:t>
            </w:r>
          </w:p>
        </w:tc>
      </w:tr>
    </w:tbl>
    <w:p w14:paraId="03211D43" w14:textId="77777777" w:rsidR="00427036" w:rsidRPr="00427036" w:rsidRDefault="00427036" w:rsidP="00427036">
      <w:pPr>
        <w:rPr>
          <w:sz w:val="24"/>
          <w:szCs w:val="24"/>
          <w:u w:val="single"/>
        </w:rPr>
      </w:pPr>
    </w:p>
    <w:sectPr w:rsidR="00427036" w:rsidRPr="004270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FA1DF3"/>
    <w:multiLevelType w:val="hybridMultilevel"/>
    <w:tmpl w:val="66182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55C"/>
    <w:rsid w:val="000D6C8A"/>
    <w:rsid w:val="002016D8"/>
    <w:rsid w:val="0023655C"/>
    <w:rsid w:val="002E4B01"/>
    <w:rsid w:val="002F0E9E"/>
    <w:rsid w:val="003307B5"/>
    <w:rsid w:val="003843CE"/>
    <w:rsid w:val="00391774"/>
    <w:rsid w:val="003A1968"/>
    <w:rsid w:val="00427036"/>
    <w:rsid w:val="00A06172"/>
    <w:rsid w:val="00A54CE1"/>
    <w:rsid w:val="00A81EC9"/>
    <w:rsid w:val="00C43895"/>
    <w:rsid w:val="00D109F6"/>
    <w:rsid w:val="00FF0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72DF7"/>
  <w15:chartTrackingRefBased/>
  <w15:docId w15:val="{1D196442-878D-49A5-9AB1-CCE6AFAF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655C"/>
    <w:rPr>
      <w:color w:val="0000FF"/>
      <w:u w:val="single"/>
    </w:rPr>
  </w:style>
  <w:style w:type="table" w:styleId="TableGrid">
    <w:name w:val="Table Grid"/>
    <w:basedOn w:val="TableNormal"/>
    <w:uiPriority w:val="39"/>
    <w:rsid w:val="003843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43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7793">
      <w:bodyDiv w:val="1"/>
      <w:marLeft w:val="0"/>
      <w:marRight w:val="0"/>
      <w:marTop w:val="0"/>
      <w:marBottom w:val="0"/>
      <w:divBdr>
        <w:top w:val="none" w:sz="0" w:space="0" w:color="auto"/>
        <w:left w:val="none" w:sz="0" w:space="0" w:color="auto"/>
        <w:bottom w:val="none" w:sz="0" w:space="0" w:color="auto"/>
        <w:right w:val="none" w:sz="0" w:space="0" w:color="auto"/>
      </w:divBdr>
    </w:div>
    <w:div w:id="13513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Mold Sewage Treatment Works</Site_x0020_Name>
    <Internal_x002f_External xmlns="859f7ad6-93f6-4205-b62b-a17f28acbbac">Internal document</Internal_x002f_External>
    <Post_x0020_code xmlns="859f7ad6-93f6-4205-b62b-a17f28acbbac">CH7 1JR</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2020-06-18T23:00:00+00:00</Document_x0020_Date>
    <Facility_x0020_Address xmlns="859f7ad6-93f6-4205-b62b-a17f28acbbac">Bromfield Lane, Mold, CH7 1JR</Facility_x0020_Address>
    <Environment_x0020_Sub_x0020_Folder xmlns="859f7ad6-93f6-4205-b62b-a17f28acbbac">Licence variation</Environment_x0020_Sub_x0020_Folder>
    <Customer_x0020_Name xmlns="859f7ad6-93f6-4205-b62b-a17f28acbbac">Dwr Cymru Cyf</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10C806E-787F-4190-8BD2-75476862DE92}"/>
</file>

<file path=customXml/itemProps2.xml><?xml version="1.0" encoding="utf-8"?>
<ds:datastoreItem xmlns:ds="http://schemas.openxmlformats.org/officeDocument/2006/customXml" ds:itemID="{7658FF34-DC4B-4817-BC4B-5E506AA56FD6}">
  <ds:schemaRefs>
    <ds:schemaRef ds:uri="Microsoft.SharePoint.Taxonomy.ContentTypeSync"/>
  </ds:schemaRefs>
</ds:datastoreItem>
</file>

<file path=customXml/itemProps3.xml><?xml version="1.0" encoding="utf-8"?>
<ds:datastoreItem xmlns:ds="http://schemas.openxmlformats.org/officeDocument/2006/customXml" ds:itemID="{5E838FB1-10DB-4BAC-99E2-62875D98B37C}">
  <ds:schemaRefs>
    <ds:schemaRef ds:uri="http://schemas.microsoft.com/sharepoint/events"/>
  </ds:schemaRefs>
</ds:datastoreItem>
</file>

<file path=customXml/itemProps4.xml><?xml version="1.0" encoding="utf-8"?>
<ds:datastoreItem xmlns:ds="http://schemas.openxmlformats.org/officeDocument/2006/customXml" ds:itemID="{70FA35E4-86C1-4C64-9C73-857DAC9B852F}">
  <ds:schemaRefs>
    <ds:schemaRef ds:uri="http://schemas.microsoft.com/sharepoint/v3/contenttype/forms"/>
  </ds:schemaRefs>
</ds:datastoreItem>
</file>

<file path=customXml/itemProps5.xml><?xml version="1.0" encoding="utf-8"?>
<ds:datastoreItem xmlns:ds="http://schemas.openxmlformats.org/officeDocument/2006/customXml" ds:itemID="{A4EBC290-EF30-4099-B652-87F01FBD714E}">
  <ds:schemaRefs>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http://www.w3.org/XML/1998/namespace"/>
    <ds:schemaRef ds:uri="9be56660-2c31-41ef-bc00-23e72f632f2a"/>
    <ds:schemaRef ds:uri="a84e7805-6a46-4291-b6c6-33e265e5a8c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372</Words>
  <Characters>2121</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PAN-010752 Standstill permit limit monitoring and reporting</dc:title>
  <dc:subject/>
  <dc:creator>Griffiths Mathew</dc:creator>
  <cp:keywords/>
  <dc:description/>
  <cp:lastModifiedBy>Smith, Asta</cp:lastModifiedBy>
  <cp:revision>2</cp:revision>
  <dcterms:created xsi:type="dcterms:W3CDTF">2020-08-12T16:16:00Z</dcterms:created>
  <dcterms:modified xsi:type="dcterms:W3CDTF">2020-08-12T16:16:00Z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ec803a02-3127-4c1e-b00f-3a66d91bbf89</vt:lpwstr>
  </property>
  <property fmtid="{D5CDD505-2E9C-101B-9397-08002B2CF9AE}" pid="4" name="_dlc_DocId">
    <vt:lpwstr>REGU-369-330906</vt:lpwstr>
  </property>
  <property fmtid="{D5CDD505-2E9C-101B-9397-08002B2CF9AE}" pid="5" name="_dlc_DocIdUrl">
    <vt:lpwstr>https://cyfoethnaturiolcymru.sharepoint.com/teams/Regulatory/Permitting/_layouts/15/DocIdRedir.aspx?ID=REGU-369-330906, REGU-369-330906</vt:lpwstr>
  </property>
</Properties>
</file>