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77777777" w:rsidR="003719AD" w:rsidRDefault="003719AD" w:rsidP="00AD3527">
      <w:pPr>
        <w:pStyle w:val="Heading1"/>
      </w:pPr>
    </w:p>
    <w:p w14:paraId="5241829B" w14:textId="363C66BA" w:rsidR="002E6C2D" w:rsidRPr="002E6C2D" w:rsidRDefault="002E6C2D" w:rsidP="002E6C2D">
      <w:pPr>
        <w:rPr>
          <w:lang w:eastAsia="en-US"/>
        </w:rPr>
      </w:pPr>
      <w:r w:rsidRPr="0065381E">
        <w:rPr>
          <w:b/>
          <w:color w:val="0091A5"/>
          <w:sz w:val="28"/>
          <w:szCs w:val="28"/>
        </w:rPr>
        <w:t>Natural Resources Wales permitting decisions</w:t>
      </w:r>
    </w:p>
    <w:p w14:paraId="3232750D" w14:textId="77777777" w:rsidR="00595A18" w:rsidRPr="00595A18" w:rsidRDefault="00595A18" w:rsidP="00595A18">
      <w:pPr>
        <w:rPr>
          <w:lang w:eastAsia="en-US"/>
        </w:rPr>
      </w:pPr>
    </w:p>
    <w:p w14:paraId="094925A7" w14:textId="77777777" w:rsidR="00E515E5" w:rsidRDefault="00E515E5" w:rsidP="00E379F1">
      <w:pPr>
        <w:pStyle w:val="Heading1"/>
      </w:pPr>
    </w:p>
    <w:p w14:paraId="32AC03FB" w14:textId="77777777" w:rsidR="00E82A2D" w:rsidRDefault="00DC45DB" w:rsidP="002E6C2D">
      <w:pPr>
        <w:pStyle w:val="CoverHeading1"/>
        <w:ind w:left="0"/>
      </w:pPr>
      <w:r>
        <w:t>Hydro Aluminium Deeside Limited</w:t>
      </w:r>
      <w:r w:rsidR="00524A7E">
        <w:t xml:space="preserve"> </w:t>
      </w:r>
    </w:p>
    <w:p w14:paraId="7E49AE3C" w14:textId="77777777" w:rsidR="00E82A2D" w:rsidRDefault="00E82A2D" w:rsidP="002E6C2D">
      <w:pPr>
        <w:pStyle w:val="CoverHeading1"/>
        <w:ind w:left="0"/>
      </w:pPr>
    </w:p>
    <w:p w14:paraId="75395219" w14:textId="0C218DCD" w:rsidR="00E515E5" w:rsidRPr="00F1596F" w:rsidRDefault="00524A7E" w:rsidP="002E6C2D">
      <w:pPr>
        <w:pStyle w:val="CoverHeading1"/>
        <w:ind w:left="0"/>
      </w:pPr>
      <w:r>
        <w:t>Decision Document</w:t>
      </w: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sdt>
      <w:sdtPr>
        <w:rPr>
          <w:rFonts w:ascii="Arial" w:eastAsia="Times New Roman" w:hAnsi="Arial" w:cs="Times New Roman"/>
          <w:color w:val="auto"/>
          <w:sz w:val="24"/>
          <w:szCs w:val="20"/>
          <w:lang w:val="en-GB" w:eastAsia="en-GB"/>
        </w:rPr>
        <w:id w:val="-689063676"/>
        <w:docPartObj>
          <w:docPartGallery w:val="Table of Contents"/>
          <w:docPartUnique/>
        </w:docPartObj>
      </w:sdtPr>
      <w:sdtEndPr>
        <w:rPr>
          <w:b/>
          <w:bCs/>
          <w:noProof/>
        </w:rPr>
      </w:sdtEndPr>
      <w:sdtContent>
        <w:p w14:paraId="1A1B9C16" w14:textId="08637B21" w:rsidR="004E4D95" w:rsidRDefault="004E4D95">
          <w:pPr>
            <w:pStyle w:val="TOCHeading"/>
          </w:pPr>
          <w:r>
            <w:t>Contents</w:t>
          </w:r>
        </w:p>
        <w:p w14:paraId="130FAB73" w14:textId="53C5183D" w:rsidR="00D0197E" w:rsidRDefault="004E4D95">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4595747" w:history="1">
            <w:r w:rsidR="00D0197E" w:rsidRPr="00240EED">
              <w:rPr>
                <w:rStyle w:val="Hyperlink"/>
                <w:noProof/>
              </w:rPr>
              <w:t>Variation</w:t>
            </w:r>
            <w:r w:rsidR="00D0197E">
              <w:rPr>
                <w:noProof/>
                <w:webHidden/>
              </w:rPr>
              <w:tab/>
            </w:r>
            <w:r w:rsidR="00D0197E">
              <w:rPr>
                <w:noProof/>
                <w:webHidden/>
              </w:rPr>
              <w:fldChar w:fldCharType="begin"/>
            </w:r>
            <w:r w:rsidR="00D0197E">
              <w:rPr>
                <w:noProof/>
                <w:webHidden/>
              </w:rPr>
              <w:instrText xml:space="preserve"> PAGEREF _Toc54595747 \h </w:instrText>
            </w:r>
            <w:r w:rsidR="00D0197E">
              <w:rPr>
                <w:noProof/>
                <w:webHidden/>
              </w:rPr>
            </w:r>
            <w:r w:rsidR="00D0197E">
              <w:rPr>
                <w:noProof/>
                <w:webHidden/>
              </w:rPr>
              <w:fldChar w:fldCharType="separate"/>
            </w:r>
            <w:r w:rsidR="00D0197E">
              <w:rPr>
                <w:noProof/>
                <w:webHidden/>
              </w:rPr>
              <w:t>4</w:t>
            </w:r>
            <w:r w:rsidR="00D0197E">
              <w:rPr>
                <w:noProof/>
                <w:webHidden/>
              </w:rPr>
              <w:fldChar w:fldCharType="end"/>
            </w:r>
          </w:hyperlink>
        </w:p>
        <w:p w14:paraId="5B311286" w14:textId="201BBD4D" w:rsidR="00D0197E" w:rsidRDefault="00D0197E">
          <w:pPr>
            <w:pStyle w:val="TOC2"/>
            <w:tabs>
              <w:tab w:val="right" w:leader="dot" w:pos="9016"/>
            </w:tabs>
            <w:rPr>
              <w:rFonts w:asciiTheme="minorHAnsi" w:eastAsiaTheme="minorEastAsia" w:hAnsiTheme="minorHAnsi" w:cstheme="minorBidi"/>
              <w:noProof/>
              <w:sz w:val="22"/>
              <w:szCs w:val="22"/>
            </w:rPr>
          </w:pPr>
          <w:hyperlink w:anchor="_Toc54595748" w:history="1">
            <w:r w:rsidRPr="00240EED">
              <w:rPr>
                <w:rStyle w:val="Hyperlink"/>
                <w:noProof/>
              </w:rPr>
              <w:t>The variation number is:</w:t>
            </w:r>
            <w:r>
              <w:rPr>
                <w:noProof/>
                <w:webHidden/>
              </w:rPr>
              <w:tab/>
            </w:r>
            <w:r>
              <w:rPr>
                <w:noProof/>
                <w:webHidden/>
              </w:rPr>
              <w:fldChar w:fldCharType="begin"/>
            </w:r>
            <w:r>
              <w:rPr>
                <w:noProof/>
                <w:webHidden/>
              </w:rPr>
              <w:instrText xml:space="preserve"> PAGEREF _Toc54595748 \h </w:instrText>
            </w:r>
            <w:r>
              <w:rPr>
                <w:noProof/>
                <w:webHidden/>
              </w:rPr>
            </w:r>
            <w:r>
              <w:rPr>
                <w:noProof/>
                <w:webHidden/>
              </w:rPr>
              <w:fldChar w:fldCharType="separate"/>
            </w:r>
            <w:r>
              <w:rPr>
                <w:noProof/>
                <w:webHidden/>
              </w:rPr>
              <w:t>4</w:t>
            </w:r>
            <w:r>
              <w:rPr>
                <w:noProof/>
                <w:webHidden/>
              </w:rPr>
              <w:fldChar w:fldCharType="end"/>
            </w:r>
          </w:hyperlink>
        </w:p>
        <w:p w14:paraId="04A07DEB" w14:textId="559A98E8" w:rsidR="00D0197E" w:rsidRDefault="00D0197E">
          <w:pPr>
            <w:pStyle w:val="TOC2"/>
            <w:tabs>
              <w:tab w:val="right" w:leader="dot" w:pos="9016"/>
            </w:tabs>
            <w:rPr>
              <w:rFonts w:asciiTheme="minorHAnsi" w:eastAsiaTheme="minorEastAsia" w:hAnsiTheme="minorHAnsi" w:cstheme="minorBidi"/>
              <w:noProof/>
              <w:sz w:val="22"/>
              <w:szCs w:val="22"/>
            </w:rPr>
          </w:pPr>
          <w:hyperlink w:anchor="_Toc54595749" w:history="1">
            <w:r w:rsidRPr="00240EED">
              <w:rPr>
                <w:rStyle w:val="Hyperlink"/>
                <w:noProof/>
              </w:rPr>
              <w:t xml:space="preserve">The operator is: </w:t>
            </w:r>
            <w:r w:rsidRPr="00240EED">
              <w:rPr>
                <w:rStyle w:val="Hyperlink"/>
                <w:rFonts w:cs="Arial"/>
                <w:noProof/>
              </w:rPr>
              <w:t>Hydro Aluminium Deeside Limited</w:t>
            </w:r>
            <w:r>
              <w:rPr>
                <w:noProof/>
                <w:webHidden/>
              </w:rPr>
              <w:tab/>
            </w:r>
            <w:r>
              <w:rPr>
                <w:noProof/>
                <w:webHidden/>
              </w:rPr>
              <w:fldChar w:fldCharType="begin"/>
            </w:r>
            <w:r>
              <w:rPr>
                <w:noProof/>
                <w:webHidden/>
              </w:rPr>
              <w:instrText xml:space="preserve"> PAGEREF _Toc54595749 \h </w:instrText>
            </w:r>
            <w:r>
              <w:rPr>
                <w:noProof/>
                <w:webHidden/>
              </w:rPr>
            </w:r>
            <w:r>
              <w:rPr>
                <w:noProof/>
                <w:webHidden/>
              </w:rPr>
              <w:fldChar w:fldCharType="separate"/>
            </w:r>
            <w:r>
              <w:rPr>
                <w:noProof/>
                <w:webHidden/>
              </w:rPr>
              <w:t>4</w:t>
            </w:r>
            <w:r>
              <w:rPr>
                <w:noProof/>
                <w:webHidden/>
              </w:rPr>
              <w:fldChar w:fldCharType="end"/>
            </w:r>
          </w:hyperlink>
        </w:p>
        <w:p w14:paraId="1C0B4EAE" w14:textId="445F24FF" w:rsidR="00D0197E" w:rsidRDefault="00D0197E">
          <w:pPr>
            <w:pStyle w:val="TOC2"/>
            <w:tabs>
              <w:tab w:val="right" w:leader="dot" w:pos="9016"/>
            </w:tabs>
            <w:rPr>
              <w:rFonts w:asciiTheme="minorHAnsi" w:eastAsiaTheme="minorEastAsia" w:hAnsiTheme="minorHAnsi" w:cstheme="minorBidi"/>
              <w:noProof/>
              <w:sz w:val="22"/>
              <w:szCs w:val="22"/>
            </w:rPr>
          </w:pPr>
          <w:hyperlink w:anchor="_Toc54595750" w:history="1">
            <w:r w:rsidRPr="00240EED">
              <w:rPr>
                <w:rStyle w:val="Hyperlink"/>
                <w:noProof/>
              </w:rPr>
              <w:t xml:space="preserve">The Installation is located at: </w:t>
            </w:r>
            <w:r w:rsidRPr="00240EED">
              <w:rPr>
                <w:rStyle w:val="Hyperlink"/>
                <w:rFonts w:cs="Arial"/>
                <w:noProof/>
              </w:rPr>
              <w:t>Wrexham Aluminium Works, Bridge Road, Wrexham Industrial Estate, Wrexham, LL13 9PS</w:t>
            </w:r>
            <w:r>
              <w:rPr>
                <w:noProof/>
                <w:webHidden/>
              </w:rPr>
              <w:tab/>
            </w:r>
            <w:r>
              <w:rPr>
                <w:noProof/>
                <w:webHidden/>
              </w:rPr>
              <w:fldChar w:fldCharType="begin"/>
            </w:r>
            <w:r>
              <w:rPr>
                <w:noProof/>
                <w:webHidden/>
              </w:rPr>
              <w:instrText xml:space="preserve"> PAGEREF _Toc54595750 \h </w:instrText>
            </w:r>
            <w:r>
              <w:rPr>
                <w:noProof/>
                <w:webHidden/>
              </w:rPr>
            </w:r>
            <w:r>
              <w:rPr>
                <w:noProof/>
                <w:webHidden/>
              </w:rPr>
              <w:fldChar w:fldCharType="separate"/>
            </w:r>
            <w:r>
              <w:rPr>
                <w:noProof/>
                <w:webHidden/>
              </w:rPr>
              <w:t>4</w:t>
            </w:r>
            <w:r>
              <w:rPr>
                <w:noProof/>
                <w:webHidden/>
              </w:rPr>
              <w:fldChar w:fldCharType="end"/>
            </w:r>
          </w:hyperlink>
        </w:p>
        <w:p w14:paraId="78D6266D" w14:textId="752E8908" w:rsidR="00D0197E" w:rsidRDefault="00D0197E">
          <w:pPr>
            <w:pStyle w:val="TOC2"/>
            <w:tabs>
              <w:tab w:val="right" w:leader="dot" w:pos="9016"/>
            </w:tabs>
            <w:rPr>
              <w:rFonts w:asciiTheme="minorHAnsi" w:eastAsiaTheme="minorEastAsia" w:hAnsiTheme="minorHAnsi" w:cstheme="minorBidi"/>
              <w:noProof/>
              <w:sz w:val="22"/>
              <w:szCs w:val="22"/>
            </w:rPr>
          </w:pPr>
          <w:hyperlink w:anchor="_Toc54595751" w:history="1">
            <w:r w:rsidRPr="00240EED">
              <w:rPr>
                <w:rStyle w:val="Hyperlink"/>
                <w:noProof/>
              </w:rPr>
              <w:t>Purpose of this document</w:t>
            </w:r>
            <w:r>
              <w:rPr>
                <w:noProof/>
                <w:webHidden/>
              </w:rPr>
              <w:tab/>
            </w:r>
            <w:r>
              <w:rPr>
                <w:noProof/>
                <w:webHidden/>
              </w:rPr>
              <w:fldChar w:fldCharType="begin"/>
            </w:r>
            <w:r>
              <w:rPr>
                <w:noProof/>
                <w:webHidden/>
              </w:rPr>
              <w:instrText xml:space="preserve"> PAGEREF _Toc54595751 \h </w:instrText>
            </w:r>
            <w:r>
              <w:rPr>
                <w:noProof/>
                <w:webHidden/>
              </w:rPr>
            </w:r>
            <w:r>
              <w:rPr>
                <w:noProof/>
                <w:webHidden/>
              </w:rPr>
              <w:fldChar w:fldCharType="separate"/>
            </w:r>
            <w:r>
              <w:rPr>
                <w:noProof/>
                <w:webHidden/>
              </w:rPr>
              <w:t>6</w:t>
            </w:r>
            <w:r>
              <w:rPr>
                <w:noProof/>
                <w:webHidden/>
              </w:rPr>
              <w:fldChar w:fldCharType="end"/>
            </w:r>
          </w:hyperlink>
        </w:p>
        <w:p w14:paraId="4A8D0CCC" w14:textId="563B207F" w:rsidR="00D0197E" w:rsidRDefault="00D0197E">
          <w:pPr>
            <w:pStyle w:val="TOC1"/>
            <w:tabs>
              <w:tab w:val="right" w:leader="dot" w:pos="9016"/>
            </w:tabs>
            <w:rPr>
              <w:rFonts w:asciiTheme="minorHAnsi" w:eastAsiaTheme="minorEastAsia" w:hAnsiTheme="minorHAnsi" w:cstheme="minorBidi"/>
              <w:noProof/>
              <w:sz w:val="22"/>
              <w:szCs w:val="22"/>
            </w:rPr>
          </w:pPr>
          <w:hyperlink w:anchor="_Toc54595752" w:history="1">
            <w:r w:rsidRPr="00240EED">
              <w:rPr>
                <w:rStyle w:val="Hyperlink"/>
                <w:noProof/>
              </w:rPr>
              <w:t>Key issues of the decision</w:t>
            </w:r>
            <w:r>
              <w:rPr>
                <w:noProof/>
                <w:webHidden/>
              </w:rPr>
              <w:tab/>
            </w:r>
            <w:r>
              <w:rPr>
                <w:noProof/>
                <w:webHidden/>
              </w:rPr>
              <w:fldChar w:fldCharType="begin"/>
            </w:r>
            <w:r>
              <w:rPr>
                <w:noProof/>
                <w:webHidden/>
              </w:rPr>
              <w:instrText xml:space="preserve"> PAGEREF _Toc54595752 \h </w:instrText>
            </w:r>
            <w:r>
              <w:rPr>
                <w:noProof/>
                <w:webHidden/>
              </w:rPr>
            </w:r>
            <w:r>
              <w:rPr>
                <w:noProof/>
                <w:webHidden/>
              </w:rPr>
              <w:fldChar w:fldCharType="separate"/>
            </w:r>
            <w:r>
              <w:rPr>
                <w:noProof/>
                <w:webHidden/>
              </w:rPr>
              <w:t>7</w:t>
            </w:r>
            <w:r>
              <w:rPr>
                <w:noProof/>
                <w:webHidden/>
              </w:rPr>
              <w:fldChar w:fldCharType="end"/>
            </w:r>
          </w:hyperlink>
        </w:p>
        <w:p w14:paraId="2030C8DA" w14:textId="09D278F8" w:rsidR="00D0197E" w:rsidRDefault="00D0197E">
          <w:pPr>
            <w:pStyle w:val="TOC1"/>
            <w:tabs>
              <w:tab w:val="right" w:leader="dot" w:pos="9016"/>
            </w:tabs>
            <w:rPr>
              <w:rFonts w:asciiTheme="minorHAnsi" w:eastAsiaTheme="minorEastAsia" w:hAnsiTheme="minorHAnsi" w:cstheme="minorBidi"/>
              <w:noProof/>
              <w:sz w:val="22"/>
              <w:szCs w:val="22"/>
            </w:rPr>
          </w:pPr>
          <w:hyperlink w:anchor="_Toc54595753" w:history="1">
            <w:r w:rsidRPr="00240EED">
              <w:rPr>
                <w:rStyle w:val="Hyperlink"/>
                <w:noProof/>
              </w:rPr>
              <w:t>Receipt of application</w:t>
            </w:r>
            <w:r>
              <w:rPr>
                <w:noProof/>
                <w:webHidden/>
              </w:rPr>
              <w:tab/>
            </w:r>
            <w:r>
              <w:rPr>
                <w:noProof/>
                <w:webHidden/>
              </w:rPr>
              <w:fldChar w:fldCharType="begin"/>
            </w:r>
            <w:r>
              <w:rPr>
                <w:noProof/>
                <w:webHidden/>
              </w:rPr>
              <w:instrText xml:space="preserve"> PAGEREF _Toc54595753 \h </w:instrText>
            </w:r>
            <w:r>
              <w:rPr>
                <w:noProof/>
                <w:webHidden/>
              </w:rPr>
            </w:r>
            <w:r>
              <w:rPr>
                <w:noProof/>
                <w:webHidden/>
              </w:rPr>
              <w:fldChar w:fldCharType="separate"/>
            </w:r>
            <w:r>
              <w:rPr>
                <w:noProof/>
                <w:webHidden/>
              </w:rPr>
              <w:t>7</w:t>
            </w:r>
            <w:r>
              <w:rPr>
                <w:noProof/>
                <w:webHidden/>
              </w:rPr>
              <w:fldChar w:fldCharType="end"/>
            </w:r>
          </w:hyperlink>
        </w:p>
        <w:p w14:paraId="0A960567" w14:textId="149646F4" w:rsidR="00D0197E" w:rsidRDefault="00D0197E">
          <w:pPr>
            <w:pStyle w:val="TOC3"/>
            <w:tabs>
              <w:tab w:val="right" w:leader="dot" w:pos="9016"/>
            </w:tabs>
            <w:rPr>
              <w:rFonts w:asciiTheme="minorHAnsi" w:eastAsiaTheme="minorEastAsia" w:hAnsiTheme="minorHAnsi" w:cstheme="minorBidi"/>
              <w:noProof/>
              <w:sz w:val="22"/>
              <w:szCs w:val="22"/>
            </w:rPr>
          </w:pPr>
          <w:hyperlink w:anchor="_Toc54595754" w:history="1">
            <w:r w:rsidRPr="00240EED">
              <w:rPr>
                <w:rStyle w:val="Hyperlink"/>
                <w:noProof/>
              </w:rPr>
              <w:t>Confidential information</w:t>
            </w:r>
            <w:r>
              <w:rPr>
                <w:noProof/>
                <w:webHidden/>
              </w:rPr>
              <w:tab/>
            </w:r>
            <w:r>
              <w:rPr>
                <w:noProof/>
                <w:webHidden/>
              </w:rPr>
              <w:fldChar w:fldCharType="begin"/>
            </w:r>
            <w:r>
              <w:rPr>
                <w:noProof/>
                <w:webHidden/>
              </w:rPr>
              <w:instrText xml:space="preserve"> PAGEREF _Toc54595754 \h </w:instrText>
            </w:r>
            <w:r>
              <w:rPr>
                <w:noProof/>
                <w:webHidden/>
              </w:rPr>
            </w:r>
            <w:r>
              <w:rPr>
                <w:noProof/>
                <w:webHidden/>
              </w:rPr>
              <w:fldChar w:fldCharType="separate"/>
            </w:r>
            <w:r>
              <w:rPr>
                <w:noProof/>
                <w:webHidden/>
              </w:rPr>
              <w:t>7</w:t>
            </w:r>
            <w:r>
              <w:rPr>
                <w:noProof/>
                <w:webHidden/>
              </w:rPr>
              <w:fldChar w:fldCharType="end"/>
            </w:r>
          </w:hyperlink>
        </w:p>
        <w:p w14:paraId="3859E85B" w14:textId="5526AB08" w:rsidR="00D0197E" w:rsidRDefault="00D0197E">
          <w:pPr>
            <w:pStyle w:val="TOC3"/>
            <w:tabs>
              <w:tab w:val="right" w:leader="dot" w:pos="9016"/>
            </w:tabs>
            <w:rPr>
              <w:rFonts w:asciiTheme="minorHAnsi" w:eastAsiaTheme="minorEastAsia" w:hAnsiTheme="minorHAnsi" w:cstheme="minorBidi"/>
              <w:noProof/>
              <w:sz w:val="22"/>
              <w:szCs w:val="22"/>
            </w:rPr>
          </w:pPr>
          <w:hyperlink w:anchor="_Toc54595755" w:history="1">
            <w:r w:rsidRPr="00240EED">
              <w:rPr>
                <w:rStyle w:val="Hyperlink"/>
                <w:noProof/>
              </w:rPr>
              <w:t>Consultation</w:t>
            </w:r>
            <w:r>
              <w:rPr>
                <w:noProof/>
                <w:webHidden/>
              </w:rPr>
              <w:tab/>
            </w:r>
            <w:r>
              <w:rPr>
                <w:noProof/>
                <w:webHidden/>
              </w:rPr>
              <w:fldChar w:fldCharType="begin"/>
            </w:r>
            <w:r>
              <w:rPr>
                <w:noProof/>
                <w:webHidden/>
              </w:rPr>
              <w:instrText xml:space="preserve"> PAGEREF _Toc54595755 \h </w:instrText>
            </w:r>
            <w:r>
              <w:rPr>
                <w:noProof/>
                <w:webHidden/>
              </w:rPr>
            </w:r>
            <w:r>
              <w:rPr>
                <w:noProof/>
                <w:webHidden/>
              </w:rPr>
              <w:fldChar w:fldCharType="separate"/>
            </w:r>
            <w:r>
              <w:rPr>
                <w:noProof/>
                <w:webHidden/>
              </w:rPr>
              <w:t>7</w:t>
            </w:r>
            <w:r>
              <w:rPr>
                <w:noProof/>
                <w:webHidden/>
              </w:rPr>
              <w:fldChar w:fldCharType="end"/>
            </w:r>
          </w:hyperlink>
        </w:p>
        <w:p w14:paraId="6C33BDC7" w14:textId="04E73F1B" w:rsidR="00D0197E" w:rsidRDefault="00D0197E">
          <w:pPr>
            <w:pStyle w:val="TOC3"/>
            <w:tabs>
              <w:tab w:val="right" w:leader="dot" w:pos="9016"/>
            </w:tabs>
            <w:rPr>
              <w:rFonts w:asciiTheme="minorHAnsi" w:eastAsiaTheme="minorEastAsia" w:hAnsiTheme="minorHAnsi" w:cstheme="minorBidi"/>
              <w:noProof/>
              <w:sz w:val="22"/>
              <w:szCs w:val="22"/>
            </w:rPr>
          </w:pPr>
          <w:hyperlink w:anchor="_Toc54595756" w:history="1">
            <w:r w:rsidRPr="00240EED">
              <w:rPr>
                <w:rStyle w:val="Hyperlink"/>
                <w:noProof/>
              </w:rPr>
              <w:t>The facility</w:t>
            </w:r>
            <w:r>
              <w:rPr>
                <w:noProof/>
                <w:webHidden/>
              </w:rPr>
              <w:tab/>
            </w:r>
            <w:r>
              <w:rPr>
                <w:noProof/>
                <w:webHidden/>
              </w:rPr>
              <w:fldChar w:fldCharType="begin"/>
            </w:r>
            <w:r>
              <w:rPr>
                <w:noProof/>
                <w:webHidden/>
              </w:rPr>
              <w:instrText xml:space="preserve"> PAGEREF _Toc54595756 \h </w:instrText>
            </w:r>
            <w:r>
              <w:rPr>
                <w:noProof/>
                <w:webHidden/>
              </w:rPr>
            </w:r>
            <w:r>
              <w:rPr>
                <w:noProof/>
                <w:webHidden/>
              </w:rPr>
              <w:fldChar w:fldCharType="separate"/>
            </w:r>
            <w:r>
              <w:rPr>
                <w:noProof/>
                <w:webHidden/>
              </w:rPr>
              <w:t>7</w:t>
            </w:r>
            <w:r>
              <w:rPr>
                <w:noProof/>
                <w:webHidden/>
              </w:rPr>
              <w:fldChar w:fldCharType="end"/>
            </w:r>
          </w:hyperlink>
        </w:p>
        <w:p w14:paraId="18046984" w14:textId="082FDD90" w:rsidR="00D0197E" w:rsidRDefault="00D0197E">
          <w:pPr>
            <w:pStyle w:val="TOC2"/>
            <w:tabs>
              <w:tab w:val="right" w:leader="dot" w:pos="9016"/>
            </w:tabs>
            <w:rPr>
              <w:rFonts w:asciiTheme="minorHAnsi" w:eastAsiaTheme="minorEastAsia" w:hAnsiTheme="minorHAnsi" w:cstheme="minorBidi"/>
              <w:noProof/>
              <w:sz w:val="22"/>
              <w:szCs w:val="22"/>
            </w:rPr>
          </w:pPr>
          <w:hyperlink w:anchor="_Toc54595757" w:history="1">
            <w:r w:rsidRPr="00240EED">
              <w:rPr>
                <w:rStyle w:val="Hyperlink"/>
                <w:noProof/>
              </w:rPr>
              <w:t>Legislation</w:t>
            </w:r>
            <w:r>
              <w:rPr>
                <w:noProof/>
                <w:webHidden/>
              </w:rPr>
              <w:tab/>
            </w:r>
            <w:r>
              <w:rPr>
                <w:noProof/>
                <w:webHidden/>
              </w:rPr>
              <w:fldChar w:fldCharType="begin"/>
            </w:r>
            <w:r>
              <w:rPr>
                <w:noProof/>
                <w:webHidden/>
              </w:rPr>
              <w:instrText xml:space="preserve"> PAGEREF _Toc54595757 \h </w:instrText>
            </w:r>
            <w:r>
              <w:rPr>
                <w:noProof/>
                <w:webHidden/>
              </w:rPr>
            </w:r>
            <w:r>
              <w:rPr>
                <w:noProof/>
                <w:webHidden/>
              </w:rPr>
              <w:fldChar w:fldCharType="separate"/>
            </w:r>
            <w:r>
              <w:rPr>
                <w:noProof/>
                <w:webHidden/>
              </w:rPr>
              <w:t>9</w:t>
            </w:r>
            <w:r>
              <w:rPr>
                <w:noProof/>
                <w:webHidden/>
              </w:rPr>
              <w:fldChar w:fldCharType="end"/>
            </w:r>
          </w:hyperlink>
        </w:p>
        <w:p w14:paraId="7C50A7EB" w14:textId="2E4B5C2E" w:rsidR="00D0197E" w:rsidRDefault="00D0197E">
          <w:pPr>
            <w:pStyle w:val="TOC2"/>
            <w:tabs>
              <w:tab w:val="right" w:leader="dot" w:pos="9016"/>
            </w:tabs>
            <w:rPr>
              <w:rFonts w:asciiTheme="minorHAnsi" w:eastAsiaTheme="minorEastAsia" w:hAnsiTheme="minorHAnsi" w:cstheme="minorBidi"/>
              <w:noProof/>
              <w:sz w:val="22"/>
              <w:szCs w:val="22"/>
            </w:rPr>
          </w:pPr>
          <w:hyperlink w:anchor="_Toc54595758" w:history="1">
            <w:r w:rsidRPr="00240EED">
              <w:rPr>
                <w:rStyle w:val="Hyperlink"/>
                <w:noProof/>
              </w:rPr>
              <w:t>The site</w:t>
            </w:r>
            <w:r>
              <w:rPr>
                <w:noProof/>
                <w:webHidden/>
              </w:rPr>
              <w:tab/>
            </w:r>
            <w:r>
              <w:rPr>
                <w:noProof/>
                <w:webHidden/>
              </w:rPr>
              <w:fldChar w:fldCharType="begin"/>
            </w:r>
            <w:r>
              <w:rPr>
                <w:noProof/>
                <w:webHidden/>
              </w:rPr>
              <w:instrText xml:space="preserve"> PAGEREF _Toc54595758 \h </w:instrText>
            </w:r>
            <w:r>
              <w:rPr>
                <w:noProof/>
                <w:webHidden/>
              </w:rPr>
            </w:r>
            <w:r>
              <w:rPr>
                <w:noProof/>
                <w:webHidden/>
              </w:rPr>
              <w:fldChar w:fldCharType="separate"/>
            </w:r>
            <w:r>
              <w:rPr>
                <w:noProof/>
                <w:webHidden/>
              </w:rPr>
              <w:t>9</w:t>
            </w:r>
            <w:r>
              <w:rPr>
                <w:noProof/>
                <w:webHidden/>
              </w:rPr>
              <w:fldChar w:fldCharType="end"/>
            </w:r>
          </w:hyperlink>
        </w:p>
        <w:p w14:paraId="3D46E0B3" w14:textId="47E3798A" w:rsidR="00D0197E" w:rsidRDefault="00D0197E">
          <w:pPr>
            <w:pStyle w:val="TOC3"/>
            <w:tabs>
              <w:tab w:val="right" w:leader="dot" w:pos="9016"/>
            </w:tabs>
            <w:rPr>
              <w:rFonts w:asciiTheme="minorHAnsi" w:eastAsiaTheme="minorEastAsia" w:hAnsiTheme="minorHAnsi" w:cstheme="minorBidi"/>
              <w:noProof/>
              <w:sz w:val="22"/>
              <w:szCs w:val="22"/>
            </w:rPr>
          </w:pPr>
          <w:hyperlink w:anchor="_Toc54595759" w:history="1">
            <w:r w:rsidRPr="00240EED">
              <w:rPr>
                <w:rStyle w:val="Hyperlink"/>
                <w:noProof/>
              </w:rPr>
              <w:t>Site condition report</w:t>
            </w:r>
            <w:r>
              <w:rPr>
                <w:noProof/>
                <w:webHidden/>
              </w:rPr>
              <w:tab/>
            </w:r>
            <w:r>
              <w:rPr>
                <w:noProof/>
                <w:webHidden/>
              </w:rPr>
              <w:fldChar w:fldCharType="begin"/>
            </w:r>
            <w:r>
              <w:rPr>
                <w:noProof/>
                <w:webHidden/>
              </w:rPr>
              <w:instrText xml:space="preserve"> PAGEREF _Toc54595759 \h </w:instrText>
            </w:r>
            <w:r>
              <w:rPr>
                <w:noProof/>
                <w:webHidden/>
              </w:rPr>
            </w:r>
            <w:r>
              <w:rPr>
                <w:noProof/>
                <w:webHidden/>
              </w:rPr>
              <w:fldChar w:fldCharType="separate"/>
            </w:r>
            <w:r>
              <w:rPr>
                <w:noProof/>
                <w:webHidden/>
              </w:rPr>
              <w:t>9</w:t>
            </w:r>
            <w:r>
              <w:rPr>
                <w:noProof/>
                <w:webHidden/>
              </w:rPr>
              <w:fldChar w:fldCharType="end"/>
            </w:r>
          </w:hyperlink>
        </w:p>
        <w:p w14:paraId="63271675" w14:textId="62593F71" w:rsidR="00D0197E" w:rsidRDefault="00D0197E">
          <w:pPr>
            <w:pStyle w:val="TOC3"/>
            <w:tabs>
              <w:tab w:val="right" w:leader="dot" w:pos="9016"/>
            </w:tabs>
            <w:rPr>
              <w:rFonts w:asciiTheme="minorHAnsi" w:eastAsiaTheme="minorEastAsia" w:hAnsiTheme="minorHAnsi" w:cstheme="minorBidi"/>
              <w:noProof/>
              <w:sz w:val="22"/>
              <w:szCs w:val="22"/>
            </w:rPr>
          </w:pPr>
          <w:hyperlink w:anchor="_Toc54595760" w:history="1">
            <w:r w:rsidRPr="00240EED">
              <w:rPr>
                <w:rStyle w:val="Hyperlink"/>
                <w:noProof/>
              </w:rPr>
              <w:t>Biodiversity, Heritage, Landscape and Nature Conservation</w:t>
            </w:r>
            <w:r>
              <w:rPr>
                <w:noProof/>
                <w:webHidden/>
              </w:rPr>
              <w:tab/>
            </w:r>
            <w:r>
              <w:rPr>
                <w:noProof/>
                <w:webHidden/>
              </w:rPr>
              <w:fldChar w:fldCharType="begin"/>
            </w:r>
            <w:r>
              <w:rPr>
                <w:noProof/>
                <w:webHidden/>
              </w:rPr>
              <w:instrText xml:space="preserve"> PAGEREF _Toc54595760 \h </w:instrText>
            </w:r>
            <w:r>
              <w:rPr>
                <w:noProof/>
                <w:webHidden/>
              </w:rPr>
            </w:r>
            <w:r>
              <w:rPr>
                <w:noProof/>
                <w:webHidden/>
              </w:rPr>
              <w:fldChar w:fldCharType="separate"/>
            </w:r>
            <w:r>
              <w:rPr>
                <w:noProof/>
                <w:webHidden/>
              </w:rPr>
              <w:t>9</w:t>
            </w:r>
            <w:r>
              <w:rPr>
                <w:noProof/>
                <w:webHidden/>
              </w:rPr>
              <w:fldChar w:fldCharType="end"/>
            </w:r>
          </w:hyperlink>
        </w:p>
        <w:p w14:paraId="6D9561C4" w14:textId="5289B1E6" w:rsidR="00D0197E" w:rsidRDefault="00D0197E">
          <w:pPr>
            <w:pStyle w:val="TOC2"/>
            <w:tabs>
              <w:tab w:val="right" w:leader="dot" w:pos="9016"/>
            </w:tabs>
            <w:rPr>
              <w:rFonts w:asciiTheme="minorHAnsi" w:eastAsiaTheme="minorEastAsia" w:hAnsiTheme="minorHAnsi" w:cstheme="minorBidi"/>
              <w:noProof/>
              <w:sz w:val="22"/>
              <w:szCs w:val="22"/>
            </w:rPr>
          </w:pPr>
          <w:hyperlink w:anchor="_Toc54595761" w:history="1">
            <w:r w:rsidRPr="00240EED">
              <w:rPr>
                <w:rStyle w:val="Hyperlink"/>
                <w:noProof/>
              </w:rPr>
              <w:t>Environmental Risk Assessment</w:t>
            </w:r>
            <w:r>
              <w:rPr>
                <w:noProof/>
                <w:webHidden/>
              </w:rPr>
              <w:tab/>
            </w:r>
            <w:r>
              <w:rPr>
                <w:noProof/>
                <w:webHidden/>
              </w:rPr>
              <w:fldChar w:fldCharType="begin"/>
            </w:r>
            <w:r>
              <w:rPr>
                <w:noProof/>
                <w:webHidden/>
              </w:rPr>
              <w:instrText xml:space="preserve"> PAGEREF _Toc54595761 \h </w:instrText>
            </w:r>
            <w:r>
              <w:rPr>
                <w:noProof/>
                <w:webHidden/>
              </w:rPr>
            </w:r>
            <w:r>
              <w:rPr>
                <w:noProof/>
                <w:webHidden/>
              </w:rPr>
              <w:fldChar w:fldCharType="separate"/>
            </w:r>
            <w:r>
              <w:rPr>
                <w:noProof/>
                <w:webHidden/>
              </w:rPr>
              <w:t>12</w:t>
            </w:r>
            <w:r>
              <w:rPr>
                <w:noProof/>
                <w:webHidden/>
              </w:rPr>
              <w:fldChar w:fldCharType="end"/>
            </w:r>
          </w:hyperlink>
        </w:p>
        <w:p w14:paraId="16D47F30" w14:textId="5A0853BD" w:rsidR="00D0197E" w:rsidRDefault="00D0197E">
          <w:pPr>
            <w:pStyle w:val="TOC3"/>
            <w:tabs>
              <w:tab w:val="right" w:leader="dot" w:pos="9016"/>
            </w:tabs>
            <w:rPr>
              <w:rFonts w:asciiTheme="minorHAnsi" w:eastAsiaTheme="minorEastAsia" w:hAnsiTheme="minorHAnsi" w:cstheme="minorBidi"/>
              <w:noProof/>
              <w:sz w:val="22"/>
              <w:szCs w:val="22"/>
            </w:rPr>
          </w:pPr>
          <w:hyperlink w:anchor="_Toc54595762" w:history="1">
            <w:r w:rsidRPr="00240EED">
              <w:rPr>
                <w:rStyle w:val="Hyperlink"/>
                <w:noProof/>
              </w:rPr>
              <w:t>Air Quality</w:t>
            </w:r>
            <w:r>
              <w:rPr>
                <w:noProof/>
                <w:webHidden/>
              </w:rPr>
              <w:tab/>
            </w:r>
            <w:r>
              <w:rPr>
                <w:noProof/>
                <w:webHidden/>
              </w:rPr>
              <w:fldChar w:fldCharType="begin"/>
            </w:r>
            <w:r>
              <w:rPr>
                <w:noProof/>
                <w:webHidden/>
              </w:rPr>
              <w:instrText xml:space="preserve"> PAGEREF _Toc54595762 \h </w:instrText>
            </w:r>
            <w:r>
              <w:rPr>
                <w:noProof/>
                <w:webHidden/>
              </w:rPr>
            </w:r>
            <w:r>
              <w:rPr>
                <w:noProof/>
                <w:webHidden/>
              </w:rPr>
              <w:fldChar w:fldCharType="separate"/>
            </w:r>
            <w:r>
              <w:rPr>
                <w:noProof/>
                <w:webHidden/>
              </w:rPr>
              <w:t>12</w:t>
            </w:r>
            <w:r>
              <w:rPr>
                <w:noProof/>
                <w:webHidden/>
              </w:rPr>
              <w:fldChar w:fldCharType="end"/>
            </w:r>
          </w:hyperlink>
        </w:p>
        <w:p w14:paraId="712005F6" w14:textId="1ED938C0" w:rsidR="00D0197E" w:rsidRDefault="00D0197E">
          <w:pPr>
            <w:pStyle w:val="TOC3"/>
            <w:tabs>
              <w:tab w:val="right" w:leader="dot" w:pos="9016"/>
            </w:tabs>
            <w:rPr>
              <w:rFonts w:asciiTheme="minorHAnsi" w:eastAsiaTheme="minorEastAsia" w:hAnsiTheme="minorHAnsi" w:cstheme="minorBidi"/>
              <w:noProof/>
              <w:sz w:val="22"/>
              <w:szCs w:val="22"/>
            </w:rPr>
          </w:pPr>
          <w:hyperlink w:anchor="_Toc54595763" w:history="1">
            <w:r w:rsidRPr="00240EED">
              <w:rPr>
                <w:rStyle w:val="Hyperlink"/>
                <w:noProof/>
              </w:rPr>
              <w:t>Water</w:t>
            </w:r>
            <w:r>
              <w:rPr>
                <w:noProof/>
                <w:webHidden/>
              </w:rPr>
              <w:tab/>
            </w:r>
            <w:r>
              <w:rPr>
                <w:noProof/>
                <w:webHidden/>
              </w:rPr>
              <w:fldChar w:fldCharType="begin"/>
            </w:r>
            <w:r>
              <w:rPr>
                <w:noProof/>
                <w:webHidden/>
              </w:rPr>
              <w:instrText xml:space="preserve"> PAGEREF _Toc54595763 \h </w:instrText>
            </w:r>
            <w:r>
              <w:rPr>
                <w:noProof/>
                <w:webHidden/>
              </w:rPr>
            </w:r>
            <w:r>
              <w:rPr>
                <w:noProof/>
                <w:webHidden/>
              </w:rPr>
              <w:fldChar w:fldCharType="separate"/>
            </w:r>
            <w:r>
              <w:rPr>
                <w:noProof/>
                <w:webHidden/>
              </w:rPr>
              <w:t>14</w:t>
            </w:r>
            <w:r>
              <w:rPr>
                <w:noProof/>
                <w:webHidden/>
              </w:rPr>
              <w:fldChar w:fldCharType="end"/>
            </w:r>
          </w:hyperlink>
        </w:p>
        <w:p w14:paraId="7491B10A" w14:textId="6FA61325" w:rsidR="00D0197E" w:rsidRDefault="00D0197E">
          <w:pPr>
            <w:pStyle w:val="TOC3"/>
            <w:tabs>
              <w:tab w:val="right" w:leader="dot" w:pos="9016"/>
            </w:tabs>
            <w:rPr>
              <w:rFonts w:asciiTheme="minorHAnsi" w:eastAsiaTheme="minorEastAsia" w:hAnsiTheme="minorHAnsi" w:cstheme="minorBidi"/>
              <w:noProof/>
              <w:sz w:val="22"/>
              <w:szCs w:val="22"/>
            </w:rPr>
          </w:pPr>
          <w:hyperlink w:anchor="_Toc54595764" w:history="1">
            <w:r w:rsidRPr="00240EED">
              <w:rPr>
                <w:rStyle w:val="Hyperlink"/>
                <w:noProof/>
              </w:rPr>
              <w:t>Soil</w:t>
            </w:r>
            <w:r>
              <w:rPr>
                <w:noProof/>
                <w:webHidden/>
              </w:rPr>
              <w:tab/>
            </w:r>
            <w:r>
              <w:rPr>
                <w:noProof/>
                <w:webHidden/>
              </w:rPr>
              <w:fldChar w:fldCharType="begin"/>
            </w:r>
            <w:r>
              <w:rPr>
                <w:noProof/>
                <w:webHidden/>
              </w:rPr>
              <w:instrText xml:space="preserve"> PAGEREF _Toc54595764 \h </w:instrText>
            </w:r>
            <w:r>
              <w:rPr>
                <w:noProof/>
                <w:webHidden/>
              </w:rPr>
            </w:r>
            <w:r>
              <w:rPr>
                <w:noProof/>
                <w:webHidden/>
              </w:rPr>
              <w:fldChar w:fldCharType="separate"/>
            </w:r>
            <w:r>
              <w:rPr>
                <w:noProof/>
                <w:webHidden/>
              </w:rPr>
              <w:t>14</w:t>
            </w:r>
            <w:r>
              <w:rPr>
                <w:noProof/>
                <w:webHidden/>
              </w:rPr>
              <w:fldChar w:fldCharType="end"/>
            </w:r>
          </w:hyperlink>
        </w:p>
        <w:p w14:paraId="1441C472" w14:textId="3E29D781" w:rsidR="00D0197E" w:rsidRDefault="00D0197E">
          <w:pPr>
            <w:pStyle w:val="TOC3"/>
            <w:tabs>
              <w:tab w:val="right" w:leader="dot" w:pos="9016"/>
            </w:tabs>
            <w:rPr>
              <w:rFonts w:asciiTheme="minorHAnsi" w:eastAsiaTheme="minorEastAsia" w:hAnsiTheme="minorHAnsi" w:cstheme="minorBidi"/>
              <w:noProof/>
              <w:sz w:val="22"/>
              <w:szCs w:val="22"/>
            </w:rPr>
          </w:pPr>
          <w:hyperlink w:anchor="_Toc54595765" w:history="1">
            <w:r w:rsidRPr="00240EED">
              <w:rPr>
                <w:rStyle w:val="Hyperlink"/>
                <w:noProof/>
              </w:rPr>
              <w:t>Odour</w:t>
            </w:r>
            <w:r>
              <w:rPr>
                <w:noProof/>
                <w:webHidden/>
              </w:rPr>
              <w:tab/>
            </w:r>
            <w:r>
              <w:rPr>
                <w:noProof/>
                <w:webHidden/>
              </w:rPr>
              <w:fldChar w:fldCharType="begin"/>
            </w:r>
            <w:r>
              <w:rPr>
                <w:noProof/>
                <w:webHidden/>
              </w:rPr>
              <w:instrText xml:space="preserve"> PAGEREF _Toc54595765 \h </w:instrText>
            </w:r>
            <w:r>
              <w:rPr>
                <w:noProof/>
                <w:webHidden/>
              </w:rPr>
            </w:r>
            <w:r>
              <w:rPr>
                <w:noProof/>
                <w:webHidden/>
              </w:rPr>
              <w:fldChar w:fldCharType="separate"/>
            </w:r>
            <w:r>
              <w:rPr>
                <w:noProof/>
                <w:webHidden/>
              </w:rPr>
              <w:t>14</w:t>
            </w:r>
            <w:r>
              <w:rPr>
                <w:noProof/>
                <w:webHidden/>
              </w:rPr>
              <w:fldChar w:fldCharType="end"/>
            </w:r>
          </w:hyperlink>
        </w:p>
        <w:p w14:paraId="3A1A0DF9" w14:textId="65AA0ACC" w:rsidR="00D0197E" w:rsidRDefault="00D0197E">
          <w:pPr>
            <w:pStyle w:val="TOC3"/>
            <w:tabs>
              <w:tab w:val="right" w:leader="dot" w:pos="9016"/>
            </w:tabs>
            <w:rPr>
              <w:rFonts w:asciiTheme="minorHAnsi" w:eastAsiaTheme="minorEastAsia" w:hAnsiTheme="minorHAnsi" w:cstheme="minorBidi"/>
              <w:noProof/>
              <w:sz w:val="22"/>
              <w:szCs w:val="22"/>
            </w:rPr>
          </w:pPr>
          <w:hyperlink w:anchor="_Toc54595766" w:history="1">
            <w:r w:rsidRPr="00240EED">
              <w:rPr>
                <w:rStyle w:val="Hyperlink"/>
                <w:noProof/>
              </w:rPr>
              <w:t>Noise</w:t>
            </w:r>
            <w:r>
              <w:rPr>
                <w:noProof/>
                <w:webHidden/>
              </w:rPr>
              <w:tab/>
            </w:r>
            <w:r>
              <w:rPr>
                <w:noProof/>
                <w:webHidden/>
              </w:rPr>
              <w:fldChar w:fldCharType="begin"/>
            </w:r>
            <w:r>
              <w:rPr>
                <w:noProof/>
                <w:webHidden/>
              </w:rPr>
              <w:instrText xml:space="preserve"> PAGEREF _Toc54595766 \h </w:instrText>
            </w:r>
            <w:r>
              <w:rPr>
                <w:noProof/>
                <w:webHidden/>
              </w:rPr>
            </w:r>
            <w:r>
              <w:rPr>
                <w:noProof/>
                <w:webHidden/>
              </w:rPr>
              <w:fldChar w:fldCharType="separate"/>
            </w:r>
            <w:r>
              <w:rPr>
                <w:noProof/>
                <w:webHidden/>
              </w:rPr>
              <w:t>14</w:t>
            </w:r>
            <w:r>
              <w:rPr>
                <w:noProof/>
                <w:webHidden/>
              </w:rPr>
              <w:fldChar w:fldCharType="end"/>
            </w:r>
          </w:hyperlink>
        </w:p>
        <w:p w14:paraId="1496EB04" w14:textId="57541C78" w:rsidR="00D0197E" w:rsidRDefault="00D0197E">
          <w:pPr>
            <w:pStyle w:val="TOC3"/>
            <w:tabs>
              <w:tab w:val="right" w:leader="dot" w:pos="9016"/>
            </w:tabs>
            <w:rPr>
              <w:rFonts w:asciiTheme="minorHAnsi" w:eastAsiaTheme="minorEastAsia" w:hAnsiTheme="minorHAnsi" w:cstheme="minorBidi"/>
              <w:noProof/>
              <w:sz w:val="22"/>
              <w:szCs w:val="22"/>
            </w:rPr>
          </w:pPr>
          <w:hyperlink w:anchor="_Toc54595767" w:history="1">
            <w:r w:rsidRPr="00240EED">
              <w:rPr>
                <w:rStyle w:val="Hyperlink"/>
                <w:noProof/>
              </w:rPr>
              <w:t>Fugitive emissions</w:t>
            </w:r>
            <w:r>
              <w:rPr>
                <w:noProof/>
                <w:webHidden/>
              </w:rPr>
              <w:tab/>
            </w:r>
            <w:r>
              <w:rPr>
                <w:noProof/>
                <w:webHidden/>
              </w:rPr>
              <w:fldChar w:fldCharType="begin"/>
            </w:r>
            <w:r>
              <w:rPr>
                <w:noProof/>
                <w:webHidden/>
              </w:rPr>
              <w:instrText xml:space="preserve"> PAGEREF _Toc54595767 \h </w:instrText>
            </w:r>
            <w:r>
              <w:rPr>
                <w:noProof/>
                <w:webHidden/>
              </w:rPr>
            </w:r>
            <w:r>
              <w:rPr>
                <w:noProof/>
                <w:webHidden/>
              </w:rPr>
              <w:fldChar w:fldCharType="separate"/>
            </w:r>
            <w:r>
              <w:rPr>
                <w:noProof/>
                <w:webHidden/>
              </w:rPr>
              <w:t>15</w:t>
            </w:r>
            <w:r>
              <w:rPr>
                <w:noProof/>
                <w:webHidden/>
              </w:rPr>
              <w:fldChar w:fldCharType="end"/>
            </w:r>
          </w:hyperlink>
        </w:p>
        <w:p w14:paraId="7CC2BEF5" w14:textId="0DF061A0" w:rsidR="00D0197E" w:rsidRDefault="00D0197E">
          <w:pPr>
            <w:pStyle w:val="TOC3"/>
            <w:tabs>
              <w:tab w:val="right" w:leader="dot" w:pos="9016"/>
            </w:tabs>
            <w:rPr>
              <w:rFonts w:asciiTheme="minorHAnsi" w:eastAsiaTheme="minorEastAsia" w:hAnsiTheme="minorHAnsi" w:cstheme="minorBidi"/>
              <w:noProof/>
              <w:sz w:val="22"/>
              <w:szCs w:val="22"/>
            </w:rPr>
          </w:pPr>
          <w:hyperlink w:anchor="_Toc54595768" w:history="1">
            <w:r w:rsidRPr="00240EED">
              <w:rPr>
                <w:rStyle w:val="Hyperlink"/>
                <w:noProof/>
              </w:rPr>
              <w:t>Monitoring</w:t>
            </w:r>
            <w:r>
              <w:rPr>
                <w:noProof/>
                <w:webHidden/>
              </w:rPr>
              <w:tab/>
            </w:r>
            <w:r>
              <w:rPr>
                <w:noProof/>
                <w:webHidden/>
              </w:rPr>
              <w:fldChar w:fldCharType="begin"/>
            </w:r>
            <w:r>
              <w:rPr>
                <w:noProof/>
                <w:webHidden/>
              </w:rPr>
              <w:instrText xml:space="preserve"> PAGEREF _Toc54595768 \h </w:instrText>
            </w:r>
            <w:r>
              <w:rPr>
                <w:noProof/>
                <w:webHidden/>
              </w:rPr>
            </w:r>
            <w:r>
              <w:rPr>
                <w:noProof/>
                <w:webHidden/>
              </w:rPr>
              <w:fldChar w:fldCharType="separate"/>
            </w:r>
            <w:r>
              <w:rPr>
                <w:noProof/>
                <w:webHidden/>
              </w:rPr>
              <w:t>15</w:t>
            </w:r>
            <w:r>
              <w:rPr>
                <w:noProof/>
                <w:webHidden/>
              </w:rPr>
              <w:fldChar w:fldCharType="end"/>
            </w:r>
          </w:hyperlink>
        </w:p>
        <w:p w14:paraId="5624BA48" w14:textId="4C357FE4" w:rsidR="00D0197E" w:rsidRDefault="00D0197E">
          <w:pPr>
            <w:pStyle w:val="TOC3"/>
            <w:tabs>
              <w:tab w:val="right" w:leader="dot" w:pos="9016"/>
            </w:tabs>
            <w:rPr>
              <w:rFonts w:asciiTheme="minorHAnsi" w:eastAsiaTheme="minorEastAsia" w:hAnsiTheme="minorHAnsi" w:cstheme="minorBidi"/>
              <w:noProof/>
              <w:sz w:val="22"/>
              <w:szCs w:val="22"/>
            </w:rPr>
          </w:pPr>
          <w:hyperlink w:anchor="_Toc54595769" w:history="1">
            <w:r w:rsidRPr="00240EED">
              <w:rPr>
                <w:rStyle w:val="Hyperlink"/>
                <w:noProof/>
              </w:rPr>
              <w:t>Reporting</w:t>
            </w:r>
            <w:r>
              <w:rPr>
                <w:noProof/>
                <w:webHidden/>
              </w:rPr>
              <w:tab/>
            </w:r>
            <w:r>
              <w:rPr>
                <w:noProof/>
                <w:webHidden/>
              </w:rPr>
              <w:fldChar w:fldCharType="begin"/>
            </w:r>
            <w:r>
              <w:rPr>
                <w:noProof/>
                <w:webHidden/>
              </w:rPr>
              <w:instrText xml:space="preserve"> PAGEREF _Toc54595769 \h </w:instrText>
            </w:r>
            <w:r>
              <w:rPr>
                <w:noProof/>
                <w:webHidden/>
              </w:rPr>
            </w:r>
            <w:r>
              <w:rPr>
                <w:noProof/>
                <w:webHidden/>
              </w:rPr>
              <w:fldChar w:fldCharType="separate"/>
            </w:r>
            <w:r>
              <w:rPr>
                <w:noProof/>
                <w:webHidden/>
              </w:rPr>
              <w:t>15</w:t>
            </w:r>
            <w:r>
              <w:rPr>
                <w:noProof/>
                <w:webHidden/>
              </w:rPr>
              <w:fldChar w:fldCharType="end"/>
            </w:r>
          </w:hyperlink>
        </w:p>
        <w:p w14:paraId="5A0B50F8" w14:textId="3C90B3A4" w:rsidR="00D0197E" w:rsidRDefault="00D0197E">
          <w:pPr>
            <w:pStyle w:val="TOC2"/>
            <w:tabs>
              <w:tab w:val="right" w:leader="dot" w:pos="9016"/>
            </w:tabs>
            <w:rPr>
              <w:rFonts w:asciiTheme="minorHAnsi" w:eastAsiaTheme="minorEastAsia" w:hAnsiTheme="minorHAnsi" w:cstheme="minorBidi"/>
              <w:noProof/>
              <w:sz w:val="22"/>
              <w:szCs w:val="22"/>
            </w:rPr>
          </w:pPr>
          <w:hyperlink w:anchor="_Toc54595770" w:history="1">
            <w:r w:rsidRPr="00240EED">
              <w:rPr>
                <w:rStyle w:val="Hyperlink"/>
                <w:noProof/>
              </w:rPr>
              <w:t>Operating techniques</w:t>
            </w:r>
            <w:r>
              <w:rPr>
                <w:noProof/>
                <w:webHidden/>
              </w:rPr>
              <w:tab/>
            </w:r>
            <w:r>
              <w:rPr>
                <w:noProof/>
                <w:webHidden/>
              </w:rPr>
              <w:fldChar w:fldCharType="begin"/>
            </w:r>
            <w:r>
              <w:rPr>
                <w:noProof/>
                <w:webHidden/>
              </w:rPr>
              <w:instrText xml:space="preserve"> PAGEREF _Toc54595770 \h </w:instrText>
            </w:r>
            <w:r>
              <w:rPr>
                <w:noProof/>
                <w:webHidden/>
              </w:rPr>
            </w:r>
            <w:r>
              <w:rPr>
                <w:noProof/>
                <w:webHidden/>
              </w:rPr>
              <w:fldChar w:fldCharType="separate"/>
            </w:r>
            <w:r>
              <w:rPr>
                <w:noProof/>
                <w:webHidden/>
              </w:rPr>
              <w:t>16</w:t>
            </w:r>
            <w:r>
              <w:rPr>
                <w:noProof/>
                <w:webHidden/>
              </w:rPr>
              <w:fldChar w:fldCharType="end"/>
            </w:r>
          </w:hyperlink>
        </w:p>
        <w:p w14:paraId="7F2E1ABF" w14:textId="706CBD65" w:rsidR="00D0197E" w:rsidRDefault="00D0197E">
          <w:pPr>
            <w:pStyle w:val="TOC2"/>
            <w:tabs>
              <w:tab w:val="right" w:leader="dot" w:pos="9016"/>
            </w:tabs>
            <w:rPr>
              <w:rFonts w:asciiTheme="minorHAnsi" w:eastAsiaTheme="minorEastAsia" w:hAnsiTheme="minorHAnsi" w:cstheme="minorBidi"/>
              <w:noProof/>
              <w:sz w:val="22"/>
              <w:szCs w:val="22"/>
            </w:rPr>
          </w:pPr>
          <w:hyperlink w:anchor="_Toc54595771" w:history="1">
            <w:r w:rsidRPr="00240EED">
              <w:rPr>
                <w:rStyle w:val="Hyperlink"/>
                <w:noProof/>
              </w:rPr>
              <w:t>The permit conditions</w:t>
            </w:r>
            <w:r>
              <w:rPr>
                <w:noProof/>
                <w:webHidden/>
              </w:rPr>
              <w:tab/>
            </w:r>
            <w:r>
              <w:rPr>
                <w:noProof/>
                <w:webHidden/>
              </w:rPr>
              <w:fldChar w:fldCharType="begin"/>
            </w:r>
            <w:r>
              <w:rPr>
                <w:noProof/>
                <w:webHidden/>
              </w:rPr>
              <w:instrText xml:space="preserve"> PAGEREF _Toc54595771 \h </w:instrText>
            </w:r>
            <w:r>
              <w:rPr>
                <w:noProof/>
                <w:webHidden/>
              </w:rPr>
            </w:r>
            <w:r>
              <w:rPr>
                <w:noProof/>
                <w:webHidden/>
              </w:rPr>
              <w:fldChar w:fldCharType="separate"/>
            </w:r>
            <w:r>
              <w:rPr>
                <w:noProof/>
                <w:webHidden/>
              </w:rPr>
              <w:t>17</w:t>
            </w:r>
            <w:r>
              <w:rPr>
                <w:noProof/>
                <w:webHidden/>
              </w:rPr>
              <w:fldChar w:fldCharType="end"/>
            </w:r>
          </w:hyperlink>
        </w:p>
        <w:p w14:paraId="26C51DBB" w14:textId="6676C3E5" w:rsidR="00D0197E" w:rsidRDefault="00D0197E">
          <w:pPr>
            <w:pStyle w:val="TOC3"/>
            <w:tabs>
              <w:tab w:val="right" w:leader="dot" w:pos="9016"/>
            </w:tabs>
            <w:rPr>
              <w:rFonts w:asciiTheme="minorHAnsi" w:eastAsiaTheme="minorEastAsia" w:hAnsiTheme="minorHAnsi" w:cstheme="minorBidi"/>
              <w:noProof/>
              <w:sz w:val="22"/>
              <w:szCs w:val="22"/>
            </w:rPr>
          </w:pPr>
          <w:hyperlink w:anchor="_Toc54595772" w:history="1">
            <w:r w:rsidRPr="00240EED">
              <w:rPr>
                <w:rStyle w:val="Hyperlink"/>
                <w:noProof/>
              </w:rPr>
              <w:t>Improvement conditions</w:t>
            </w:r>
            <w:r>
              <w:rPr>
                <w:noProof/>
                <w:webHidden/>
              </w:rPr>
              <w:tab/>
            </w:r>
            <w:r>
              <w:rPr>
                <w:noProof/>
                <w:webHidden/>
              </w:rPr>
              <w:fldChar w:fldCharType="begin"/>
            </w:r>
            <w:r>
              <w:rPr>
                <w:noProof/>
                <w:webHidden/>
              </w:rPr>
              <w:instrText xml:space="preserve"> PAGEREF _Toc54595772 \h </w:instrText>
            </w:r>
            <w:r>
              <w:rPr>
                <w:noProof/>
                <w:webHidden/>
              </w:rPr>
            </w:r>
            <w:r>
              <w:rPr>
                <w:noProof/>
                <w:webHidden/>
              </w:rPr>
              <w:fldChar w:fldCharType="separate"/>
            </w:r>
            <w:r>
              <w:rPr>
                <w:noProof/>
                <w:webHidden/>
              </w:rPr>
              <w:t>17</w:t>
            </w:r>
            <w:r>
              <w:rPr>
                <w:noProof/>
                <w:webHidden/>
              </w:rPr>
              <w:fldChar w:fldCharType="end"/>
            </w:r>
          </w:hyperlink>
        </w:p>
        <w:p w14:paraId="73124AA6" w14:textId="75BED786" w:rsidR="00D0197E" w:rsidRDefault="00D0197E">
          <w:pPr>
            <w:pStyle w:val="TOC3"/>
            <w:tabs>
              <w:tab w:val="right" w:leader="dot" w:pos="9016"/>
            </w:tabs>
            <w:rPr>
              <w:rFonts w:asciiTheme="minorHAnsi" w:eastAsiaTheme="minorEastAsia" w:hAnsiTheme="minorHAnsi" w:cstheme="minorBidi"/>
              <w:noProof/>
              <w:sz w:val="22"/>
              <w:szCs w:val="22"/>
            </w:rPr>
          </w:pPr>
          <w:hyperlink w:anchor="_Toc54595773" w:history="1">
            <w:r w:rsidRPr="00240EED">
              <w:rPr>
                <w:rStyle w:val="Hyperlink"/>
                <w:noProof/>
              </w:rPr>
              <w:t>Environment management system</w:t>
            </w:r>
            <w:r>
              <w:rPr>
                <w:noProof/>
                <w:webHidden/>
              </w:rPr>
              <w:tab/>
            </w:r>
            <w:r>
              <w:rPr>
                <w:noProof/>
                <w:webHidden/>
              </w:rPr>
              <w:fldChar w:fldCharType="begin"/>
            </w:r>
            <w:r>
              <w:rPr>
                <w:noProof/>
                <w:webHidden/>
              </w:rPr>
              <w:instrText xml:space="preserve"> PAGEREF _Toc54595773 \h </w:instrText>
            </w:r>
            <w:r>
              <w:rPr>
                <w:noProof/>
                <w:webHidden/>
              </w:rPr>
            </w:r>
            <w:r>
              <w:rPr>
                <w:noProof/>
                <w:webHidden/>
              </w:rPr>
              <w:fldChar w:fldCharType="separate"/>
            </w:r>
            <w:r>
              <w:rPr>
                <w:noProof/>
                <w:webHidden/>
              </w:rPr>
              <w:t>17</w:t>
            </w:r>
            <w:r>
              <w:rPr>
                <w:noProof/>
                <w:webHidden/>
              </w:rPr>
              <w:fldChar w:fldCharType="end"/>
            </w:r>
          </w:hyperlink>
        </w:p>
        <w:p w14:paraId="1FC6B998" w14:textId="2DE7D3F6" w:rsidR="00D0197E" w:rsidRDefault="00D0197E">
          <w:pPr>
            <w:pStyle w:val="TOC3"/>
            <w:tabs>
              <w:tab w:val="right" w:leader="dot" w:pos="9016"/>
            </w:tabs>
            <w:rPr>
              <w:rFonts w:asciiTheme="minorHAnsi" w:eastAsiaTheme="minorEastAsia" w:hAnsiTheme="minorHAnsi" w:cstheme="minorBidi"/>
              <w:noProof/>
              <w:sz w:val="22"/>
              <w:szCs w:val="22"/>
            </w:rPr>
          </w:pPr>
          <w:hyperlink w:anchor="_Toc54595774" w:history="1">
            <w:r w:rsidRPr="00240EED">
              <w:rPr>
                <w:rStyle w:val="Hyperlink"/>
                <w:noProof/>
              </w:rPr>
              <w:t>OPRA</w:t>
            </w:r>
            <w:r>
              <w:rPr>
                <w:noProof/>
                <w:webHidden/>
              </w:rPr>
              <w:tab/>
            </w:r>
            <w:r>
              <w:rPr>
                <w:noProof/>
                <w:webHidden/>
              </w:rPr>
              <w:fldChar w:fldCharType="begin"/>
            </w:r>
            <w:r>
              <w:rPr>
                <w:noProof/>
                <w:webHidden/>
              </w:rPr>
              <w:instrText xml:space="preserve"> PAGEREF _Toc54595774 \h </w:instrText>
            </w:r>
            <w:r>
              <w:rPr>
                <w:noProof/>
                <w:webHidden/>
              </w:rPr>
            </w:r>
            <w:r>
              <w:rPr>
                <w:noProof/>
                <w:webHidden/>
              </w:rPr>
              <w:fldChar w:fldCharType="separate"/>
            </w:r>
            <w:r>
              <w:rPr>
                <w:noProof/>
                <w:webHidden/>
              </w:rPr>
              <w:t>17</w:t>
            </w:r>
            <w:r>
              <w:rPr>
                <w:noProof/>
                <w:webHidden/>
              </w:rPr>
              <w:fldChar w:fldCharType="end"/>
            </w:r>
          </w:hyperlink>
        </w:p>
        <w:p w14:paraId="62EC61B7" w14:textId="5F1D525F" w:rsidR="00D0197E" w:rsidRDefault="00D0197E" w:rsidP="00D0197E">
          <w:pPr>
            <w:pStyle w:val="TOC1"/>
            <w:tabs>
              <w:tab w:val="left" w:pos="1320"/>
              <w:tab w:val="right" w:leader="dot" w:pos="9016"/>
            </w:tabs>
            <w:rPr>
              <w:rFonts w:asciiTheme="minorHAnsi" w:eastAsiaTheme="minorEastAsia" w:hAnsiTheme="minorHAnsi" w:cstheme="minorBidi"/>
              <w:noProof/>
              <w:sz w:val="22"/>
              <w:szCs w:val="22"/>
            </w:rPr>
          </w:pPr>
          <w:hyperlink w:anchor="_Toc54595775" w:history="1">
            <w:r w:rsidRPr="00240EED">
              <w:rPr>
                <w:rStyle w:val="Hyperlink"/>
                <w:noProof/>
              </w:rPr>
              <w:t>ANNEX 1:</w:t>
            </w:r>
            <w:r>
              <w:rPr>
                <w:rFonts w:asciiTheme="minorHAnsi" w:eastAsiaTheme="minorEastAsia" w:hAnsiTheme="minorHAnsi" w:cstheme="minorBidi"/>
                <w:noProof/>
                <w:sz w:val="22"/>
                <w:szCs w:val="22"/>
              </w:rPr>
              <w:tab/>
            </w:r>
            <w:r w:rsidRPr="00240EED">
              <w:rPr>
                <w:rStyle w:val="Hyperlink"/>
                <w:noProof/>
              </w:rPr>
              <w:t>Improvement Conditions</w:t>
            </w:r>
            <w:r>
              <w:rPr>
                <w:noProof/>
                <w:webHidden/>
              </w:rPr>
              <w:tab/>
            </w:r>
            <w:r>
              <w:rPr>
                <w:noProof/>
                <w:webHidden/>
              </w:rPr>
              <w:fldChar w:fldCharType="begin"/>
            </w:r>
            <w:r>
              <w:rPr>
                <w:noProof/>
                <w:webHidden/>
              </w:rPr>
              <w:instrText xml:space="preserve"> PAGEREF _Toc54595775 \h </w:instrText>
            </w:r>
            <w:r>
              <w:rPr>
                <w:noProof/>
                <w:webHidden/>
              </w:rPr>
            </w:r>
            <w:r>
              <w:rPr>
                <w:noProof/>
                <w:webHidden/>
              </w:rPr>
              <w:fldChar w:fldCharType="separate"/>
            </w:r>
            <w:r>
              <w:rPr>
                <w:noProof/>
                <w:webHidden/>
              </w:rPr>
              <w:t>18</w:t>
            </w:r>
            <w:r>
              <w:rPr>
                <w:noProof/>
                <w:webHidden/>
              </w:rPr>
              <w:fldChar w:fldCharType="end"/>
            </w:r>
          </w:hyperlink>
        </w:p>
        <w:p w14:paraId="303FC8FE" w14:textId="1112A34E" w:rsidR="004E4D95" w:rsidRDefault="004E4D95">
          <w:r>
            <w:rPr>
              <w:b/>
              <w:bCs/>
              <w:noProof/>
            </w:rPr>
            <w:fldChar w:fldCharType="end"/>
          </w:r>
        </w:p>
      </w:sdtContent>
    </w:sdt>
    <w:p w14:paraId="40B5D0E4" w14:textId="77777777" w:rsidR="004E4D95" w:rsidRDefault="004E4D95" w:rsidP="00E379F1">
      <w:pPr>
        <w:pStyle w:val="Heading1"/>
        <w:sectPr w:rsidR="004E4D95" w:rsidSect="00D0197E">
          <w:headerReference w:type="even" r:id="rId17"/>
          <w:headerReference w:type="default" r:id="rId18"/>
          <w:headerReference w:type="first" r:id="rId19"/>
          <w:pgSz w:w="11906" w:h="16838" w:code="9"/>
          <w:pgMar w:top="1440" w:right="1440" w:bottom="1440" w:left="1440" w:header="720" w:footer="193" w:gutter="0"/>
          <w:cols w:space="720"/>
          <w:titlePg/>
          <w:docGrid w:linePitch="326"/>
        </w:sectPr>
      </w:pPr>
      <w:bookmarkStart w:id="0" w:name="_GoBack"/>
      <w:bookmarkEnd w:id="0"/>
    </w:p>
    <w:p w14:paraId="539A3808" w14:textId="561056B5" w:rsidR="00AD3527" w:rsidRPr="00AD3527" w:rsidRDefault="001F0E23" w:rsidP="00E379F1">
      <w:pPr>
        <w:pStyle w:val="Heading1"/>
      </w:pPr>
      <w:bookmarkStart w:id="1" w:name="_Toc54595747"/>
      <w:r w:rsidRPr="00761898">
        <w:lastRenderedPageBreak/>
        <w:t>Variation</w:t>
      </w:r>
      <w:bookmarkEnd w:id="1"/>
      <w:r w:rsidR="00AD3527">
        <w:t xml:space="preserve">  </w:t>
      </w:r>
      <w:r w:rsidR="00B73ECB" w:rsidRPr="00761898">
        <w:t xml:space="preserve"> </w:t>
      </w:r>
    </w:p>
    <w:p w14:paraId="6B31C567" w14:textId="33E51469" w:rsidR="002E3A98" w:rsidRDefault="00E379F1" w:rsidP="00E379F1">
      <w:pPr>
        <w:pStyle w:val="Heading2"/>
      </w:pPr>
      <w:bookmarkStart w:id="2" w:name="_Toc54595748"/>
      <w:r w:rsidRPr="001A4EFA">
        <w:t xml:space="preserve">The </w:t>
      </w:r>
      <w:r w:rsidR="008C2F8F">
        <w:t xml:space="preserve">variation number </w:t>
      </w:r>
      <w:r w:rsidRPr="001A4EFA">
        <w:t>is:</w:t>
      </w:r>
      <w:bookmarkEnd w:id="2"/>
    </w:p>
    <w:p w14:paraId="3459F153" w14:textId="7CB9B077" w:rsidR="008C2F8F" w:rsidRPr="00524A7E" w:rsidRDefault="00524A7E" w:rsidP="008C2F8F">
      <w:pPr>
        <w:pStyle w:val="DraftingNoteText"/>
        <w:rPr>
          <w:i w:val="0"/>
          <w:color w:val="auto"/>
        </w:rPr>
      </w:pPr>
      <w:r w:rsidRPr="00524A7E">
        <w:rPr>
          <w:i w:val="0"/>
          <w:color w:val="auto"/>
        </w:rPr>
        <w:t>BK3638IF/V006</w:t>
      </w:r>
    </w:p>
    <w:p w14:paraId="0E01D167" w14:textId="5B2F0D64" w:rsidR="00E379F1" w:rsidRPr="001A4EFA" w:rsidRDefault="00E379F1" w:rsidP="00E379F1">
      <w:pPr>
        <w:pStyle w:val="Heading2"/>
      </w:pPr>
      <w:bookmarkStart w:id="3" w:name="_Toc54595749"/>
      <w:r w:rsidRPr="001A4EFA">
        <w:t xml:space="preserve">The </w:t>
      </w:r>
      <w:r w:rsidR="002E3A98">
        <w:t>o</w:t>
      </w:r>
      <w:r w:rsidRPr="001A4EFA">
        <w:t>perator is:</w:t>
      </w:r>
      <w:r w:rsidR="00524A7E">
        <w:t xml:space="preserve"> </w:t>
      </w:r>
      <w:r w:rsidR="00524A7E" w:rsidRPr="00524A7E">
        <w:rPr>
          <w:rFonts w:cs="Arial"/>
          <w:b w:val="0"/>
          <w:bCs w:val="0"/>
          <w:color w:val="auto"/>
          <w:szCs w:val="20"/>
          <w:lang w:eastAsia="en-GB"/>
        </w:rPr>
        <w:t>Hydro Aluminium Deeside Limited</w:t>
      </w:r>
      <w:bookmarkEnd w:id="3"/>
      <w:r w:rsidRPr="001A4EFA">
        <w:tab/>
      </w:r>
      <w:r w:rsidRPr="001A4EFA">
        <w:tab/>
      </w:r>
      <w:r w:rsidRPr="001A4EFA">
        <w:tab/>
      </w:r>
    </w:p>
    <w:p w14:paraId="32CEE3F5" w14:textId="30652B5B" w:rsidR="00E379F1" w:rsidRDefault="00E379F1" w:rsidP="00E379F1">
      <w:pPr>
        <w:pStyle w:val="Heading2"/>
      </w:pPr>
      <w:bookmarkStart w:id="4" w:name="_Toc54595750"/>
      <w:r w:rsidRPr="001A4EFA">
        <w:t>The Installation is located at:</w:t>
      </w:r>
      <w:r w:rsidR="00524A7E">
        <w:t xml:space="preserve"> </w:t>
      </w:r>
      <w:r w:rsidR="00524A7E" w:rsidRPr="00524A7E">
        <w:rPr>
          <w:rFonts w:cs="Arial"/>
          <w:b w:val="0"/>
          <w:bCs w:val="0"/>
          <w:color w:val="auto"/>
          <w:szCs w:val="20"/>
          <w:lang w:eastAsia="en-GB"/>
        </w:rPr>
        <w:t>Wrexham Aluminium Works, Bridge Road, Wrexham Industrial Estate, Wrexham, LL13 9PS</w:t>
      </w:r>
      <w:bookmarkEnd w:id="4"/>
    </w:p>
    <w:p w14:paraId="0028F1DA" w14:textId="77777777" w:rsidR="00D04424" w:rsidRPr="00761898" w:rsidRDefault="00D04424" w:rsidP="00AD3527">
      <w:pPr>
        <w:pStyle w:val="Heading1"/>
      </w:pPr>
    </w:p>
    <w:p w14:paraId="0028F1DE" w14:textId="3A80CFE9" w:rsidR="00D04424" w:rsidRDefault="0060457F" w:rsidP="00D35BCB">
      <w:pPr>
        <w:pStyle w:val="DDtext"/>
      </w:pPr>
      <w:r w:rsidRPr="0067478B">
        <w:t xml:space="preserve">We have decided to </w:t>
      </w:r>
      <w:r w:rsidR="001500A3" w:rsidRPr="0067478B">
        <w:t xml:space="preserve">issue </w:t>
      </w:r>
      <w:r w:rsidRPr="0067478B">
        <w:rPr>
          <w:color w:val="000000"/>
        </w:rPr>
        <w:t xml:space="preserve">the </w:t>
      </w:r>
      <w:r w:rsidRPr="0067478B">
        <w:t xml:space="preserve">variation </w:t>
      </w:r>
      <w:r w:rsidR="00524A7E">
        <w:rPr>
          <w:color w:val="000000"/>
        </w:rPr>
        <w:t>f</w:t>
      </w:r>
      <w:r w:rsidRPr="0067478B">
        <w:t xml:space="preserve">or </w:t>
      </w:r>
      <w:r w:rsidR="00524A7E">
        <w:t>Wrexham Aluminium Works</w:t>
      </w:r>
      <w:r w:rsidRPr="0067478B">
        <w:t xml:space="preserve"> </w:t>
      </w:r>
      <w:r w:rsidRPr="0067478B">
        <w:rPr>
          <w:color w:val="000000"/>
        </w:rPr>
        <w:t>operated by</w:t>
      </w:r>
      <w:r w:rsidRPr="0067478B">
        <w:t xml:space="preserve"> </w:t>
      </w:r>
      <w:r w:rsidR="00524A7E">
        <w:t>Hydro Aluminium Deeside Limited</w:t>
      </w:r>
      <w:r w:rsidR="004529F3" w:rsidRPr="00A5574B">
        <w:t>.</w:t>
      </w:r>
    </w:p>
    <w:p w14:paraId="7AB4F7EE" w14:textId="77777777" w:rsidR="00524A7E" w:rsidRDefault="00524A7E" w:rsidP="00D35BCB">
      <w:pPr>
        <w:pStyle w:val="DDtext"/>
      </w:pPr>
    </w:p>
    <w:p w14:paraId="7466FF80" w14:textId="77777777" w:rsidR="003D4414" w:rsidRPr="0067478B" w:rsidRDefault="003D4414" w:rsidP="00D35BCB">
      <w:pPr>
        <w:pStyle w:val="DDtext"/>
      </w:pPr>
      <w:r w:rsidRPr="0067478B">
        <w:t>We consider in reaching that decision we have taken into account all relevant considerations and legal requirements and that the permit will ensure that the appropriate level of environmental protection is provided.</w:t>
      </w:r>
    </w:p>
    <w:p w14:paraId="6DEE9214" w14:textId="77777777" w:rsidR="003D4414" w:rsidRDefault="003D4414" w:rsidP="00D35BCB">
      <w:pPr>
        <w:pStyle w:val="DraftingNoteText"/>
      </w:pPr>
    </w:p>
    <w:p w14:paraId="7607D417" w14:textId="61489FED" w:rsidR="003D4414" w:rsidRDefault="00524A7E" w:rsidP="00524A7E">
      <w:pPr>
        <w:pStyle w:val="DraftingNoteText"/>
        <w:rPr>
          <w:i w:val="0"/>
          <w:color w:val="auto"/>
        </w:rPr>
      </w:pPr>
      <w:r w:rsidRPr="00524A7E">
        <w:rPr>
          <w:i w:val="0"/>
          <w:color w:val="auto"/>
        </w:rPr>
        <w:t>The variation is to add a twin-chamber pre-heating furnace for aluminium ingot. This equipment will utilise waste heat in furnace off-gases, ensuring safe charging of dry material and reducing energy use in the melting and holding furnaces.  Moisture trapped inside cracks and cavities in ingots of aluminium can cause a powerful explosion when charged into molten metal. The ingot preheater will use waste heat from the melting and holding furnace off-gases to heat ingots to a temperature of &gt;150°</w:t>
      </w:r>
      <w:proofErr w:type="spellStart"/>
      <w:r w:rsidR="00550EFF">
        <w:rPr>
          <w:i w:val="0"/>
          <w:color w:val="auto"/>
        </w:rPr>
        <w:t>C</w:t>
      </w:r>
      <w:r w:rsidRPr="00524A7E">
        <w:rPr>
          <w:i w:val="0"/>
          <w:color w:val="auto"/>
        </w:rPr>
        <w:t xml:space="preserve"> over</w:t>
      </w:r>
      <w:proofErr w:type="spellEnd"/>
      <w:r w:rsidRPr="00524A7E">
        <w:rPr>
          <w:i w:val="0"/>
          <w:color w:val="auto"/>
        </w:rPr>
        <w:t xml:space="preserve"> a four-hour cycle. Pre-heated ingots would then be charged to the melting furnace as dry material and would enable reduced heat input from the furnace burners, in turn saving energy and direct CO</w:t>
      </w:r>
      <w:r w:rsidRPr="00524A7E">
        <w:rPr>
          <w:i w:val="0"/>
          <w:color w:val="auto"/>
          <w:vertAlign w:val="subscript"/>
        </w:rPr>
        <w:t>2</w:t>
      </w:r>
      <w:r w:rsidRPr="00524A7E">
        <w:rPr>
          <w:i w:val="0"/>
          <w:color w:val="auto"/>
        </w:rPr>
        <w:t xml:space="preserve"> emissions from gas consumption. The preheater is of a twin chamber design to enable continuous treatment of prime ingot.</w:t>
      </w:r>
      <w:r>
        <w:rPr>
          <w:i w:val="0"/>
          <w:color w:val="auto"/>
        </w:rPr>
        <w:t xml:space="preserve"> </w:t>
      </w:r>
      <w:r w:rsidRPr="00524A7E">
        <w:rPr>
          <w:i w:val="0"/>
          <w:color w:val="auto"/>
        </w:rPr>
        <w:t>The design incorporates separate auxiliary burner</w:t>
      </w:r>
      <w:r w:rsidR="007B6B93">
        <w:rPr>
          <w:i w:val="0"/>
          <w:color w:val="auto"/>
        </w:rPr>
        <w:t>s</w:t>
      </w:r>
      <w:r w:rsidRPr="00524A7E">
        <w:rPr>
          <w:i w:val="0"/>
          <w:color w:val="auto"/>
        </w:rPr>
        <w:t xml:space="preserve"> serving </w:t>
      </w:r>
      <w:r w:rsidR="00D76C4E">
        <w:rPr>
          <w:i w:val="0"/>
          <w:color w:val="auto"/>
        </w:rPr>
        <w:t>each</w:t>
      </w:r>
      <w:r w:rsidRPr="00524A7E">
        <w:rPr>
          <w:i w:val="0"/>
          <w:color w:val="auto"/>
        </w:rPr>
        <w:t xml:space="preserve"> chamber. </w:t>
      </w:r>
      <w:r w:rsidR="00D76C4E">
        <w:rPr>
          <w:i w:val="0"/>
          <w:color w:val="auto"/>
        </w:rPr>
        <w:t>These are</w:t>
      </w:r>
      <w:r w:rsidRPr="00524A7E">
        <w:rPr>
          <w:i w:val="0"/>
          <w:color w:val="auto"/>
        </w:rPr>
        <w:t xml:space="preserve"> </w:t>
      </w:r>
      <w:r w:rsidR="00023A44">
        <w:rPr>
          <w:i w:val="0"/>
          <w:color w:val="auto"/>
        </w:rPr>
        <w:t xml:space="preserve">natural </w:t>
      </w:r>
      <w:r w:rsidRPr="00524A7E">
        <w:rPr>
          <w:i w:val="0"/>
          <w:color w:val="auto"/>
        </w:rPr>
        <w:t>gas-fired and rated at 800k</w:t>
      </w:r>
      <w:r w:rsidR="00E82A2D">
        <w:rPr>
          <w:i w:val="0"/>
          <w:color w:val="auto"/>
        </w:rPr>
        <w:t>w</w:t>
      </w:r>
      <w:r w:rsidRPr="00524A7E">
        <w:rPr>
          <w:i w:val="0"/>
          <w:color w:val="auto"/>
        </w:rPr>
        <w:t xml:space="preserve"> thermal input. </w:t>
      </w:r>
      <w:r w:rsidR="00D76C4E">
        <w:rPr>
          <w:i w:val="0"/>
          <w:color w:val="auto"/>
        </w:rPr>
        <w:t>A</w:t>
      </w:r>
      <w:r w:rsidRPr="00524A7E">
        <w:rPr>
          <w:i w:val="0"/>
          <w:color w:val="auto"/>
        </w:rPr>
        <w:t xml:space="preserve"> burner can be used to raise temperatures during start-up and will enable effective temperature regulation during the pre-heat cycle.</w:t>
      </w:r>
      <w:r w:rsidR="007B6B93">
        <w:rPr>
          <w:i w:val="0"/>
          <w:color w:val="auto"/>
        </w:rPr>
        <w:t xml:space="preserve"> </w:t>
      </w:r>
      <w:r w:rsidR="007B6B93" w:rsidRPr="007B6B93">
        <w:rPr>
          <w:i w:val="0"/>
          <w:color w:val="auto"/>
        </w:rPr>
        <w:t>The burners are not used simultaneously</w:t>
      </w:r>
      <w:r w:rsidR="002334AD">
        <w:rPr>
          <w:i w:val="0"/>
          <w:color w:val="auto"/>
        </w:rPr>
        <w:t xml:space="preserve"> (2 burners, one will be in standby mode whilst the other is operating)</w:t>
      </w:r>
      <w:r w:rsidR="007B6B93">
        <w:rPr>
          <w:i w:val="0"/>
          <w:color w:val="auto"/>
        </w:rPr>
        <w:t>.</w:t>
      </w:r>
      <w:r w:rsidR="007B6B93" w:rsidRPr="00524A7E">
        <w:rPr>
          <w:i w:val="0"/>
          <w:color w:val="auto"/>
        </w:rPr>
        <w:t xml:space="preserve"> </w:t>
      </w:r>
      <w:r w:rsidRPr="00524A7E">
        <w:rPr>
          <w:i w:val="0"/>
          <w:color w:val="auto"/>
        </w:rPr>
        <w:t>Combustion gases from burner operation</w:t>
      </w:r>
      <w:r w:rsidR="007B6B93">
        <w:rPr>
          <w:i w:val="0"/>
          <w:color w:val="auto"/>
        </w:rPr>
        <w:t>s</w:t>
      </w:r>
      <w:r w:rsidRPr="00524A7E">
        <w:rPr>
          <w:i w:val="0"/>
          <w:color w:val="auto"/>
        </w:rPr>
        <w:t xml:space="preserve"> will exhaust to atmosphere via the existing filtration plant and associated flues (release points A1 and A12). If the preheater is operated solely with the gas burner, the inlet of furnace gases and outlet to the abatement plant would be automatically sealed-off in </w:t>
      </w:r>
      <w:r w:rsidRPr="00524A7E">
        <w:rPr>
          <w:i w:val="0"/>
          <w:color w:val="auto"/>
        </w:rPr>
        <w:lastRenderedPageBreak/>
        <w:t>order to maintain steady operation and avoid the risk of the existing fume abatement plant shutting down due to the temperature being exceeded</w:t>
      </w:r>
      <w:r>
        <w:rPr>
          <w:i w:val="0"/>
          <w:color w:val="auto"/>
        </w:rPr>
        <w:t>.</w:t>
      </w:r>
    </w:p>
    <w:p w14:paraId="2272E23C" w14:textId="77777777" w:rsidR="00524A7E" w:rsidRDefault="00524A7E" w:rsidP="00524A7E">
      <w:pPr>
        <w:pStyle w:val="DraftingNoteText"/>
      </w:pPr>
    </w:p>
    <w:p w14:paraId="7E03025A" w14:textId="77777777" w:rsidR="0099037E" w:rsidRDefault="0099037E" w:rsidP="00D35BCB">
      <w:pPr>
        <w:pStyle w:val="DDtext"/>
        <w:sectPr w:rsidR="0099037E" w:rsidSect="003D4414">
          <w:pgSz w:w="11906" w:h="16838" w:code="9"/>
          <w:pgMar w:top="1440" w:right="1440" w:bottom="1440" w:left="1440" w:header="720" w:footer="195" w:gutter="0"/>
          <w:cols w:space="720"/>
          <w:titlePg/>
          <w:docGrid w:linePitch="326"/>
        </w:sectPr>
      </w:pPr>
    </w:p>
    <w:p w14:paraId="03D9C2A1" w14:textId="77777777" w:rsidR="0058385C" w:rsidRDefault="0058385C" w:rsidP="0099037E">
      <w:pPr>
        <w:spacing w:after="60"/>
        <w:rPr>
          <w:rFonts w:cs="Arial"/>
          <w:color w:val="FF00FF"/>
          <w:szCs w:val="24"/>
        </w:rPr>
      </w:pPr>
    </w:p>
    <w:p w14:paraId="0028F1E3" w14:textId="237558B3" w:rsidR="00D04424" w:rsidRPr="000E43B7" w:rsidRDefault="00D04424" w:rsidP="00AD3527">
      <w:pPr>
        <w:pStyle w:val="Heading2"/>
      </w:pPr>
      <w:bookmarkStart w:id="5" w:name="_Toc54595751"/>
      <w:r w:rsidRPr="000E43B7">
        <w:t>Purpose of this document</w:t>
      </w:r>
      <w:bookmarkEnd w:id="5"/>
    </w:p>
    <w:p w14:paraId="0028F1E4" w14:textId="77777777" w:rsidR="00D04424" w:rsidRPr="00F97A77" w:rsidRDefault="00D04424" w:rsidP="00D04424">
      <w:pPr>
        <w:rPr>
          <w:b/>
          <w:sz w:val="20"/>
        </w:rPr>
      </w:pPr>
    </w:p>
    <w:p w14:paraId="0028F1E5" w14:textId="77777777" w:rsidR="00D04424" w:rsidRDefault="00D04424" w:rsidP="00D35BCB">
      <w:pPr>
        <w:pStyle w:val="DDtext"/>
      </w:pPr>
      <w:r>
        <w:t>This decision document:</w:t>
      </w:r>
    </w:p>
    <w:p w14:paraId="0028F1E6" w14:textId="77777777" w:rsidR="00D04424" w:rsidRPr="00EE51DF" w:rsidRDefault="00D04424" w:rsidP="00EE51DF">
      <w:pPr>
        <w:pStyle w:val="DDList"/>
        <w:rPr>
          <w:sz w:val="24"/>
          <w:szCs w:val="24"/>
        </w:rPr>
      </w:pPr>
      <w:r w:rsidRPr="00EE51DF">
        <w:rPr>
          <w:sz w:val="24"/>
          <w:szCs w:val="24"/>
        </w:rPr>
        <w:t>explains how the application has been determined</w:t>
      </w:r>
    </w:p>
    <w:p w14:paraId="0028F1E7" w14:textId="77777777"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77777777" w:rsidR="00D04424" w:rsidRPr="00EE51DF" w:rsidRDefault="00D04424" w:rsidP="00EE51DF">
      <w:pPr>
        <w:pStyle w:val="DDList"/>
        <w:rPr>
          <w:color w:val="000000"/>
          <w:sz w:val="24"/>
          <w:szCs w:val="24"/>
        </w:rPr>
      </w:pPr>
      <w:r w:rsidRPr="00EE51DF">
        <w:rPr>
          <w:color w:val="000000"/>
          <w:sz w:val="24"/>
          <w:szCs w:val="24"/>
        </w:rPr>
        <w:t>justifies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0028F1EA" w14:textId="77777777" w:rsidR="00D04424" w:rsidRDefault="00D04424" w:rsidP="00D35BCB">
      <w:pPr>
        <w:pStyle w:val="DDtext"/>
      </w:pPr>
      <w:r>
        <w:t xml:space="preserve">Unless the decision document specifies </w:t>
      </w:r>
      <w:proofErr w:type="gramStart"/>
      <w:r>
        <w:t>otherwise</w:t>
      </w:r>
      <w:proofErr w:type="gramEnd"/>
      <w:r>
        <w:t xml:space="preserve"> we have accepted the applicant’s proposals.</w:t>
      </w:r>
    </w:p>
    <w:p w14:paraId="37B80364" w14:textId="77777777" w:rsidR="00E379F1" w:rsidRDefault="00E379F1" w:rsidP="000E43B7">
      <w:pPr>
        <w:pStyle w:val="Heading2"/>
        <w:sectPr w:rsidR="00E379F1" w:rsidSect="00EB242F">
          <w:pgSz w:w="11906" w:h="16838" w:code="9"/>
          <w:pgMar w:top="1440" w:right="1440" w:bottom="1440" w:left="1440" w:header="720" w:footer="195" w:gutter="0"/>
          <w:cols w:space="720"/>
          <w:docGrid w:linePitch="326"/>
        </w:sectPr>
      </w:pPr>
    </w:p>
    <w:p w14:paraId="0B887301" w14:textId="4D87F883" w:rsidR="00E379F1" w:rsidRPr="00E379F1" w:rsidRDefault="00E379F1" w:rsidP="00E379F1">
      <w:pPr>
        <w:tabs>
          <w:tab w:val="left" w:pos="735"/>
        </w:tabs>
        <w:rPr>
          <w:lang w:eastAsia="en-US"/>
        </w:rPr>
      </w:pPr>
    </w:p>
    <w:p w14:paraId="0028F1F2" w14:textId="63A2F473" w:rsidR="003546B3" w:rsidRPr="009B1C88" w:rsidRDefault="003546B3" w:rsidP="00293379">
      <w:pPr>
        <w:pStyle w:val="Heading1"/>
        <w:jc w:val="center"/>
      </w:pPr>
      <w:bookmarkStart w:id="6" w:name="_Toc54595752"/>
      <w:r w:rsidRPr="009B1C88">
        <w:t>Key issues of the decision</w:t>
      </w:r>
      <w:bookmarkEnd w:id="6"/>
    </w:p>
    <w:p w14:paraId="51BADEFF" w14:textId="21E72A67" w:rsidR="00293379" w:rsidRDefault="00293379" w:rsidP="00293379">
      <w:pPr>
        <w:pStyle w:val="Heading1"/>
      </w:pPr>
      <w:bookmarkStart w:id="7" w:name="_Toc453078000"/>
      <w:bookmarkStart w:id="8" w:name="_Toc54595753"/>
      <w:r w:rsidRPr="00293379">
        <w:t xml:space="preserve">Receipt of </w:t>
      </w:r>
      <w:r w:rsidR="00B63893">
        <w:t>application</w:t>
      </w:r>
      <w:bookmarkEnd w:id="8"/>
    </w:p>
    <w:p w14:paraId="67F13CDD" w14:textId="77777777" w:rsidR="00605EAA" w:rsidRPr="00605EAA" w:rsidRDefault="00605EAA" w:rsidP="00605EAA">
      <w:pPr>
        <w:rPr>
          <w:lang w:eastAsia="en-US"/>
        </w:rPr>
      </w:pPr>
    </w:p>
    <w:p w14:paraId="495BB69C" w14:textId="23C63240" w:rsidR="00293379" w:rsidRDefault="00293379" w:rsidP="00605EAA">
      <w:pPr>
        <w:pStyle w:val="Heading3"/>
      </w:pPr>
      <w:bookmarkStart w:id="9" w:name="_Toc54595754"/>
      <w:r w:rsidRPr="00293379">
        <w:t>Confidential information</w:t>
      </w:r>
      <w:bookmarkEnd w:id="9"/>
    </w:p>
    <w:p w14:paraId="0E0B552F" w14:textId="4E29C37E" w:rsidR="00293379" w:rsidRPr="00DA70FE" w:rsidRDefault="00293379" w:rsidP="00A001A7">
      <w:pPr>
        <w:pStyle w:val="DDtext"/>
      </w:pPr>
      <w:r w:rsidRPr="00DA70FE">
        <w:t>A claim for commercial or industrial confidentiality has</w:t>
      </w:r>
      <w:r w:rsidR="00E82A2D">
        <w:t xml:space="preserve"> not</w:t>
      </w:r>
      <w:r w:rsidRPr="00DA70FE">
        <w:t xml:space="preserve"> been made.  </w:t>
      </w:r>
    </w:p>
    <w:p w14:paraId="41C4E812" w14:textId="77777777" w:rsidR="00293379" w:rsidRPr="00DA70FE" w:rsidRDefault="00293379" w:rsidP="00293379">
      <w:pPr>
        <w:spacing w:before="60"/>
        <w:rPr>
          <w:rFonts w:cs="Arial"/>
          <w:color w:val="FF0000"/>
          <w:szCs w:val="24"/>
        </w:rPr>
      </w:pPr>
    </w:p>
    <w:p w14:paraId="2CB8CD7E" w14:textId="77777777" w:rsidR="00605EAA" w:rsidRDefault="00605EAA" w:rsidP="00293379">
      <w:pPr>
        <w:spacing w:before="60"/>
        <w:rPr>
          <w:rFonts w:cs="Arial"/>
          <w:color w:val="000000"/>
          <w:szCs w:val="24"/>
        </w:rPr>
      </w:pPr>
    </w:p>
    <w:p w14:paraId="56476404" w14:textId="7E920708" w:rsidR="00935CD7" w:rsidRDefault="00935CD7" w:rsidP="00605EAA">
      <w:pPr>
        <w:pStyle w:val="Heading3"/>
      </w:pPr>
      <w:bookmarkStart w:id="10" w:name="_Toc54595755"/>
      <w:r w:rsidRPr="00935CD7">
        <w:t>Consultation</w:t>
      </w:r>
      <w:bookmarkEnd w:id="10"/>
    </w:p>
    <w:p w14:paraId="01472F55" w14:textId="2C5DD83D" w:rsidR="00935CD7" w:rsidRDefault="00935CD7" w:rsidP="00D35BCB">
      <w:pPr>
        <w:pStyle w:val="DDtext"/>
      </w:pPr>
      <w:r w:rsidRPr="00DA70FE">
        <w:t>The consultation requirements were identified and implemented.  The decision was taken in accordance with RGN 6 High Profile Sites, our Public Participation Statement and our Working Together Agreements.</w:t>
      </w:r>
    </w:p>
    <w:p w14:paraId="273D57BB" w14:textId="775B63EB" w:rsidR="00524A7E" w:rsidRDefault="00524A7E" w:rsidP="00D35BCB">
      <w:pPr>
        <w:pStyle w:val="DDtext"/>
      </w:pPr>
    </w:p>
    <w:p w14:paraId="0815170D" w14:textId="369C060C" w:rsidR="00524A7E" w:rsidRDefault="00524A7E" w:rsidP="00D35BCB">
      <w:pPr>
        <w:pStyle w:val="DDtext"/>
      </w:pPr>
      <w:r>
        <w:t>No external consultations were carried out due to the nature of the variation and is in line with NRW guidance.</w:t>
      </w:r>
    </w:p>
    <w:p w14:paraId="7EFE9408" w14:textId="77777777" w:rsidR="00B63893" w:rsidRDefault="00B63893" w:rsidP="00D35BCB">
      <w:pPr>
        <w:pStyle w:val="DDtext"/>
      </w:pPr>
    </w:p>
    <w:p w14:paraId="0A2B32A5" w14:textId="77777777" w:rsidR="00B63893" w:rsidRPr="001D6477" w:rsidRDefault="00B63893" w:rsidP="00B63893">
      <w:pPr>
        <w:pStyle w:val="DDtext"/>
        <w:rPr>
          <w:color w:val="FF0000"/>
        </w:rPr>
      </w:pPr>
      <w:r>
        <w:t>A</w:t>
      </w:r>
      <w:r w:rsidRPr="001D6477">
        <w:t xml:space="preserve"> copy of the Application and all other documents relevant to our determination (see </w:t>
      </w:r>
      <w:proofErr w:type="gramStart"/>
      <w:r w:rsidRPr="001D6477">
        <w:t xml:space="preserve">below) </w:t>
      </w:r>
      <w:r>
        <w:t xml:space="preserve"> are</w:t>
      </w:r>
      <w:proofErr w:type="gramEnd"/>
      <w:r>
        <w:t xml:space="preserve"> available for the public to view. </w:t>
      </w:r>
      <w:r w:rsidRPr="001D6477">
        <w:t xml:space="preserve">Anyone wishing to see these documents could arrange for copies to be made.  </w:t>
      </w:r>
    </w:p>
    <w:p w14:paraId="36429505" w14:textId="77777777" w:rsidR="00B63893" w:rsidRPr="001D6477" w:rsidRDefault="00B63893" w:rsidP="00B63893">
      <w:pPr>
        <w:rPr>
          <w:rFonts w:cs="Arial"/>
        </w:rPr>
      </w:pPr>
    </w:p>
    <w:p w14:paraId="217E6D13" w14:textId="77777777" w:rsidR="00B63893" w:rsidRDefault="00B63893" w:rsidP="00D35BCB">
      <w:pPr>
        <w:pStyle w:val="DDtext"/>
      </w:pPr>
    </w:p>
    <w:p w14:paraId="1C20E9DA" w14:textId="7893AD58" w:rsidR="00935CD7" w:rsidRDefault="00935CD7" w:rsidP="00605EAA">
      <w:pPr>
        <w:pStyle w:val="Heading3"/>
      </w:pPr>
      <w:bookmarkStart w:id="11" w:name="_Toc54595756"/>
      <w:r w:rsidRPr="00DA70FE">
        <w:t>The facility</w:t>
      </w:r>
      <w:bookmarkEnd w:id="11"/>
    </w:p>
    <w:p w14:paraId="2559472A" w14:textId="77777777" w:rsidR="00935CD7" w:rsidRPr="00935CD7" w:rsidRDefault="00935CD7" w:rsidP="00D35BCB">
      <w:pPr>
        <w:pStyle w:val="DDtext"/>
      </w:pPr>
      <w:r w:rsidRPr="00935CD7">
        <w:t>The regulated facility is an installation which comprises the following activities listed in Part 2 of Schedule 1 to the Environmental Permitting Regulations and the following directly associated activities.</w:t>
      </w:r>
    </w:p>
    <w:p w14:paraId="27A9EB2A" w14:textId="60F64F99" w:rsidR="003A511C" w:rsidRPr="005B3827" w:rsidRDefault="003A511C" w:rsidP="005B3827">
      <w:pPr>
        <w:pStyle w:val="DDtext"/>
        <w:numPr>
          <w:ilvl w:val="0"/>
          <w:numId w:val="31"/>
        </w:numPr>
      </w:pPr>
      <w:r>
        <w:t xml:space="preserve">2.2A(1)(b) - </w:t>
      </w:r>
      <w:r w:rsidRPr="00AF368E">
        <w:t>Melting, including making alloys of, non-ferrous metals, including recovered products and the operation of non-ferrous metal foundries where - (</w:t>
      </w:r>
      <w:proofErr w:type="spellStart"/>
      <w:r w:rsidRPr="00AF368E">
        <w:t>i</w:t>
      </w:r>
      <w:proofErr w:type="spellEnd"/>
      <w:r w:rsidRPr="00AF368E">
        <w:t>) the plant has a melting capacity of more than 4 tonnes per day for lead or cadmium or 20 tonnes per day for all other metals, and (ii) any furnace (other than a vacuum furnace), bath or other holding vessel used in the plant for the melting has a design holding capacity of 5 or more tonnes.</w:t>
      </w:r>
    </w:p>
    <w:p w14:paraId="64588595" w14:textId="77777777" w:rsidR="003A511C" w:rsidRPr="003A511C" w:rsidRDefault="003A511C" w:rsidP="003A511C">
      <w:pPr>
        <w:spacing w:before="60"/>
        <w:jc w:val="left"/>
      </w:pPr>
    </w:p>
    <w:p w14:paraId="7BB238FE" w14:textId="06A0DF73" w:rsidR="003A511C" w:rsidRDefault="003A511C" w:rsidP="005B3827">
      <w:pPr>
        <w:pStyle w:val="DDtext"/>
        <w:rPr>
          <w:lang w:eastAsia="en-US"/>
        </w:rPr>
      </w:pPr>
      <w:r>
        <w:rPr>
          <w:lang w:eastAsia="en-US"/>
        </w:rPr>
        <w:t>The permit also includes the following Directly Associated Activities:</w:t>
      </w:r>
    </w:p>
    <w:p w14:paraId="35C5C9F7" w14:textId="77777777" w:rsidR="003A511C" w:rsidRPr="003A511C" w:rsidRDefault="003A511C" w:rsidP="005B3827">
      <w:pPr>
        <w:pStyle w:val="DDtext"/>
        <w:numPr>
          <w:ilvl w:val="0"/>
          <w:numId w:val="31"/>
        </w:numPr>
        <w:rPr>
          <w:lang w:eastAsia="en-US"/>
        </w:rPr>
      </w:pPr>
      <w:r w:rsidRPr="003A511C">
        <w:rPr>
          <w:lang w:eastAsia="en-US"/>
        </w:rPr>
        <w:t>Off-gas collection, abatement and discharge systems (including fugitives)</w:t>
      </w:r>
    </w:p>
    <w:p w14:paraId="16B7F47B" w14:textId="60D9C34B" w:rsidR="003A511C" w:rsidRPr="003A511C" w:rsidRDefault="003A511C" w:rsidP="005B3827">
      <w:pPr>
        <w:pStyle w:val="DDtext"/>
        <w:numPr>
          <w:ilvl w:val="0"/>
          <w:numId w:val="31"/>
        </w:numPr>
        <w:rPr>
          <w:lang w:eastAsia="en-US"/>
        </w:rPr>
      </w:pPr>
      <w:r w:rsidRPr="003A511C">
        <w:rPr>
          <w:lang w:eastAsia="en-US"/>
        </w:rPr>
        <w:t>Water discharges to controlled waters</w:t>
      </w:r>
    </w:p>
    <w:p w14:paraId="1D25EE03" w14:textId="25BDB4DB" w:rsidR="003A511C" w:rsidRPr="003A511C" w:rsidRDefault="003A511C" w:rsidP="005B3827">
      <w:pPr>
        <w:pStyle w:val="DDtext"/>
        <w:numPr>
          <w:ilvl w:val="0"/>
          <w:numId w:val="31"/>
        </w:numPr>
        <w:rPr>
          <w:lang w:eastAsia="en-US"/>
        </w:rPr>
      </w:pPr>
      <w:r w:rsidRPr="003A511C">
        <w:rPr>
          <w:lang w:eastAsia="en-US"/>
        </w:rPr>
        <w:lastRenderedPageBreak/>
        <w:t>All handling of skimming’s, dross and waste materials</w:t>
      </w:r>
    </w:p>
    <w:p w14:paraId="69DD2DFA" w14:textId="22C8E6C5" w:rsidR="003A511C" w:rsidRDefault="003A511C" w:rsidP="005B3827">
      <w:pPr>
        <w:pStyle w:val="DDtext"/>
        <w:numPr>
          <w:ilvl w:val="0"/>
          <w:numId w:val="31"/>
        </w:numPr>
        <w:rPr>
          <w:lang w:eastAsia="en-US"/>
        </w:rPr>
      </w:pPr>
      <w:r w:rsidRPr="003A511C">
        <w:rPr>
          <w:lang w:eastAsia="en-US"/>
        </w:rPr>
        <w:t xml:space="preserve">Pre-heating of furnace input materials using waste heat and auxiliary gas </w:t>
      </w:r>
      <w:r>
        <w:rPr>
          <w:lang w:eastAsia="en-US"/>
        </w:rPr>
        <w:t xml:space="preserve">fired </w:t>
      </w:r>
      <w:r w:rsidR="007B6B93">
        <w:rPr>
          <w:lang w:eastAsia="en-US"/>
        </w:rPr>
        <w:t>burner</w:t>
      </w:r>
      <w:r w:rsidR="00D76C4E">
        <w:rPr>
          <w:lang w:eastAsia="en-US"/>
        </w:rPr>
        <w:t>s</w:t>
      </w:r>
      <w:r w:rsidR="007B6B93">
        <w:rPr>
          <w:lang w:eastAsia="en-US"/>
        </w:rPr>
        <w:t xml:space="preserve"> </w:t>
      </w:r>
      <w:r w:rsidRPr="003A511C">
        <w:rPr>
          <w:lang w:eastAsia="en-US"/>
        </w:rPr>
        <w:t>(800kw thermal input</w:t>
      </w:r>
      <w:r w:rsidR="002334AD">
        <w:rPr>
          <w:lang w:eastAsia="en-US"/>
        </w:rPr>
        <w:t xml:space="preserve"> each, 2 burners – 1 operating and 1 for standby</w:t>
      </w:r>
      <w:r w:rsidRPr="003A511C">
        <w:rPr>
          <w:lang w:eastAsia="en-US"/>
        </w:rPr>
        <w:t>)</w:t>
      </w:r>
      <w:r>
        <w:rPr>
          <w:lang w:eastAsia="en-US"/>
        </w:rPr>
        <w:t xml:space="preserve"> which is added as part of this variation application.</w:t>
      </w:r>
    </w:p>
    <w:p w14:paraId="1EE53BBF" w14:textId="77777777" w:rsidR="005B3827" w:rsidRPr="003A511C" w:rsidRDefault="005B3827" w:rsidP="005B3827">
      <w:pPr>
        <w:spacing w:before="60"/>
        <w:jc w:val="left"/>
        <w:rPr>
          <w:rFonts w:cs="Arial"/>
        </w:rPr>
      </w:pPr>
    </w:p>
    <w:p w14:paraId="7135DAFB" w14:textId="73A58954" w:rsidR="005B3827" w:rsidRPr="005B3827" w:rsidRDefault="005B3827" w:rsidP="005B3827">
      <w:pPr>
        <w:pStyle w:val="DDtext"/>
        <w:rPr>
          <w:lang w:eastAsia="en-US"/>
        </w:rPr>
      </w:pPr>
      <w:r>
        <w:rPr>
          <w:lang w:eastAsia="en-US"/>
        </w:rPr>
        <w:t>The variation is to install</w:t>
      </w:r>
      <w:r w:rsidRPr="005B3827">
        <w:rPr>
          <w:lang w:eastAsia="en-US"/>
        </w:rPr>
        <w:t xml:space="preserve"> a twin-chamber pre-heating furnace for aluminium ingot. This equipment will utilise waste heat in furnace off-gases, ensuring safe charging of dry material and reducing energy use in the melting and holding furnaces.</w:t>
      </w:r>
    </w:p>
    <w:p w14:paraId="3A1EB4A3" w14:textId="77777777" w:rsidR="005B3827" w:rsidRPr="005B3827" w:rsidRDefault="005B3827" w:rsidP="005B3827">
      <w:pPr>
        <w:pStyle w:val="DDtext"/>
        <w:rPr>
          <w:lang w:eastAsia="en-US"/>
        </w:rPr>
      </w:pPr>
    </w:p>
    <w:p w14:paraId="4704A8F5" w14:textId="68F4DA8C" w:rsidR="005B3827" w:rsidRPr="005B3827" w:rsidRDefault="005B3827" w:rsidP="005B3827">
      <w:pPr>
        <w:pStyle w:val="DDtext"/>
        <w:rPr>
          <w:lang w:eastAsia="en-US"/>
        </w:rPr>
      </w:pPr>
      <w:r w:rsidRPr="005B3827">
        <w:rPr>
          <w:lang w:eastAsia="en-US"/>
        </w:rPr>
        <w:t>The design incorporates</w:t>
      </w:r>
      <w:r w:rsidR="007B6B93">
        <w:rPr>
          <w:lang w:eastAsia="en-US"/>
        </w:rPr>
        <w:t xml:space="preserve"> </w:t>
      </w:r>
      <w:r w:rsidRPr="005B3827">
        <w:rPr>
          <w:lang w:eastAsia="en-US"/>
        </w:rPr>
        <w:t>separate auxiliary burner</w:t>
      </w:r>
      <w:r w:rsidR="007B6B93">
        <w:rPr>
          <w:lang w:eastAsia="en-US"/>
        </w:rPr>
        <w:t>s</w:t>
      </w:r>
      <w:r w:rsidRPr="005B3827">
        <w:rPr>
          <w:lang w:eastAsia="en-US"/>
        </w:rPr>
        <w:t xml:space="preserve"> serving </w:t>
      </w:r>
      <w:r w:rsidR="00D76C4E">
        <w:rPr>
          <w:lang w:eastAsia="en-US"/>
        </w:rPr>
        <w:t>each</w:t>
      </w:r>
      <w:r w:rsidRPr="005B3827">
        <w:rPr>
          <w:lang w:eastAsia="en-US"/>
        </w:rPr>
        <w:t xml:space="preserve"> chamber. </w:t>
      </w:r>
      <w:r w:rsidR="007B6B93">
        <w:rPr>
          <w:lang w:eastAsia="en-US"/>
        </w:rPr>
        <w:t>These are</w:t>
      </w:r>
      <w:r w:rsidRPr="005B3827">
        <w:rPr>
          <w:lang w:eastAsia="en-US"/>
        </w:rPr>
        <w:t xml:space="preserve"> gas-fired and rated at 800k</w:t>
      </w:r>
      <w:r w:rsidR="006A6223">
        <w:rPr>
          <w:lang w:eastAsia="en-US"/>
        </w:rPr>
        <w:t>w</w:t>
      </w:r>
      <w:r w:rsidRPr="005B3827">
        <w:rPr>
          <w:lang w:eastAsia="en-US"/>
        </w:rPr>
        <w:t xml:space="preserve"> thermal input.</w:t>
      </w:r>
      <w:r w:rsidR="007B6B93">
        <w:rPr>
          <w:lang w:eastAsia="en-US"/>
        </w:rPr>
        <w:t xml:space="preserve"> Only one burner shall operate at a time and is detailed as such in Table S1.1 of the permit under limits of specified activities.</w:t>
      </w:r>
      <w:r w:rsidRPr="005B3827">
        <w:rPr>
          <w:lang w:eastAsia="en-US"/>
        </w:rPr>
        <w:t xml:space="preserve"> The burner</w:t>
      </w:r>
      <w:r w:rsidR="007B6B93">
        <w:rPr>
          <w:lang w:eastAsia="en-US"/>
        </w:rPr>
        <w:t>s</w:t>
      </w:r>
      <w:r w:rsidRPr="005B3827">
        <w:rPr>
          <w:lang w:eastAsia="en-US"/>
        </w:rPr>
        <w:t xml:space="preserve"> can be used to raise temperatures during start-up and will enable effective temperature regulation during the pre-heat cycle.  </w:t>
      </w:r>
    </w:p>
    <w:p w14:paraId="18D28D62" w14:textId="77777777" w:rsidR="005B3827" w:rsidRPr="005B3827" w:rsidRDefault="005B3827" w:rsidP="005B3827">
      <w:pPr>
        <w:pStyle w:val="DDtext"/>
        <w:rPr>
          <w:lang w:eastAsia="en-US"/>
        </w:rPr>
      </w:pPr>
      <w:r w:rsidRPr="005B3827">
        <w:rPr>
          <w:lang w:eastAsia="en-US"/>
        </w:rPr>
        <w:t xml:space="preserve"> </w:t>
      </w:r>
    </w:p>
    <w:p w14:paraId="60869BED" w14:textId="4298808B" w:rsidR="005B3827" w:rsidRPr="005B3827" w:rsidRDefault="005B3827" w:rsidP="005B3827">
      <w:pPr>
        <w:pStyle w:val="DDtext"/>
        <w:rPr>
          <w:lang w:eastAsia="en-US"/>
        </w:rPr>
      </w:pPr>
      <w:r w:rsidRPr="005B3827">
        <w:rPr>
          <w:lang w:eastAsia="en-US"/>
        </w:rPr>
        <w:t>Combustion gases from burner operation</w:t>
      </w:r>
      <w:r w:rsidR="00D76C4E">
        <w:rPr>
          <w:lang w:eastAsia="en-US"/>
        </w:rPr>
        <w:t>s</w:t>
      </w:r>
      <w:r w:rsidRPr="005B3827">
        <w:rPr>
          <w:lang w:eastAsia="en-US"/>
        </w:rPr>
        <w:t xml:space="preserve"> will exhaust to atmosphere via existing emission points A1 and A12</w:t>
      </w:r>
      <w:r>
        <w:rPr>
          <w:lang w:eastAsia="en-US"/>
        </w:rPr>
        <w:t xml:space="preserve"> which will retain the same Emission Limit Values (ELV’s)</w:t>
      </w:r>
      <w:r w:rsidRPr="005B3827">
        <w:rPr>
          <w:lang w:eastAsia="en-US"/>
        </w:rPr>
        <w:t xml:space="preserve">. If the preheater is operated solely with </w:t>
      </w:r>
      <w:r w:rsidR="00D76C4E">
        <w:rPr>
          <w:lang w:eastAsia="en-US"/>
        </w:rPr>
        <w:t>a</w:t>
      </w:r>
      <w:r w:rsidRPr="005B3827">
        <w:rPr>
          <w:lang w:eastAsia="en-US"/>
        </w:rPr>
        <w:t xml:space="preserve"> gas burner, the inlet of furnace gases and outlet to the abatement plant will be automatically sealed-off in order to maintain steady operation and avoid the risk of the existing fume abatement plant shutting down due to the temperature being exceeded.</w:t>
      </w:r>
    </w:p>
    <w:p w14:paraId="2718BD33" w14:textId="77777777" w:rsidR="005B3827" w:rsidRPr="005B3827" w:rsidRDefault="005B3827" w:rsidP="005B3827">
      <w:pPr>
        <w:pStyle w:val="DDtext"/>
        <w:rPr>
          <w:lang w:eastAsia="en-US"/>
        </w:rPr>
      </w:pPr>
    </w:p>
    <w:p w14:paraId="7B1F08CB" w14:textId="77777777" w:rsidR="005B3827" w:rsidRPr="005B3827" w:rsidRDefault="005B3827" w:rsidP="005B3827">
      <w:pPr>
        <w:pStyle w:val="DDtext"/>
        <w:rPr>
          <w:lang w:eastAsia="en-US"/>
        </w:rPr>
      </w:pPr>
      <w:r w:rsidRPr="005B3827">
        <w:rPr>
          <w:lang w:eastAsia="en-US"/>
        </w:rPr>
        <w:t xml:space="preserve">Emissions from the pre-heat furnace will comprise combustion products only. These will be controlled and minimised as follows. </w:t>
      </w:r>
    </w:p>
    <w:p w14:paraId="70A14795" w14:textId="77777777" w:rsidR="005B3827" w:rsidRPr="005B3827" w:rsidRDefault="005B3827" w:rsidP="005B3827">
      <w:pPr>
        <w:pStyle w:val="DDtext"/>
        <w:rPr>
          <w:lang w:eastAsia="en-US"/>
        </w:rPr>
      </w:pPr>
      <w:r w:rsidRPr="005B3827">
        <w:rPr>
          <w:lang w:eastAsia="en-US"/>
        </w:rPr>
        <w:t xml:space="preserve"> </w:t>
      </w:r>
    </w:p>
    <w:p w14:paraId="7644186F" w14:textId="57BC7B86" w:rsidR="005B3827" w:rsidRPr="005B3827" w:rsidRDefault="005B3827" w:rsidP="005B3827">
      <w:pPr>
        <w:pStyle w:val="DDtext"/>
        <w:rPr>
          <w:lang w:eastAsia="en-US"/>
        </w:rPr>
      </w:pPr>
      <w:r w:rsidRPr="005B3827">
        <w:rPr>
          <w:lang w:eastAsia="en-US"/>
        </w:rPr>
        <w:t>In normal operation the pre-heat furnace will receive hot off-gases from the melting and casting (holding) furnaces, which will be circulated in the two compartments to pre-heat aluminium ingots. The pre-heat furnace incorporate</w:t>
      </w:r>
      <w:r w:rsidR="00D76C4E">
        <w:rPr>
          <w:lang w:eastAsia="en-US"/>
        </w:rPr>
        <w:t>s</w:t>
      </w:r>
      <w:r w:rsidRPr="005B3827">
        <w:rPr>
          <w:lang w:eastAsia="en-US"/>
        </w:rPr>
        <w:t xml:space="preserve"> </w:t>
      </w:r>
      <w:r w:rsidR="007B6B93">
        <w:rPr>
          <w:lang w:eastAsia="en-US"/>
        </w:rPr>
        <w:t xml:space="preserve">a </w:t>
      </w:r>
      <w:r w:rsidRPr="005B3827">
        <w:rPr>
          <w:lang w:eastAsia="en-US"/>
        </w:rPr>
        <w:t>gas</w:t>
      </w:r>
      <w:r w:rsidR="00436DB2">
        <w:rPr>
          <w:lang w:eastAsia="en-US"/>
        </w:rPr>
        <w:t>-</w:t>
      </w:r>
      <w:r w:rsidRPr="005B3827">
        <w:rPr>
          <w:lang w:eastAsia="en-US"/>
        </w:rPr>
        <w:t xml:space="preserve">fired auxiliary burner to assist in heat-up and maintenance of a steady temperature to ensure evaporation of moisture from the ingots.  </w:t>
      </w:r>
    </w:p>
    <w:p w14:paraId="2D6A5D86" w14:textId="77777777" w:rsidR="005B3827" w:rsidRPr="005B3827" w:rsidRDefault="005B3827" w:rsidP="005B3827">
      <w:pPr>
        <w:pStyle w:val="DDtext"/>
        <w:rPr>
          <w:lang w:eastAsia="en-US"/>
        </w:rPr>
      </w:pPr>
    </w:p>
    <w:p w14:paraId="6492B99D" w14:textId="77777777" w:rsidR="005B3827" w:rsidRPr="005B3827" w:rsidRDefault="005B3827" w:rsidP="005B3827">
      <w:pPr>
        <w:pStyle w:val="DDtext"/>
        <w:rPr>
          <w:lang w:eastAsia="en-US"/>
        </w:rPr>
      </w:pPr>
      <w:r w:rsidRPr="005B3827">
        <w:rPr>
          <w:lang w:eastAsia="en-US"/>
        </w:rPr>
        <w:t xml:space="preserve">Operation consists of two phases for each of the two preheat chambers: • a </w:t>
      </w:r>
      <w:proofErr w:type="gramStart"/>
      <w:r w:rsidRPr="005B3827">
        <w:rPr>
          <w:lang w:eastAsia="en-US"/>
        </w:rPr>
        <w:t>50 minute</w:t>
      </w:r>
      <w:proofErr w:type="gramEnd"/>
      <w:r w:rsidRPr="005B3827">
        <w:rPr>
          <w:lang w:eastAsia="en-US"/>
        </w:rPr>
        <w:t xml:space="preserve"> heat-up phase to attain a temperature over 175°C • a four hour heating phase with temperature increasing from 175 to 350°</w:t>
      </w:r>
      <w:proofErr w:type="spellStart"/>
      <w:r w:rsidRPr="005B3827">
        <w:rPr>
          <w:lang w:eastAsia="en-US"/>
        </w:rPr>
        <w:t>C over</w:t>
      </w:r>
      <w:proofErr w:type="spellEnd"/>
      <w:r w:rsidRPr="005B3827">
        <w:rPr>
          <w:lang w:eastAsia="en-US"/>
        </w:rPr>
        <w:t xml:space="preserve"> the cycle.</w:t>
      </w:r>
    </w:p>
    <w:p w14:paraId="6BE7B75D" w14:textId="77777777" w:rsidR="005B3827" w:rsidRPr="005B3827" w:rsidRDefault="005B3827" w:rsidP="005B3827">
      <w:pPr>
        <w:pStyle w:val="DDtext"/>
        <w:rPr>
          <w:lang w:eastAsia="en-US"/>
        </w:rPr>
      </w:pPr>
    </w:p>
    <w:p w14:paraId="33726A3D" w14:textId="0CAE0D0B" w:rsidR="005B3827" w:rsidRPr="005B3827" w:rsidRDefault="005B3827" w:rsidP="005B3827">
      <w:pPr>
        <w:pStyle w:val="DDtext"/>
        <w:rPr>
          <w:lang w:eastAsia="en-US"/>
        </w:rPr>
      </w:pPr>
      <w:r w:rsidRPr="005B3827">
        <w:rPr>
          <w:lang w:eastAsia="en-US"/>
        </w:rPr>
        <w:t>It is thought that the auxiliary burner</w:t>
      </w:r>
      <w:r w:rsidR="007B6B93">
        <w:rPr>
          <w:lang w:eastAsia="en-US"/>
        </w:rPr>
        <w:t>s</w:t>
      </w:r>
      <w:r w:rsidRPr="005B3827">
        <w:rPr>
          <w:lang w:eastAsia="en-US"/>
        </w:rPr>
        <w:t xml:space="preserve"> will only be required very occasionally, with excess </w:t>
      </w:r>
      <w:r w:rsidRPr="007B6B93">
        <w:rPr>
          <w:lang w:eastAsia="en-US"/>
        </w:rPr>
        <w:t>heat from the current furnace off-gases providing the vast majority of the heat input required by the ingot pre-heater.</w:t>
      </w:r>
      <w:r w:rsidR="007B6B93" w:rsidRPr="007B6B93">
        <w:rPr>
          <w:lang w:eastAsia="en-US"/>
        </w:rPr>
        <w:t xml:space="preserve"> The preheater is of a twin chamber design to enable continuous treatment of prime ingot. The design incorporates a separate auxiliary burner serving each chamber.</w:t>
      </w:r>
      <w:r w:rsidR="007B6B93">
        <w:rPr>
          <w:lang w:eastAsia="en-US"/>
        </w:rPr>
        <w:t xml:space="preserve"> </w:t>
      </w:r>
      <w:r w:rsidR="007B6B93" w:rsidRPr="007B6B93">
        <w:rPr>
          <w:lang w:eastAsia="en-US"/>
        </w:rPr>
        <w:t>Only one burner shall operate at a time (i.e. duty and stand-by). Burners shall not operate simultaneously.</w:t>
      </w:r>
    </w:p>
    <w:p w14:paraId="47627EF3" w14:textId="77777777" w:rsidR="005B3827" w:rsidRPr="005B3827" w:rsidRDefault="005B3827" w:rsidP="005B3827">
      <w:pPr>
        <w:pStyle w:val="DDtext"/>
        <w:rPr>
          <w:lang w:eastAsia="en-US"/>
        </w:rPr>
      </w:pPr>
      <w:r w:rsidRPr="005B3827">
        <w:rPr>
          <w:lang w:eastAsia="en-US"/>
        </w:rPr>
        <w:t xml:space="preserve"> </w:t>
      </w:r>
    </w:p>
    <w:p w14:paraId="69BE32CB" w14:textId="28AD137C" w:rsidR="003A511C" w:rsidRDefault="005B3827" w:rsidP="005B3827">
      <w:pPr>
        <w:pStyle w:val="DDtext"/>
        <w:rPr>
          <w:lang w:eastAsia="en-US"/>
        </w:rPr>
      </w:pPr>
      <w:r w:rsidRPr="005B3827">
        <w:rPr>
          <w:lang w:eastAsia="en-US"/>
        </w:rPr>
        <w:t>Regarding noise, the pre-heat furnace incorporates two fans to circulate air through the preheat chambers. These will be housed in an insulated enclosure adjacent to the pre-heat furnace. Supplier information indicates the noise will not exceed 85dB.</w:t>
      </w:r>
    </w:p>
    <w:p w14:paraId="6420F6D4" w14:textId="30D3B1E6" w:rsidR="00D35BCB" w:rsidRDefault="009F70E5" w:rsidP="00D35BCB">
      <w:pPr>
        <w:pStyle w:val="Heading2"/>
      </w:pPr>
      <w:bookmarkStart w:id="12" w:name="_Toc54595757"/>
      <w:r>
        <w:t>Legislation</w:t>
      </w:r>
      <w:bookmarkEnd w:id="12"/>
    </w:p>
    <w:p w14:paraId="1B52A153" w14:textId="6256C725" w:rsidR="00D35BCB" w:rsidRDefault="009F70E5" w:rsidP="009F70E5">
      <w:pPr>
        <w:pStyle w:val="DDtext"/>
        <w:rPr>
          <w:lang w:eastAsia="en-US"/>
        </w:rPr>
      </w:pPr>
      <w:r w:rsidRPr="009F70E5">
        <w:rPr>
          <w:lang w:eastAsia="en-US"/>
        </w:rPr>
        <w:t>NRW is satisfied that this decision is compatible with its general purpose of pursuing the sustainable management of natural resources in relation to Wales and applying the principles of sustainable management of natural resources</w:t>
      </w:r>
    </w:p>
    <w:p w14:paraId="4BC80124" w14:textId="77777777" w:rsidR="009F70E5" w:rsidRDefault="009F70E5" w:rsidP="00D35BCB">
      <w:pPr>
        <w:pStyle w:val="DDtext"/>
      </w:pPr>
    </w:p>
    <w:p w14:paraId="3F264C13" w14:textId="122FB88F" w:rsidR="00D35BCB" w:rsidRPr="00D35BCB" w:rsidRDefault="00D35BCB" w:rsidP="00D35BCB">
      <w:pPr>
        <w:pStyle w:val="DDtext"/>
      </w:pPr>
      <w:r w:rsidRPr="00D35BCB">
        <w:t>All applicable European directives have been considered in the determination of the application.</w:t>
      </w:r>
    </w:p>
    <w:p w14:paraId="0DC7F154" w14:textId="77777777" w:rsidR="00D35BCB" w:rsidRDefault="00D35BCB" w:rsidP="00D35BCB">
      <w:pPr>
        <w:spacing w:before="60"/>
        <w:rPr>
          <w:rFonts w:cs="Arial"/>
          <w:color w:val="FF00FF"/>
          <w:szCs w:val="24"/>
        </w:rPr>
      </w:pPr>
    </w:p>
    <w:p w14:paraId="4A81D232" w14:textId="7169A838" w:rsidR="00D35BCB" w:rsidRDefault="00D35BCB" w:rsidP="0053202F">
      <w:pPr>
        <w:pStyle w:val="Heading2"/>
      </w:pPr>
      <w:bookmarkStart w:id="13" w:name="_Toc54595758"/>
      <w:r w:rsidRPr="00DA70FE">
        <w:t>The site</w:t>
      </w:r>
      <w:bookmarkEnd w:id="13"/>
    </w:p>
    <w:p w14:paraId="57A91461" w14:textId="4DFAADEC" w:rsidR="0025190D" w:rsidRPr="00DA70FE" w:rsidRDefault="0025190D" w:rsidP="0025190D">
      <w:pPr>
        <w:pStyle w:val="DDtext"/>
      </w:pPr>
      <w:r w:rsidRPr="00DA70FE">
        <w:t>The operator has provided a plan which we consider is satisfactory, showing the extent of the site of the facility</w:t>
      </w:r>
      <w:r w:rsidR="003A511C">
        <w:t>.</w:t>
      </w:r>
    </w:p>
    <w:p w14:paraId="0C7FAB47" w14:textId="77777777" w:rsidR="0025190D" w:rsidRPr="00DA70FE" w:rsidRDefault="0025190D" w:rsidP="0025190D">
      <w:pPr>
        <w:spacing w:before="60"/>
        <w:rPr>
          <w:rFonts w:cs="Arial"/>
          <w:szCs w:val="24"/>
        </w:rPr>
      </w:pPr>
    </w:p>
    <w:p w14:paraId="18DA74B3" w14:textId="77777777" w:rsidR="0025190D" w:rsidRPr="00DA70FE" w:rsidRDefault="0025190D" w:rsidP="0025190D">
      <w:pPr>
        <w:pStyle w:val="DDtext"/>
      </w:pPr>
      <w:r w:rsidRPr="00DA70FE">
        <w:t>A plan is included in the permit and the operator is required to carry on the permitted activities within the site boundary.</w:t>
      </w:r>
    </w:p>
    <w:p w14:paraId="750B903B" w14:textId="77777777" w:rsidR="0025190D" w:rsidRDefault="0025190D" w:rsidP="0025190D">
      <w:pPr>
        <w:rPr>
          <w:lang w:eastAsia="en-US"/>
        </w:rPr>
      </w:pPr>
    </w:p>
    <w:p w14:paraId="6F632672" w14:textId="77777777" w:rsidR="0053202F" w:rsidRPr="00DA70FE" w:rsidRDefault="0053202F" w:rsidP="0053202F">
      <w:pPr>
        <w:pStyle w:val="Heading3"/>
      </w:pPr>
      <w:bookmarkStart w:id="14" w:name="_Toc54595759"/>
      <w:r w:rsidRPr="00DA70FE">
        <w:t>Site condition report</w:t>
      </w:r>
      <w:bookmarkEnd w:id="14"/>
    </w:p>
    <w:p w14:paraId="08381A84" w14:textId="4B3DFFBB" w:rsidR="0053202F" w:rsidRPr="003A511C" w:rsidRDefault="003A511C" w:rsidP="003A511C">
      <w:pPr>
        <w:pStyle w:val="DDtext"/>
      </w:pPr>
      <w:r w:rsidRPr="003A511C">
        <w:t>The variation application does not to look increase the installation site boundary. No Site Condition Report required. N/A.</w:t>
      </w:r>
    </w:p>
    <w:p w14:paraId="038A6577" w14:textId="77777777" w:rsidR="0053202F" w:rsidRDefault="0053202F" w:rsidP="0025190D">
      <w:pPr>
        <w:rPr>
          <w:lang w:eastAsia="en-US"/>
        </w:rPr>
      </w:pPr>
    </w:p>
    <w:p w14:paraId="2890D6E7" w14:textId="579120B3" w:rsidR="0053202F" w:rsidRDefault="0053202F" w:rsidP="0053202F">
      <w:pPr>
        <w:pStyle w:val="Heading3"/>
      </w:pPr>
      <w:bookmarkStart w:id="15" w:name="_Toc54595760"/>
      <w:r w:rsidRPr="00DA70FE">
        <w:t>Biodiversity, Heritage, Landscape and Nature Conservation</w:t>
      </w:r>
      <w:bookmarkEnd w:id="15"/>
    </w:p>
    <w:p w14:paraId="18CB3C1C" w14:textId="77777777" w:rsidR="0053202F" w:rsidRDefault="0053202F" w:rsidP="0053202F">
      <w:pPr>
        <w:rPr>
          <w:lang w:eastAsia="en-US"/>
        </w:rPr>
      </w:pPr>
    </w:p>
    <w:p w14:paraId="3CDF540A" w14:textId="4FAC7BE1" w:rsidR="0053202F" w:rsidRDefault="0053202F" w:rsidP="0053202F">
      <w:pPr>
        <w:pStyle w:val="DDtext"/>
      </w:pPr>
      <w:r w:rsidRPr="00DA70FE">
        <w:t xml:space="preserve">The application is within the relevant distance criteria of a site of heritage, landscape or nature conservation, and/or protected species or </w:t>
      </w:r>
      <w:proofErr w:type="gramStart"/>
      <w:r w:rsidRPr="00DA70FE">
        <w:t>habitat .</w:t>
      </w:r>
      <w:proofErr w:type="gramEnd"/>
    </w:p>
    <w:p w14:paraId="271943BA" w14:textId="0F47FA02" w:rsidR="002E28EA" w:rsidRDefault="002E28EA" w:rsidP="0053202F">
      <w:pPr>
        <w:pStyle w:val="DDtext"/>
      </w:pPr>
    </w:p>
    <w:p w14:paraId="49B25197" w14:textId="6ECA9F92" w:rsidR="002E28EA" w:rsidRDefault="002E28EA" w:rsidP="002E28EA">
      <w:pPr>
        <w:pStyle w:val="DDtext"/>
      </w:pPr>
      <w:r w:rsidRPr="002E28EA">
        <w:lastRenderedPageBreak/>
        <w:t xml:space="preserve">European Protected Sites: Two SACs were identified within the 10km screening distance from the installation; River Dee and </w:t>
      </w:r>
      <w:proofErr w:type="spellStart"/>
      <w:r w:rsidRPr="002E28EA">
        <w:t>Bala</w:t>
      </w:r>
      <w:proofErr w:type="spellEnd"/>
      <w:r w:rsidRPr="002E28EA">
        <w:t xml:space="preserve"> Lake SAC – Approximately 3km away from installation and Johnstown’s Newt Site SAC approximately 6.7km away from the installation.</w:t>
      </w:r>
    </w:p>
    <w:p w14:paraId="2B3A7050" w14:textId="1D980A87" w:rsidR="002E28EA" w:rsidRDefault="002E28EA" w:rsidP="0053202F">
      <w:pPr>
        <w:pStyle w:val="DDtext"/>
      </w:pPr>
    </w:p>
    <w:p w14:paraId="6CD899A8" w14:textId="6A03D880" w:rsidR="002E28EA" w:rsidRDefault="002E28EA" w:rsidP="0053202F">
      <w:pPr>
        <w:pStyle w:val="DDtext"/>
      </w:pPr>
      <w:r>
        <w:t xml:space="preserve">There are no SSSI’s within 2km of the installation. There are </w:t>
      </w:r>
      <w:r w:rsidRPr="002E28EA">
        <w:t>the following non-statutory sites within the 2km:</w:t>
      </w:r>
    </w:p>
    <w:p w14:paraId="5D3194AC" w14:textId="77777777" w:rsidR="002E28EA" w:rsidRDefault="002E28EA" w:rsidP="002E28EA">
      <w:pPr>
        <w:pStyle w:val="Style3"/>
      </w:pPr>
    </w:p>
    <w:p w14:paraId="52E3EC19" w14:textId="1D3C1352" w:rsidR="002E28EA" w:rsidRDefault="002E28EA" w:rsidP="002E28EA">
      <w:pPr>
        <w:pStyle w:val="DDtext"/>
        <w:numPr>
          <w:ilvl w:val="0"/>
          <w:numId w:val="1"/>
        </w:numPr>
      </w:pPr>
      <w:r>
        <w:t xml:space="preserve">Local Wildlife Sites: </w:t>
      </w:r>
      <w:proofErr w:type="spellStart"/>
      <w:r>
        <w:t>Cefn</w:t>
      </w:r>
      <w:proofErr w:type="spellEnd"/>
      <w:r>
        <w:t xml:space="preserve"> Park, Peter’s Dingle and Wrexham Industrial Estate.</w:t>
      </w:r>
    </w:p>
    <w:p w14:paraId="47AB33FD" w14:textId="270666BC" w:rsidR="002E28EA" w:rsidRDefault="002E28EA" w:rsidP="002E28EA">
      <w:pPr>
        <w:pStyle w:val="DDtext"/>
        <w:numPr>
          <w:ilvl w:val="0"/>
          <w:numId w:val="1"/>
        </w:numPr>
      </w:pPr>
      <w:r>
        <w:t xml:space="preserve">Ancient </w:t>
      </w:r>
      <w:proofErr w:type="gramStart"/>
      <w:r>
        <w:t>Woodlands :</w:t>
      </w:r>
      <w:proofErr w:type="gramEnd"/>
      <w:r>
        <w:t xml:space="preserve"> Several Ancient Semi Natural Woodlands 1 and Several Restored Ancient Woodlands Site 2.</w:t>
      </w:r>
    </w:p>
    <w:p w14:paraId="3B9FFB69" w14:textId="037CBF11" w:rsidR="002E28EA" w:rsidRDefault="002E28EA" w:rsidP="002E28EA">
      <w:pPr>
        <w:pStyle w:val="DDtext"/>
      </w:pPr>
    </w:p>
    <w:p w14:paraId="0C829560" w14:textId="74DBA575" w:rsidR="002E28EA" w:rsidRDefault="002E28EA" w:rsidP="002E28EA">
      <w:pPr>
        <w:pStyle w:val="DDtext"/>
      </w:pPr>
      <w:r>
        <w:t>However, by referring to AQTAG14 it can be ruled that there are no site</w:t>
      </w:r>
      <w:r w:rsidR="00153FFB">
        <w:t>s</w:t>
      </w:r>
      <w:r>
        <w:t xml:space="preserve"> of heritage, landscape or nature conservation, and /or protected species or habitat within screening distance.</w:t>
      </w:r>
      <w:r w:rsidR="007B6B93">
        <w:t xml:space="preserve"> </w:t>
      </w:r>
    </w:p>
    <w:p w14:paraId="62E080AB" w14:textId="77777777" w:rsidR="002E28EA" w:rsidRDefault="002E28EA" w:rsidP="002E28EA"/>
    <w:p w14:paraId="187F241D" w14:textId="5B0B662F" w:rsidR="002E28EA" w:rsidRDefault="002E28EA" w:rsidP="005B3827">
      <w:pPr>
        <w:pStyle w:val="DDtext"/>
      </w:pPr>
      <w:r w:rsidRPr="005B0236">
        <w:t>AQTAG 14 is due to be altered to take into account of the various fuel types that fall into the MCP permits and also the standard rules requirements. It is believed that the revised AQTAG14, a natural gas fired</w:t>
      </w:r>
      <w:r w:rsidR="006A3194">
        <w:t xml:space="preserve"> burner</w:t>
      </w:r>
      <w:r w:rsidRPr="005B0236">
        <w:t xml:space="preserve"> 0.8MWth (800k</w:t>
      </w:r>
      <w:r w:rsidR="00FA178D">
        <w:t>w</w:t>
      </w:r>
      <w:r w:rsidRPr="005B0236">
        <w:t xml:space="preserve">th) has a screening distance of 500m. That </w:t>
      </w:r>
      <w:r w:rsidR="008E7819">
        <w:t xml:space="preserve">would </w:t>
      </w:r>
      <w:r w:rsidRPr="005B0236">
        <w:t>mean for designated sites there is no assessment required</w:t>
      </w:r>
      <w:r w:rsidR="008E7819">
        <w:t xml:space="preserve"> for this application</w:t>
      </w:r>
      <w:r w:rsidR="005B3827">
        <w:t xml:space="preserve">. </w:t>
      </w:r>
      <w:r>
        <w:t xml:space="preserve">As per existing AQTAG14 guidance, alone </w:t>
      </w:r>
      <w:r w:rsidR="00FB0B82">
        <w:t>a</w:t>
      </w:r>
      <w:r>
        <w:t xml:space="preserve"> b</w:t>
      </w:r>
      <w:r w:rsidR="00D76C4E">
        <w:t>urner</w:t>
      </w:r>
      <w:r w:rsidR="00FB0B82">
        <w:t xml:space="preserve"> </w:t>
      </w:r>
      <w:r>
        <w:t>(0.8MWth</w:t>
      </w:r>
      <w:r w:rsidR="00D76C4E">
        <w:t xml:space="preserve"> each</w:t>
      </w:r>
      <w:r>
        <w:t>) would have a screening distance of 0m. If looking at the site as a whole, so with the other combustion emissions on site this would be a</w:t>
      </w:r>
      <w:r w:rsidR="00FA178D">
        <w:t>n aggregated</w:t>
      </w:r>
      <w:r>
        <w:t xml:space="preserve"> value of </w:t>
      </w:r>
      <w:r w:rsidR="00D76C4E">
        <w:t>less than 20</w:t>
      </w:r>
      <w:r>
        <w:t>MWth which would equate to a screening distance of 500m for designated sites</w:t>
      </w:r>
      <w:r w:rsidR="00FA178D">
        <w:t>, as per the current guidance</w:t>
      </w:r>
      <w:r>
        <w:t>. There are no designated sites within 500m of the installation therefore no habitat assessment required.</w:t>
      </w:r>
      <w:r w:rsidR="005B3827">
        <w:t xml:space="preserve"> The nearest conservation site is the non-statutory site of Local Wildlife Sites over 700m away.</w:t>
      </w:r>
    </w:p>
    <w:p w14:paraId="2EE748B4" w14:textId="77777777" w:rsidR="005B3827" w:rsidRDefault="005B3827" w:rsidP="005B3827">
      <w:pPr>
        <w:pStyle w:val="DDtext"/>
      </w:pPr>
    </w:p>
    <w:p w14:paraId="60992DA5" w14:textId="77777777" w:rsidR="002E28EA" w:rsidRPr="005B0236" w:rsidRDefault="002E28EA" w:rsidP="002E28EA">
      <w:r>
        <w:rPr>
          <w:noProof/>
        </w:rPr>
        <w:drawing>
          <wp:inline distT="0" distB="0" distL="0" distR="0" wp14:anchorId="656BC86F" wp14:editId="72F53578">
            <wp:extent cx="4311748" cy="15711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355648" cy="1587162"/>
                    </a:xfrm>
                    <a:prstGeom prst="rect">
                      <a:avLst/>
                    </a:prstGeom>
                  </pic:spPr>
                </pic:pic>
              </a:graphicData>
            </a:graphic>
          </wp:inline>
        </w:drawing>
      </w:r>
    </w:p>
    <w:p w14:paraId="2621AB7C" w14:textId="77777777" w:rsidR="005B3827" w:rsidRDefault="005B3827" w:rsidP="00D76C4E">
      <w:pPr>
        <w:pStyle w:val="DDtext"/>
      </w:pPr>
    </w:p>
    <w:p w14:paraId="55BE4032" w14:textId="2EE543B9" w:rsidR="00D76C4E" w:rsidRDefault="00D76C4E" w:rsidP="00D76C4E">
      <w:pPr>
        <w:pStyle w:val="DDtext"/>
      </w:pPr>
      <w:r>
        <w:t>Each burner</w:t>
      </w:r>
      <w:r w:rsidR="002E28EA">
        <w:t xml:space="preserve"> </w:t>
      </w:r>
      <w:r w:rsidR="005B3827">
        <w:t xml:space="preserve">itself </w:t>
      </w:r>
      <w:r w:rsidR="002E28EA">
        <w:t>also</w:t>
      </w:r>
      <w:r w:rsidR="002E28EA" w:rsidRPr="005B0236">
        <w:t xml:space="preserve"> falls out of scope of MCPD and therefore will not be assessed further</w:t>
      </w:r>
      <w:r w:rsidR="002E28EA">
        <w:t>.</w:t>
      </w:r>
      <w:r>
        <w:t xml:space="preserve"> For MCP purposes we do not aggregate any units under 1 </w:t>
      </w:r>
      <w:proofErr w:type="spellStart"/>
      <w:r>
        <w:t>MWth</w:t>
      </w:r>
      <w:proofErr w:type="spellEnd"/>
      <w:r>
        <w:t xml:space="preserve"> input as they are not MCPs (MCP is only 1MWth – 50 </w:t>
      </w:r>
      <w:proofErr w:type="spellStart"/>
      <w:r>
        <w:t>MWth</w:t>
      </w:r>
      <w:proofErr w:type="spellEnd"/>
      <w:r>
        <w:t>). No further action required.</w:t>
      </w:r>
    </w:p>
    <w:p w14:paraId="00041A50" w14:textId="77777777" w:rsidR="00D76C4E" w:rsidRDefault="00D76C4E" w:rsidP="00D76C4E">
      <w:pPr>
        <w:rPr>
          <w:rFonts w:cs="Arial"/>
        </w:rPr>
      </w:pPr>
    </w:p>
    <w:p w14:paraId="1AA3B413" w14:textId="21EDA283" w:rsidR="00D76C4E" w:rsidRDefault="00D76C4E" w:rsidP="005B3827">
      <w:pPr>
        <w:pStyle w:val="DDtext"/>
      </w:pPr>
      <w:r>
        <w:t xml:space="preserve">These screening distances/approach </w:t>
      </w:r>
      <w:r w:rsidR="002E28EA">
        <w:t xml:space="preserve">has been deemed as a </w:t>
      </w:r>
      <w:proofErr w:type="gramStart"/>
      <w:r w:rsidR="002E28EA">
        <w:t>reasonable following discussions</w:t>
      </w:r>
      <w:proofErr w:type="gramEnd"/>
      <w:r w:rsidR="002E28EA">
        <w:t xml:space="preserve"> with A</w:t>
      </w:r>
      <w:r>
        <w:t xml:space="preserve">ir </w:t>
      </w:r>
      <w:r w:rsidR="002E28EA">
        <w:t>Q</w:t>
      </w:r>
      <w:r>
        <w:t>uality</w:t>
      </w:r>
      <w:r w:rsidR="002E28EA">
        <w:t xml:space="preserve"> specialists and Lead Permitting specialists.</w:t>
      </w:r>
      <w:r>
        <w:t xml:space="preserve"> </w:t>
      </w:r>
      <w:r w:rsidR="002E28EA" w:rsidRPr="005B3827">
        <w:t xml:space="preserve">The overall process contribution from the installation as a whole will increase slightly with the introduction of a new </w:t>
      </w:r>
      <w:r w:rsidR="005B3827" w:rsidRPr="005B3827">
        <w:t>auxiliary</w:t>
      </w:r>
      <w:r w:rsidR="002E28EA" w:rsidRPr="005B3827">
        <w:t xml:space="preserve"> gas burner</w:t>
      </w:r>
      <w:r>
        <w:t>s</w:t>
      </w:r>
      <w:r w:rsidR="002E28EA" w:rsidRPr="005B3827">
        <w:t xml:space="preserve">. However, the operation of </w:t>
      </w:r>
      <w:r>
        <w:t>a</w:t>
      </w:r>
      <w:r w:rsidR="002E28EA" w:rsidRPr="005B3827">
        <w:t xml:space="preserve"> burner is estimated to be a maximum of 4 hours a day or 1088 hours per year (as compared to the gas-fired burners in the melting furnace, holding furnace and homogeniser that operated for 6528 hours per year, based on 272 working days in 2019). </w:t>
      </w:r>
    </w:p>
    <w:p w14:paraId="528DB88C" w14:textId="77777777" w:rsidR="00D76C4E" w:rsidRDefault="00D76C4E" w:rsidP="005B3827">
      <w:pPr>
        <w:pStyle w:val="DDtext"/>
      </w:pPr>
    </w:p>
    <w:p w14:paraId="11FD2E55" w14:textId="5F5BF024" w:rsidR="002E28EA" w:rsidRPr="005B3827" w:rsidRDefault="002E28EA" w:rsidP="005B3827">
      <w:pPr>
        <w:pStyle w:val="DDtext"/>
      </w:pPr>
      <w:r w:rsidRPr="005B3827">
        <w:t xml:space="preserve">The existing emissions from the installation will already be firmly included within background levels. The permit was originally issued in 2002 which included emissions classed as combustion gases and the permit included the Emission Limit Values (ELV’s) for NOx which is the main gas of concern with natural gas </w:t>
      </w:r>
      <w:r w:rsidR="005B3827" w:rsidRPr="005B3827">
        <w:t>combustion</w:t>
      </w:r>
      <w:r w:rsidRPr="005B3827">
        <w:t xml:space="preserve"> plants. These ELV’s are not changing as part of this variation. </w:t>
      </w:r>
      <w:r w:rsidR="001D3868">
        <w:t>The inclusion of the new auxiliary gas burner</w:t>
      </w:r>
      <w:r w:rsidR="00FB0B82">
        <w:t>s</w:t>
      </w:r>
      <w:r w:rsidR="001D3868">
        <w:t xml:space="preserve"> will not significantly dilute other contaminants being emitted to air via the shared stack point as it is relatively small.</w:t>
      </w:r>
    </w:p>
    <w:p w14:paraId="38E738A3" w14:textId="77777777" w:rsidR="002E28EA" w:rsidRPr="005B3827" w:rsidRDefault="002E28EA" w:rsidP="005B3827">
      <w:pPr>
        <w:pStyle w:val="DDtext"/>
      </w:pPr>
    </w:p>
    <w:p w14:paraId="1974A32D" w14:textId="239439AE" w:rsidR="002E28EA" w:rsidRPr="005B3827" w:rsidRDefault="002E28EA" w:rsidP="005B3827">
      <w:pPr>
        <w:pStyle w:val="DDtext"/>
      </w:pPr>
      <w:r w:rsidRPr="005B3827">
        <w:t xml:space="preserve">As the addition of the </w:t>
      </w:r>
      <w:r w:rsidR="005B3827" w:rsidRPr="005B3827">
        <w:t>auxiliary</w:t>
      </w:r>
      <w:r w:rsidRPr="005B3827">
        <w:t xml:space="preserve"> b</w:t>
      </w:r>
      <w:r w:rsidR="00D76C4E">
        <w:t>urner</w:t>
      </w:r>
      <w:r w:rsidR="00FB0B82">
        <w:t>s</w:t>
      </w:r>
      <w:r w:rsidRPr="005B3827">
        <w:t xml:space="preserve"> for the pre-heater furnace is small (800kwth</w:t>
      </w:r>
      <w:r w:rsidR="00D76C4E">
        <w:t xml:space="preserve"> for each burner</w:t>
      </w:r>
      <w:r w:rsidR="00FB0B82">
        <w:t xml:space="preserve"> where one is only used at a time</w:t>
      </w:r>
      <w:r w:rsidRPr="005B3827">
        <w:t xml:space="preserve">), natural gas fired, it falls out of scope of the Medium Combustion Plant Directive and if this was a </w:t>
      </w:r>
      <w:r w:rsidR="00D76C4E">
        <w:t>burner</w:t>
      </w:r>
      <w:r w:rsidRPr="005B3827">
        <w:t xml:space="preserve"> operating on its own wouldn’t need to be permitted.</w:t>
      </w:r>
    </w:p>
    <w:p w14:paraId="2AA4C6A5" w14:textId="77777777" w:rsidR="002E28EA" w:rsidRPr="005B3827" w:rsidRDefault="002E28EA" w:rsidP="005B3827">
      <w:pPr>
        <w:pStyle w:val="DDtext"/>
      </w:pPr>
    </w:p>
    <w:p w14:paraId="0E6584DB" w14:textId="4C0157F9" w:rsidR="002E28EA" w:rsidRPr="005B3827" w:rsidRDefault="002E28EA" w:rsidP="005B3827">
      <w:pPr>
        <w:pStyle w:val="DDtext"/>
      </w:pPr>
      <w:r w:rsidRPr="005B3827">
        <w:t xml:space="preserve">Emissions from the preheat furnace will be ducted to the bag plants and released via stacks A1 and A12. These are already subject to monitoring requirements in the existing permit, as detailed in Table S3.1 of the permit. This includes continuous monitoring of particulate emissions using an MCERTS-certified CEM, and extractive sampling twice a year for all other parameters.  Periodic monitoring is undertaken by MCERTS-qualified personnel.  These additional emissions from the </w:t>
      </w:r>
      <w:r w:rsidR="005B3827" w:rsidRPr="005B3827">
        <w:t>relativity</w:t>
      </w:r>
      <w:r w:rsidRPr="005B3827">
        <w:t xml:space="preserve"> small b</w:t>
      </w:r>
      <w:r w:rsidR="008C03FA">
        <w:t>urners</w:t>
      </w:r>
      <w:r w:rsidRPr="005B3827">
        <w:t xml:space="preserve"> will remain within current ELV’s set on the permit. These Limits have already bee</w:t>
      </w:r>
      <w:r w:rsidR="005B3827">
        <w:t>n</w:t>
      </w:r>
      <w:r w:rsidRPr="005B3827">
        <w:t xml:space="preserve"> determined as acceptable through previous permit determinations and will </w:t>
      </w:r>
      <w:r w:rsidRPr="005B3827">
        <w:lastRenderedPageBreak/>
        <w:t>remain in force. There are no changes to ELV’s and following commissioning of the equipment, a monitoring exercise will be undertaken to measure the combined emissions from the furnaces and preheat chamber, as released to air from stacks A1 and A12.</w:t>
      </w:r>
      <w:r w:rsidR="008E7819">
        <w:t xml:space="preserve"> This is incorporated into the permit as Improvement Condition, IC31.</w:t>
      </w:r>
      <w:r w:rsidRPr="005B3827">
        <w:t xml:space="preserve"> It is thought that the combined releases would still remain below the current permit emission limit values for the combustion products of carbon monoxide and oxides of nitrogen. </w:t>
      </w:r>
    </w:p>
    <w:p w14:paraId="4A9DDCD2" w14:textId="77777777" w:rsidR="002E28EA" w:rsidRPr="005B3827" w:rsidRDefault="002E28EA" w:rsidP="005B3827">
      <w:pPr>
        <w:pStyle w:val="DDtext"/>
      </w:pPr>
    </w:p>
    <w:p w14:paraId="252D392F" w14:textId="3514FA19" w:rsidR="002E28EA" w:rsidRPr="005B3827" w:rsidRDefault="002E28EA" w:rsidP="005B3827">
      <w:pPr>
        <w:pStyle w:val="DDtext"/>
      </w:pPr>
      <w:r w:rsidRPr="005B3827">
        <w:t>Based on above,</w:t>
      </w:r>
      <w:r w:rsidR="00116AA0">
        <w:t xml:space="preserve"> </w:t>
      </w:r>
      <w:r w:rsidRPr="005B3827">
        <w:t>no further assessment has been provided or is required for impacts on the identified Ancient Woodlands/Local Wildlife Sites</w:t>
      </w:r>
      <w:r w:rsidR="005B3827">
        <w:t xml:space="preserve"> or European Sites</w:t>
      </w:r>
      <w:r w:rsidRPr="005B3827">
        <w:t xml:space="preserve"> as any impact should be insignificant and emissions from the site will remain within currently permitted ELV’s.</w:t>
      </w:r>
    </w:p>
    <w:p w14:paraId="52F79232" w14:textId="77777777" w:rsidR="002E28EA" w:rsidRPr="005B3827" w:rsidRDefault="002E28EA" w:rsidP="005B3827">
      <w:pPr>
        <w:pStyle w:val="DDtext"/>
      </w:pPr>
    </w:p>
    <w:p w14:paraId="7EB064FF" w14:textId="77777777" w:rsidR="002E28EA" w:rsidRPr="005B3827" w:rsidRDefault="002E28EA" w:rsidP="005B3827">
      <w:pPr>
        <w:pStyle w:val="DDtext"/>
      </w:pPr>
      <w:r w:rsidRPr="005B3827">
        <w:t xml:space="preserve">There is no pathway for any impact to SSSI’s as there are none within screening distance so no impacts. </w:t>
      </w:r>
    </w:p>
    <w:p w14:paraId="5A7F6717" w14:textId="77777777" w:rsidR="00A13E82" w:rsidRDefault="00A13E82" w:rsidP="0053202F">
      <w:pPr>
        <w:rPr>
          <w:rFonts w:cs="Arial"/>
          <w:color w:val="FF00FF"/>
          <w:szCs w:val="24"/>
        </w:rPr>
      </w:pPr>
    </w:p>
    <w:p w14:paraId="64A2BB50" w14:textId="63D1CF6C" w:rsidR="00A13E82" w:rsidRDefault="00A13E82" w:rsidP="00A13E82">
      <w:pPr>
        <w:pStyle w:val="Heading2"/>
      </w:pPr>
      <w:bookmarkStart w:id="16" w:name="_Toc54595761"/>
      <w:r w:rsidRPr="00DA70FE">
        <w:t>Environmental Risk Assessment</w:t>
      </w:r>
      <w:bookmarkEnd w:id="16"/>
      <w:r w:rsidRPr="00DA70FE">
        <w:t xml:space="preserve"> </w:t>
      </w:r>
    </w:p>
    <w:p w14:paraId="29AC9C56" w14:textId="77777777" w:rsidR="00A13E82" w:rsidRDefault="00A13E82" w:rsidP="00A13E82">
      <w:pPr>
        <w:rPr>
          <w:lang w:eastAsia="en-US"/>
        </w:rPr>
      </w:pPr>
    </w:p>
    <w:p w14:paraId="030F3C9A" w14:textId="3FE56242" w:rsidR="001A4276" w:rsidRDefault="001A4276" w:rsidP="001A4276">
      <w:pPr>
        <w:pStyle w:val="Heading3"/>
      </w:pPr>
      <w:bookmarkStart w:id="17" w:name="_Toc54595762"/>
      <w:r>
        <w:t>Air</w:t>
      </w:r>
      <w:r w:rsidR="005B3827">
        <w:t xml:space="preserve"> Quality</w:t>
      </w:r>
      <w:bookmarkEnd w:id="17"/>
    </w:p>
    <w:p w14:paraId="44390FC0" w14:textId="77777777" w:rsidR="001A4276" w:rsidRDefault="001A4276" w:rsidP="004533B1">
      <w:pPr>
        <w:pStyle w:val="OptionalText"/>
      </w:pPr>
    </w:p>
    <w:p w14:paraId="5C1E1523" w14:textId="77777777" w:rsidR="001A4276" w:rsidRDefault="001A4276" w:rsidP="004533B1">
      <w:pPr>
        <w:pStyle w:val="OptionalText"/>
        <w:rPr>
          <w:szCs w:val="24"/>
        </w:rPr>
      </w:pPr>
      <w:r>
        <w:t xml:space="preserve">The Applicant has assessed the Installation’s potential emissions to air against the relevant air quality standards, and the potential </w:t>
      </w:r>
      <w:r w:rsidRPr="006D56ED">
        <w:t>impact upon human he</w:t>
      </w:r>
      <w:r>
        <w:t xml:space="preserve">alth.  These assessments predict the potential effects on </w:t>
      </w:r>
      <w:r w:rsidRPr="006B7479">
        <w:t>local air quality from the Installation’s stack emission</w:t>
      </w:r>
      <w:r w:rsidRPr="0033374A">
        <w:rPr>
          <w:szCs w:val="24"/>
        </w:rPr>
        <w:t xml:space="preserve">. </w:t>
      </w:r>
    </w:p>
    <w:p w14:paraId="091DB822" w14:textId="72FC9519" w:rsidR="001A4276" w:rsidRDefault="001A4276" w:rsidP="004533B1">
      <w:pPr>
        <w:pStyle w:val="OptionalText"/>
      </w:pPr>
    </w:p>
    <w:p w14:paraId="1A8F7A30" w14:textId="77777777" w:rsidR="00501D4E" w:rsidRDefault="005B3827" w:rsidP="005B3827">
      <w:pPr>
        <w:pStyle w:val="DDtext"/>
      </w:pPr>
      <w:r w:rsidRPr="005B3827">
        <w:t xml:space="preserve">The operator </w:t>
      </w:r>
      <w:r>
        <w:t xml:space="preserve">assessed the </w:t>
      </w:r>
      <w:r w:rsidRPr="005B3827">
        <w:t xml:space="preserve">impacts to human health using the H1 tool. Using the </w:t>
      </w:r>
      <w:r>
        <w:t xml:space="preserve">currently </w:t>
      </w:r>
      <w:r w:rsidRPr="005B3827">
        <w:t>permit</w:t>
      </w:r>
      <w:r>
        <w:t>ted</w:t>
      </w:r>
      <w:r w:rsidRPr="005B3827">
        <w:t xml:space="preserve"> ELVs as inputs to H1, the results indicate that the statutory environmental quality standard for NO</w:t>
      </w:r>
      <w:r w:rsidRPr="005B3827">
        <w:rPr>
          <w:vertAlign w:val="subscript"/>
        </w:rPr>
        <w:t>2</w:t>
      </w:r>
      <w:r w:rsidRPr="005B3827">
        <w:t xml:space="preserve"> is not at risk of being breached due to additional emissions from the preheat furnace.  </w:t>
      </w:r>
    </w:p>
    <w:p w14:paraId="3419F3C0" w14:textId="77777777" w:rsidR="00501D4E" w:rsidRDefault="00501D4E" w:rsidP="005B3827">
      <w:pPr>
        <w:pStyle w:val="DDtext"/>
      </w:pPr>
    </w:p>
    <w:p w14:paraId="0C1FF150" w14:textId="77777777" w:rsidR="00501D4E" w:rsidRDefault="00501D4E" w:rsidP="00501D4E">
      <w:pPr>
        <w:pStyle w:val="DDtext"/>
      </w:pPr>
      <w:r>
        <w:t xml:space="preserve">Using permit emission limit values, the H1 assessment screens out the emissions of all parameters in both the long and short term, with the exception of nitrogen dioxide, which exceeds 1% of the long term EAL. With this value added to the background level the overall percentage of the EAL is 42.1%. </w:t>
      </w:r>
    </w:p>
    <w:p w14:paraId="40793BF7" w14:textId="77777777" w:rsidR="00501D4E" w:rsidRDefault="00501D4E" w:rsidP="00501D4E">
      <w:pPr>
        <w:pStyle w:val="DDtext"/>
      </w:pPr>
      <w:r>
        <w:lastRenderedPageBreak/>
        <w:t xml:space="preserve"> </w:t>
      </w:r>
    </w:p>
    <w:p w14:paraId="05FE4B86" w14:textId="5C81394F" w:rsidR="00501D4E" w:rsidRDefault="00501D4E" w:rsidP="00501D4E">
      <w:pPr>
        <w:pStyle w:val="DDtext"/>
      </w:pPr>
      <w:r>
        <w:t xml:space="preserve">For air impact screening, both </w:t>
      </w:r>
      <w:proofErr w:type="gramStart"/>
      <w:r>
        <w:t>long and short term</w:t>
      </w:r>
      <w:proofErr w:type="gramEnd"/>
      <w:r>
        <w:t xml:space="preserve"> results are below the relevant thresholds, above which detailed modelling may be required (70% for Long Term %PEC of EAL and 20% Short Term %PC of headroom). </w:t>
      </w:r>
    </w:p>
    <w:p w14:paraId="07A41086" w14:textId="77777777" w:rsidR="00501D4E" w:rsidRDefault="00501D4E" w:rsidP="00501D4E">
      <w:pPr>
        <w:pStyle w:val="DDtext"/>
      </w:pPr>
      <w:r>
        <w:t xml:space="preserve"> </w:t>
      </w:r>
    </w:p>
    <w:p w14:paraId="004D7274" w14:textId="42FCAFA2" w:rsidR="00501D4E" w:rsidRDefault="00501D4E" w:rsidP="00501D4E">
      <w:pPr>
        <w:pStyle w:val="DDtext"/>
      </w:pPr>
      <w:r>
        <w:t>When combined with the existing background concentration of NO</w:t>
      </w:r>
      <w:r w:rsidRPr="00501D4E">
        <w:rPr>
          <w:vertAlign w:val="subscript"/>
        </w:rPr>
        <w:t>2</w:t>
      </w:r>
      <w:r>
        <w:t>, the predicted environmental concentration is 42.1% of the long term EAL of 40μg/m</w:t>
      </w:r>
      <w:r w:rsidRPr="00501D4E">
        <w:rPr>
          <w:vertAlign w:val="superscript"/>
        </w:rPr>
        <w:t>3</w:t>
      </w:r>
      <w:r>
        <w:t xml:space="preserve">. This leaves “headroom” before the EAL is at risk of being breached. According to H1 Guidance, detailed dispersion modelling may be required if the PEC is 70% of the EAL, which is not the case. The </w:t>
      </w:r>
      <w:proofErr w:type="gramStart"/>
      <w:r>
        <w:t>short term</w:t>
      </w:r>
      <w:proofErr w:type="gramEnd"/>
      <w:r>
        <w:t xml:space="preserve"> result is well below the threshold for %PC of headroom.</w:t>
      </w:r>
    </w:p>
    <w:p w14:paraId="6103C648" w14:textId="72EAAC7F" w:rsidR="00501D4E" w:rsidRDefault="00501D4E" w:rsidP="005B3827">
      <w:pPr>
        <w:pStyle w:val="DDtext"/>
      </w:pPr>
    </w:p>
    <w:p w14:paraId="2FE86B64" w14:textId="20B26572" w:rsidR="00501D4E" w:rsidRDefault="00501D4E" w:rsidP="005B3827">
      <w:pPr>
        <w:pStyle w:val="DDtext"/>
      </w:pPr>
      <w:r>
        <w:t xml:space="preserve">The H1 tool </w:t>
      </w:r>
      <w:r w:rsidRPr="00501D4E">
        <w:t xml:space="preserve">gives you ‘worst case’ estimates. </w:t>
      </w:r>
      <w:proofErr w:type="gramStart"/>
      <w:r w:rsidRPr="00501D4E">
        <w:t>So</w:t>
      </w:r>
      <w:proofErr w:type="gramEnd"/>
      <w:r w:rsidRPr="00501D4E">
        <w:t xml:space="preserve"> the figures </w:t>
      </w:r>
      <w:r>
        <w:t>provided</w:t>
      </w:r>
      <w:r w:rsidRPr="00501D4E">
        <w:t xml:space="preserve"> may be higher than if you calculate </w:t>
      </w:r>
      <w:r>
        <w:t>PCs</w:t>
      </w:r>
      <w:r w:rsidRPr="00501D4E">
        <w:t xml:space="preserve"> or </w:t>
      </w:r>
      <w:r>
        <w:t>PECs</w:t>
      </w:r>
      <w:r w:rsidRPr="00501D4E">
        <w:t xml:space="preserve"> using other methods, for example dispersion modelling software (which analyses how air pollutants disperse in the atmosphere).</w:t>
      </w:r>
      <w:r w:rsidR="00ED3720">
        <w:t xml:space="preserve"> Assessment is based on one burner operating and thus limited to only operating one burner as detailed in Table S1.1 of the permit. Burners will not operate simultaneously. </w:t>
      </w:r>
    </w:p>
    <w:p w14:paraId="26A95815" w14:textId="77777777" w:rsidR="00501D4E" w:rsidRDefault="00501D4E" w:rsidP="005B3827">
      <w:pPr>
        <w:pStyle w:val="DDtext"/>
      </w:pPr>
    </w:p>
    <w:p w14:paraId="5801B779" w14:textId="68DAA2ED" w:rsidR="005B3827" w:rsidRPr="005B3827" w:rsidRDefault="005B3827" w:rsidP="005B3827">
      <w:pPr>
        <w:pStyle w:val="DDtext"/>
      </w:pPr>
      <w:r w:rsidRPr="005B3827">
        <w:t>It is thought that any further detailed modelling is likely to show a lower process contribution than that calculated in H1, and there are no air quality management areas nearby, or sensitive human or ecological receptors that will be impacted from the additional contribution of NOx to air.</w:t>
      </w:r>
    </w:p>
    <w:p w14:paraId="5EF0D3FF" w14:textId="77777777" w:rsidR="005B3827" w:rsidRDefault="005B3827" w:rsidP="004533B1">
      <w:pPr>
        <w:pStyle w:val="OptionalText"/>
      </w:pPr>
    </w:p>
    <w:p w14:paraId="5A07C844" w14:textId="00CB52F3" w:rsidR="001A4276" w:rsidRDefault="001A4276" w:rsidP="001201E4">
      <w:pPr>
        <w:pStyle w:val="DDtext"/>
      </w:pPr>
      <w:r w:rsidRPr="001A4276">
        <w:t xml:space="preserve">We are in agreement </w:t>
      </w:r>
      <w:r w:rsidR="00F219AC">
        <w:t>that</w:t>
      </w:r>
      <w:r w:rsidRPr="001A4276">
        <w:t xml:space="preserve"> this approach</w:t>
      </w:r>
      <w:r w:rsidR="00541B3D">
        <w:t xml:space="preserve"> is</w:t>
      </w:r>
      <w:r w:rsidRPr="001A4276">
        <w:t xml:space="preserve"> reasonably precautionary.</w:t>
      </w:r>
    </w:p>
    <w:p w14:paraId="4267CC2B" w14:textId="77777777" w:rsidR="001A4276" w:rsidRDefault="001A4276" w:rsidP="001A4276">
      <w:pPr>
        <w:rPr>
          <w:lang w:eastAsia="en-US"/>
        </w:rPr>
      </w:pPr>
    </w:p>
    <w:p w14:paraId="3A63232F" w14:textId="77777777" w:rsidR="00A001A7" w:rsidRDefault="00A001A7" w:rsidP="00A001A7">
      <w:pPr>
        <w:pStyle w:val="Heading4"/>
      </w:pPr>
      <w:r w:rsidRPr="00DA70FE">
        <w:t>Emission limits</w:t>
      </w:r>
    </w:p>
    <w:p w14:paraId="084984D7" w14:textId="77777777" w:rsidR="00A001A7" w:rsidRDefault="00A001A7" w:rsidP="00A001A7">
      <w:pPr>
        <w:rPr>
          <w:lang w:eastAsia="en-US"/>
        </w:rPr>
      </w:pPr>
    </w:p>
    <w:p w14:paraId="0779D984" w14:textId="45DC969E" w:rsidR="00A001A7" w:rsidRPr="00DA70FE" w:rsidRDefault="00A001A7" w:rsidP="00A001A7">
      <w:pPr>
        <w:pStyle w:val="DDtext"/>
      </w:pPr>
      <w:r w:rsidRPr="00DA70FE">
        <w:t xml:space="preserve">We have decided that emission limits should </w:t>
      </w:r>
      <w:r w:rsidR="001201E4">
        <w:t>remain as they are f</w:t>
      </w:r>
      <w:r w:rsidRPr="00DA70FE">
        <w:t xml:space="preserve">or the parameters listed in the permit.   </w:t>
      </w:r>
    </w:p>
    <w:p w14:paraId="689A5346" w14:textId="77777777" w:rsidR="00A001A7" w:rsidRPr="00DA70FE" w:rsidRDefault="00A001A7" w:rsidP="00A001A7">
      <w:pPr>
        <w:spacing w:before="60"/>
        <w:rPr>
          <w:rFonts w:cs="Arial"/>
          <w:szCs w:val="24"/>
        </w:rPr>
      </w:pPr>
    </w:p>
    <w:p w14:paraId="6AE4A115" w14:textId="6F0AFF92" w:rsidR="00A001A7" w:rsidRDefault="001201E4" w:rsidP="001201E4">
      <w:pPr>
        <w:pStyle w:val="DDtext"/>
      </w:pPr>
      <w:r>
        <w:t xml:space="preserve">As detailed above, the emissions from the pre-heater furnace including </w:t>
      </w:r>
      <w:r w:rsidR="00ED3720">
        <w:t>auxiliary</w:t>
      </w:r>
      <w:r>
        <w:t xml:space="preserve"> gas </w:t>
      </w:r>
      <w:r w:rsidR="00ED3720">
        <w:t>burners</w:t>
      </w:r>
      <w:r>
        <w:t xml:space="preserve"> will be emitted via existing emission points which have Emission Limit Values already set and are environmentally protective. </w:t>
      </w:r>
    </w:p>
    <w:p w14:paraId="16B7FF9A" w14:textId="2BD56DB8" w:rsidR="001201E4" w:rsidRDefault="001201E4" w:rsidP="001201E4">
      <w:pPr>
        <w:pStyle w:val="DDtext"/>
      </w:pPr>
    </w:p>
    <w:p w14:paraId="35DEFD38" w14:textId="010B41A5" w:rsidR="001201E4" w:rsidRPr="00DA70FE" w:rsidRDefault="001201E4" w:rsidP="001201E4">
      <w:pPr>
        <w:pStyle w:val="DDtext"/>
      </w:pPr>
      <w:r w:rsidRPr="001201E4">
        <w:t xml:space="preserve">Following commissioning of the equipment, a monitoring exercise will be undertaken to measure the combined emissions from the furnaces and preheat chamber, as </w:t>
      </w:r>
      <w:r w:rsidRPr="001201E4">
        <w:lastRenderedPageBreak/>
        <w:t>released to air from stacks A1 and A12. It is thought that the combined releases would still remain below the current permit emission limit values for the combustion products of carbon monoxide and oxides of nitrogen. Average emissions over the last five years from stacks A1 and A12 are 39% and 25%, respectively of the permit ELVs for CO and NOx. Ongoing periodic monitoring would continue to measure the combined releases of the furnaces and preheat chamber via A1 and A12.</w:t>
      </w:r>
      <w:r>
        <w:t xml:space="preserve"> An Improvement Condition has been set in the permit to verify this assumption.</w:t>
      </w:r>
    </w:p>
    <w:p w14:paraId="23A2DF74" w14:textId="77777777" w:rsidR="00A001A7" w:rsidRDefault="00A001A7" w:rsidP="001A4276">
      <w:pPr>
        <w:rPr>
          <w:lang w:eastAsia="en-US"/>
        </w:rPr>
      </w:pPr>
    </w:p>
    <w:p w14:paraId="47C9DD54" w14:textId="77777777" w:rsidR="001A4276" w:rsidRDefault="001A4276" w:rsidP="001A4276">
      <w:pPr>
        <w:rPr>
          <w:lang w:eastAsia="en-US"/>
        </w:rPr>
      </w:pPr>
    </w:p>
    <w:p w14:paraId="263CB29D" w14:textId="005388C2" w:rsidR="001A4276" w:rsidRDefault="001A4276" w:rsidP="001A4276">
      <w:pPr>
        <w:pStyle w:val="Heading3"/>
      </w:pPr>
      <w:bookmarkStart w:id="18" w:name="_Toc54595763"/>
      <w:r>
        <w:t>Water</w:t>
      </w:r>
      <w:bookmarkEnd w:id="18"/>
    </w:p>
    <w:p w14:paraId="1FB23765" w14:textId="77777777" w:rsidR="001A4276" w:rsidRDefault="001A4276" w:rsidP="001A4276">
      <w:pPr>
        <w:rPr>
          <w:lang w:eastAsia="en-US"/>
        </w:rPr>
      </w:pPr>
    </w:p>
    <w:p w14:paraId="25ABBA70" w14:textId="22D86264" w:rsidR="001A4276" w:rsidRDefault="001201E4" w:rsidP="001201E4">
      <w:pPr>
        <w:pStyle w:val="DDtext"/>
      </w:pPr>
      <w:r>
        <w:t>No emissions to water associated with this variation.</w:t>
      </w:r>
    </w:p>
    <w:p w14:paraId="2A255D0E" w14:textId="77777777" w:rsidR="001A4276" w:rsidRDefault="001A4276" w:rsidP="001A4276">
      <w:pPr>
        <w:rPr>
          <w:lang w:eastAsia="en-US"/>
        </w:rPr>
      </w:pPr>
    </w:p>
    <w:p w14:paraId="1303EB06" w14:textId="77777777" w:rsidR="001A4276" w:rsidRDefault="001A4276" w:rsidP="001A4276">
      <w:pPr>
        <w:rPr>
          <w:lang w:eastAsia="en-US"/>
        </w:rPr>
      </w:pPr>
    </w:p>
    <w:p w14:paraId="185BF211" w14:textId="662BDF61" w:rsidR="001A4276" w:rsidRDefault="001A4276" w:rsidP="001A4276">
      <w:pPr>
        <w:pStyle w:val="Heading3"/>
      </w:pPr>
      <w:bookmarkStart w:id="19" w:name="_Toc54595764"/>
      <w:r>
        <w:t>Soil</w:t>
      </w:r>
      <w:bookmarkEnd w:id="19"/>
    </w:p>
    <w:p w14:paraId="11641316" w14:textId="77777777" w:rsidR="00D324A6" w:rsidRDefault="00D324A6" w:rsidP="00D324A6">
      <w:pPr>
        <w:rPr>
          <w:lang w:eastAsia="en-US"/>
        </w:rPr>
      </w:pPr>
    </w:p>
    <w:p w14:paraId="080388B1" w14:textId="5D26E056" w:rsidR="001201E4" w:rsidRDefault="001201E4" w:rsidP="001201E4">
      <w:pPr>
        <w:pStyle w:val="DDtext"/>
      </w:pPr>
      <w:r>
        <w:t>No emissions to ground/land associated with this variation.</w:t>
      </w:r>
    </w:p>
    <w:p w14:paraId="04AC383A" w14:textId="77777777" w:rsidR="001A4276" w:rsidRDefault="001A4276" w:rsidP="001A4276">
      <w:pPr>
        <w:rPr>
          <w:lang w:eastAsia="en-US"/>
        </w:rPr>
      </w:pPr>
    </w:p>
    <w:p w14:paraId="5DF5C277" w14:textId="706DE802" w:rsidR="001A4276" w:rsidRDefault="001A4276" w:rsidP="001A4276">
      <w:pPr>
        <w:pStyle w:val="Heading3"/>
      </w:pPr>
      <w:bookmarkStart w:id="20" w:name="_Toc54595765"/>
      <w:r>
        <w:t>Odour</w:t>
      </w:r>
      <w:bookmarkEnd w:id="20"/>
      <w:r>
        <w:t xml:space="preserve"> </w:t>
      </w:r>
    </w:p>
    <w:p w14:paraId="11DDD219" w14:textId="77777777" w:rsidR="00D324A6" w:rsidRDefault="00D324A6" w:rsidP="00D324A6">
      <w:pPr>
        <w:rPr>
          <w:lang w:eastAsia="en-US"/>
        </w:rPr>
      </w:pPr>
    </w:p>
    <w:p w14:paraId="703B8995" w14:textId="6A0E0B1B" w:rsidR="00023A44" w:rsidRPr="00023A44" w:rsidRDefault="00023A44" w:rsidP="00023A44">
      <w:pPr>
        <w:pStyle w:val="DDtext"/>
      </w:pPr>
      <w:r w:rsidRPr="00023A44">
        <w:t xml:space="preserve">It is considered unlikely that off-site pollution due to odour will occur as a result of the operation of the installation. </w:t>
      </w:r>
      <w:r>
        <w:t>The variation is to add a pre-heat furnace which includes a natural gas fired b</w:t>
      </w:r>
      <w:r w:rsidR="00ED3720">
        <w:t>urner</w:t>
      </w:r>
      <w:r>
        <w:t>, odour is not expected to be an issue.</w:t>
      </w:r>
    </w:p>
    <w:p w14:paraId="371A1570" w14:textId="77777777" w:rsidR="00023A44" w:rsidRPr="00023A44" w:rsidRDefault="00023A44" w:rsidP="00023A44">
      <w:pPr>
        <w:pStyle w:val="DDtext"/>
      </w:pPr>
      <w:r w:rsidRPr="00023A44">
        <w:t xml:space="preserve"> </w:t>
      </w:r>
    </w:p>
    <w:p w14:paraId="436A8605" w14:textId="55147484" w:rsidR="001A4276" w:rsidRDefault="00023A44" w:rsidP="00023A44">
      <w:pPr>
        <w:pStyle w:val="DDtext"/>
      </w:pPr>
      <w:r w:rsidRPr="00023A44">
        <w:t>As we are satisfied that appropriate measures will be in place to prevent or, where that is not practicable to minimise odour and prevent pollution from odour, we consider that no odour management plan is needed and Permit conditions 3.</w:t>
      </w:r>
      <w:r>
        <w:t>3</w:t>
      </w:r>
      <w:r w:rsidRPr="00023A44">
        <w:t>.1 and 3.</w:t>
      </w:r>
      <w:r>
        <w:t>3</w:t>
      </w:r>
      <w:r w:rsidRPr="00023A44">
        <w:t>.2 are sufficiently protective.</w:t>
      </w:r>
    </w:p>
    <w:p w14:paraId="75EB2C91" w14:textId="77777777" w:rsidR="00023A44" w:rsidRDefault="00023A44" w:rsidP="00023A44">
      <w:pPr>
        <w:pStyle w:val="DDtext"/>
      </w:pPr>
    </w:p>
    <w:p w14:paraId="68A439DE" w14:textId="70E65393" w:rsidR="001A4276" w:rsidRDefault="001A4276" w:rsidP="001A4276">
      <w:pPr>
        <w:pStyle w:val="Heading3"/>
      </w:pPr>
      <w:bookmarkStart w:id="21" w:name="_Toc54595766"/>
      <w:r>
        <w:t>Noise</w:t>
      </w:r>
      <w:bookmarkEnd w:id="21"/>
    </w:p>
    <w:p w14:paraId="4F211714" w14:textId="77777777" w:rsidR="001A4276" w:rsidRDefault="001A4276" w:rsidP="001A4276">
      <w:pPr>
        <w:rPr>
          <w:lang w:eastAsia="en-US"/>
        </w:rPr>
      </w:pPr>
    </w:p>
    <w:p w14:paraId="27E4A33B" w14:textId="77777777" w:rsidR="00D324A6" w:rsidRDefault="00D324A6" w:rsidP="001A4276">
      <w:pPr>
        <w:rPr>
          <w:lang w:eastAsia="en-US"/>
        </w:rPr>
      </w:pPr>
    </w:p>
    <w:p w14:paraId="54EEA968" w14:textId="77777777" w:rsidR="00023A44" w:rsidRPr="00023A44" w:rsidRDefault="00023A44" w:rsidP="00023A44">
      <w:pPr>
        <w:pStyle w:val="DDtext"/>
      </w:pPr>
      <w:r w:rsidRPr="00023A44">
        <w:t xml:space="preserve">Regarding noise, the pre-heat furnace incorporates two fans to circulate air through the preheat chambers. These will be housed in an insulated enclosure adjacent to the pre-heat furnace. Supplier information indicates the noise will not exceed 85dB. </w:t>
      </w:r>
    </w:p>
    <w:p w14:paraId="28842BCC" w14:textId="05939341" w:rsidR="00023A44" w:rsidRPr="00023A44" w:rsidRDefault="00023A44" w:rsidP="00023A44">
      <w:pPr>
        <w:pStyle w:val="DDtext"/>
      </w:pPr>
      <w:r w:rsidRPr="00023A44">
        <w:t xml:space="preserve">  </w:t>
      </w:r>
    </w:p>
    <w:p w14:paraId="7190EAF4" w14:textId="4FC729FA" w:rsidR="00023A44" w:rsidRPr="00023A44" w:rsidRDefault="00541B3D" w:rsidP="00023A44">
      <w:pPr>
        <w:pStyle w:val="DDtext"/>
      </w:pPr>
      <w:r>
        <w:t xml:space="preserve">The operator has detailed that </w:t>
      </w:r>
      <w:r w:rsidR="00023A44" w:rsidRPr="00023A44">
        <w:t xml:space="preserve">Internal and external (environmental) noise monitoring will take place following installation of the pre-heat furnace. This will serve to update </w:t>
      </w:r>
      <w:r w:rsidR="00023A44" w:rsidRPr="00023A44">
        <w:lastRenderedPageBreak/>
        <w:t xml:space="preserve">personal noise exposure data and environmental noise data.  </w:t>
      </w:r>
      <w:r w:rsidR="00023A44">
        <w:t>There is an Improvement Condition</w:t>
      </w:r>
      <w:r>
        <w:t xml:space="preserve"> (IC32)</w:t>
      </w:r>
      <w:r w:rsidR="00023A44">
        <w:t xml:space="preserve"> listed in the permit to carry out Noise monitoring to conclude no noise impacts.</w:t>
      </w:r>
      <w:r>
        <w:t xml:space="preserve"> M</w:t>
      </w:r>
      <w:r w:rsidRPr="00541B3D">
        <w:t>onitoring is undertaken by an experienced contractor, using a standard methodology (BS4142). It is proposed to conduct this survey soon after commissioning of the new equipment</w:t>
      </w:r>
      <w:r>
        <w:t>.</w:t>
      </w:r>
    </w:p>
    <w:p w14:paraId="09ED88A4" w14:textId="77777777" w:rsidR="00541B3D" w:rsidRDefault="00541B3D" w:rsidP="001A4276">
      <w:pPr>
        <w:pStyle w:val="Heading3"/>
      </w:pPr>
    </w:p>
    <w:p w14:paraId="009491C8" w14:textId="5073EA3A" w:rsidR="001A4276" w:rsidRDefault="001A4276" w:rsidP="001A4276">
      <w:pPr>
        <w:pStyle w:val="Heading3"/>
      </w:pPr>
      <w:bookmarkStart w:id="22" w:name="_Toc54595767"/>
      <w:r>
        <w:t>Fugitive emissions</w:t>
      </w:r>
      <w:bookmarkEnd w:id="22"/>
    </w:p>
    <w:p w14:paraId="03E4024B" w14:textId="77777777" w:rsidR="001A4276" w:rsidRDefault="001A4276" w:rsidP="001A4276">
      <w:pPr>
        <w:pStyle w:val="DraftingNoteText"/>
      </w:pPr>
    </w:p>
    <w:p w14:paraId="5D38B77F" w14:textId="532D3EA5" w:rsidR="001A4276" w:rsidRDefault="001A4276" w:rsidP="004533B1">
      <w:pPr>
        <w:pStyle w:val="OptionalText"/>
      </w:pPr>
      <w:r w:rsidRPr="00236235">
        <w:t>Based upon the information in the application we are satisfied that the appropriate measures will be in place to prevent or where that is not practicable to minimise fugitive emissions and to prevent pollution from fugitive emissions</w:t>
      </w:r>
      <w:r>
        <w:t>.</w:t>
      </w:r>
    </w:p>
    <w:p w14:paraId="09C9325C" w14:textId="08757F5D" w:rsidR="00130017" w:rsidRDefault="00130017" w:rsidP="004533B1">
      <w:pPr>
        <w:pStyle w:val="OptionalText"/>
      </w:pPr>
      <w:r>
        <w:t>The installation of a pre-heat furnace and a small natural gas fired b</w:t>
      </w:r>
      <w:r w:rsidR="008C03FA">
        <w:t>urner</w:t>
      </w:r>
      <w:r w:rsidR="00FB0B82">
        <w:t>s</w:t>
      </w:r>
      <w:r>
        <w:t xml:space="preserve"> is not likely to give rise to fugitive emissions.</w:t>
      </w:r>
    </w:p>
    <w:p w14:paraId="0C55B2F8" w14:textId="77777777" w:rsidR="00A001A7" w:rsidRDefault="00A001A7" w:rsidP="00A001A7">
      <w:pPr>
        <w:rPr>
          <w:lang w:eastAsia="en-US"/>
        </w:rPr>
      </w:pPr>
    </w:p>
    <w:p w14:paraId="4EBF9B93" w14:textId="77777777" w:rsidR="00A001A7" w:rsidRPr="00DA70FE" w:rsidRDefault="00A001A7" w:rsidP="00A001A7">
      <w:pPr>
        <w:pStyle w:val="Heading3"/>
      </w:pPr>
      <w:bookmarkStart w:id="23" w:name="_Toc54595768"/>
      <w:r w:rsidRPr="00DA70FE">
        <w:t>Monitoring</w:t>
      </w:r>
      <w:bookmarkEnd w:id="23"/>
    </w:p>
    <w:p w14:paraId="14AB3951" w14:textId="77777777" w:rsidR="00A001A7" w:rsidRPr="00DA70FE" w:rsidRDefault="00A001A7" w:rsidP="00A001A7">
      <w:pPr>
        <w:pStyle w:val="DDtext"/>
      </w:pPr>
      <w:r w:rsidRPr="00DA70FE">
        <w:t xml:space="preserve">We have decided that monitoring should be carried out for the parameters listed in the permit, using the methods detailed and to the frequencies specified.   </w:t>
      </w:r>
    </w:p>
    <w:p w14:paraId="07C29798" w14:textId="77777777" w:rsidR="00A001A7" w:rsidRPr="00DA70FE" w:rsidRDefault="00A001A7" w:rsidP="00A001A7">
      <w:pPr>
        <w:spacing w:before="60"/>
        <w:rPr>
          <w:rFonts w:cs="Arial"/>
          <w:szCs w:val="24"/>
        </w:rPr>
      </w:pPr>
    </w:p>
    <w:p w14:paraId="261F7731" w14:textId="1EA3BA46" w:rsidR="00A001A7" w:rsidRPr="00130017" w:rsidRDefault="00130017" w:rsidP="00A001A7">
      <w:pPr>
        <w:pStyle w:val="DraftingNoteText"/>
        <w:rPr>
          <w:i w:val="0"/>
          <w:color w:val="auto"/>
        </w:rPr>
      </w:pPr>
      <w:r w:rsidRPr="00130017">
        <w:rPr>
          <w:i w:val="0"/>
          <w:color w:val="auto"/>
        </w:rPr>
        <w:t>As emissions from the new equipment are via existing emission points, Emissions Limit Values and Monitoring requirements will remain the same</w:t>
      </w:r>
      <w:r w:rsidR="00541B3D">
        <w:rPr>
          <w:i w:val="0"/>
          <w:color w:val="auto"/>
        </w:rPr>
        <w:t xml:space="preserve"> for emission points A1 and A12</w:t>
      </w:r>
      <w:r w:rsidRPr="00130017">
        <w:rPr>
          <w:i w:val="0"/>
          <w:color w:val="auto"/>
        </w:rPr>
        <w:t xml:space="preserve">. There is an IC to carry out monitoring to confirm assumptions that the addition of the pre-heat furnace and gas </w:t>
      </w:r>
      <w:r w:rsidR="00541B3D" w:rsidRPr="00130017">
        <w:rPr>
          <w:i w:val="0"/>
          <w:color w:val="auto"/>
        </w:rPr>
        <w:t>b</w:t>
      </w:r>
      <w:r w:rsidR="008C03FA">
        <w:rPr>
          <w:i w:val="0"/>
          <w:color w:val="auto"/>
        </w:rPr>
        <w:t>urner</w:t>
      </w:r>
      <w:r w:rsidR="00FB0B82">
        <w:rPr>
          <w:i w:val="0"/>
          <w:color w:val="auto"/>
        </w:rPr>
        <w:t>s</w:t>
      </w:r>
      <w:r w:rsidRPr="00130017">
        <w:rPr>
          <w:i w:val="0"/>
          <w:color w:val="auto"/>
        </w:rPr>
        <w:t xml:space="preserve"> will not breech ELV’s when combined with existing emissions via those emission points.</w:t>
      </w:r>
    </w:p>
    <w:p w14:paraId="202C4EBF" w14:textId="77777777" w:rsidR="00A001A7" w:rsidRPr="00DA70FE" w:rsidRDefault="00A001A7" w:rsidP="00A001A7">
      <w:pPr>
        <w:spacing w:before="60"/>
        <w:rPr>
          <w:rFonts w:cs="Arial"/>
          <w:color w:val="FF00FF"/>
          <w:szCs w:val="24"/>
        </w:rPr>
      </w:pPr>
    </w:p>
    <w:p w14:paraId="5ED5B4D9" w14:textId="126BBBBC" w:rsidR="00A001A7" w:rsidRPr="00DA70FE" w:rsidRDefault="00A001A7" w:rsidP="004533B1">
      <w:pPr>
        <w:pStyle w:val="OptionalText"/>
      </w:pPr>
      <w:r w:rsidRPr="00DA70FE">
        <w:t xml:space="preserve">Based on the information in the application we are satisfied that the operator’s techniques, personnel and equipment have either MCERTS certification or MCERTS accreditation as appropriate.  </w:t>
      </w:r>
    </w:p>
    <w:p w14:paraId="361F505C" w14:textId="77777777" w:rsidR="00A001A7" w:rsidRDefault="00A001A7" w:rsidP="00A001A7">
      <w:pPr>
        <w:rPr>
          <w:lang w:eastAsia="en-US"/>
        </w:rPr>
      </w:pPr>
    </w:p>
    <w:p w14:paraId="6A5AB129" w14:textId="77777777" w:rsidR="00A001A7" w:rsidRDefault="00A001A7" w:rsidP="00A001A7">
      <w:pPr>
        <w:pStyle w:val="Heading3"/>
      </w:pPr>
      <w:bookmarkStart w:id="24" w:name="_Toc54595769"/>
      <w:r w:rsidRPr="00DA70FE">
        <w:t>Reporting</w:t>
      </w:r>
      <w:bookmarkEnd w:id="24"/>
    </w:p>
    <w:p w14:paraId="4BAD2E8A" w14:textId="38C5C442" w:rsidR="00A001A7" w:rsidRPr="00DA70FE" w:rsidRDefault="00A001A7" w:rsidP="00A001A7">
      <w:pPr>
        <w:pStyle w:val="DDtext"/>
      </w:pPr>
      <w:r w:rsidRPr="00DA70FE">
        <w:t>We have specified reporting in the permit.</w:t>
      </w:r>
      <w:r w:rsidR="00130017">
        <w:t xml:space="preserve"> Reporting measures will remain the same but with the addition of reporting on annual production/treatment of aluminium ingot.</w:t>
      </w:r>
    </w:p>
    <w:p w14:paraId="1FC67F90" w14:textId="77777777" w:rsidR="001A4276" w:rsidRPr="001A4276" w:rsidRDefault="001A4276" w:rsidP="001A4276">
      <w:pPr>
        <w:rPr>
          <w:lang w:eastAsia="en-US"/>
        </w:rPr>
      </w:pPr>
    </w:p>
    <w:p w14:paraId="42F28E5D" w14:textId="77777777" w:rsidR="00A13E82" w:rsidRPr="00A13E82" w:rsidRDefault="00A13E82" w:rsidP="00A13E82">
      <w:pPr>
        <w:rPr>
          <w:lang w:eastAsia="en-US"/>
        </w:rPr>
      </w:pPr>
    </w:p>
    <w:p w14:paraId="178327F9" w14:textId="77777777" w:rsidR="008C15F8" w:rsidRDefault="008C15F8" w:rsidP="001A4276">
      <w:pPr>
        <w:pStyle w:val="Heading2"/>
        <w:sectPr w:rsidR="008C15F8" w:rsidSect="00EB242F">
          <w:headerReference w:type="even" r:id="rId21"/>
          <w:headerReference w:type="default" r:id="rId22"/>
          <w:footerReference w:type="default" r:id="rId23"/>
          <w:headerReference w:type="first" r:id="rId24"/>
          <w:pgSz w:w="11906" w:h="16838" w:code="9"/>
          <w:pgMar w:top="1440" w:right="1440" w:bottom="1440" w:left="1440" w:header="720" w:footer="195" w:gutter="0"/>
          <w:cols w:space="720"/>
          <w:docGrid w:linePitch="326"/>
        </w:sectPr>
      </w:pPr>
    </w:p>
    <w:p w14:paraId="5DF668DB" w14:textId="7D935079" w:rsidR="00A13E82" w:rsidRPr="00A13E82" w:rsidRDefault="00A13E82" w:rsidP="001A4276">
      <w:pPr>
        <w:pStyle w:val="Heading2"/>
      </w:pPr>
      <w:bookmarkStart w:id="25" w:name="_Toc54595770"/>
      <w:r w:rsidRPr="00DA70FE">
        <w:lastRenderedPageBreak/>
        <w:t>Operating techniques</w:t>
      </w:r>
      <w:bookmarkEnd w:id="25"/>
    </w:p>
    <w:p w14:paraId="603A84DA" w14:textId="77777777" w:rsidR="00952709" w:rsidRPr="00DA70FE" w:rsidRDefault="00952709" w:rsidP="001C3FCF">
      <w:pPr>
        <w:pStyle w:val="DDtext"/>
      </w:pPr>
      <w:r w:rsidRPr="00DA70FE">
        <w:t xml:space="preserve">We have reviewed the techniques used by the operator and compared these with the relevant guidance notes. </w:t>
      </w:r>
    </w:p>
    <w:p w14:paraId="7A537915" w14:textId="77777777" w:rsidR="00952709" w:rsidRPr="00DA70FE" w:rsidRDefault="00952709" w:rsidP="00952709">
      <w:pPr>
        <w:pStyle w:val="BodyText"/>
        <w:spacing w:before="60"/>
        <w:rPr>
          <w:rFonts w:cs="Arial"/>
          <w:color w:val="FF0000"/>
          <w:szCs w:val="24"/>
        </w:rPr>
      </w:pPr>
    </w:p>
    <w:p w14:paraId="4513146B" w14:textId="387427CB" w:rsidR="00952709" w:rsidRPr="004533B1" w:rsidRDefault="00952709" w:rsidP="004533B1">
      <w:pPr>
        <w:pStyle w:val="OptionalText"/>
        <w:rPr>
          <w:snapToGrid w:val="0"/>
          <w:lang w:eastAsia="en-US"/>
        </w:rPr>
      </w:pPr>
      <w:r w:rsidRPr="004533B1">
        <w:t>We accept the operator's proposals for BAT relating to the environmentally insignificant emissions</w:t>
      </w:r>
      <w:r w:rsidR="00541B3D">
        <w:t>.</w:t>
      </w:r>
    </w:p>
    <w:p w14:paraId="324CA3CD" w14:textId="77777777" w:rsidR="004533B1" w:rsidRDefault="004533B1" w:rsidP="004533B1">
      <w:pPr>
        <w:pStyle w:val="OptionalText"/>
        <w:rPr>
          <w:snapToGrid w:val="0"/>
          <w:lang w:eastAsia="en-US"/>
        </w:rPr>
      </w:pPr>
    </w:p>
    <w:p w14:paraId="2A85D98E" w14:textId="526C021F" w:rsidR="004533B1" w:rsidRPr="004533B1" w:rsidRDefault="004533B1" w:rsidP="004533B1">
      <w:pPr>
        <w:pStyle w:val="OptionalText"/>
        <w:rPr>
          <w:snapToGrid w:val="0"/>
          <w:lang w:eastAsia="en-US"/>
        </w:rPr>
      </w:pPr>
      <w:r>
        <w:rPr>
          <w:snapToGrid w:val="0"/>
          <w:lang w:eastAsia="en-US"/>
        </w:rPr>
        <w:t>T</w:t>
      </w:r>
      <w:r w:rsidRPr="004533B1">
        <w:rPr>
          <w:snapToGrid w:val="0"/>
          <w:lang w:eastAsia="en-US"/>
        </w:rPr>
        <w:t xml:space="preserve">he </w:t>
      </w:r>
      <w:r>
        <w:rPr>
          <w:snapToGrid w:val="0"/>
          <w:lang w:eastAsia="en-US"/>
        </w:rPr>
        <w:t xml:space="preserve">sites </w:t>
      </w:r>
      <w:r w:rsidRPr="004533B1">
        <w:rPr>
          <w:snapToGrid w:val="0"/>
          <w:lang w:eastAsia="en-US"/>
        </w:rPr>
        <w:t>E</w:t>
      </w:r>
      <w:r>
        <w:rPr>
          <w:snapToGrid w:val="0"/>
          <w:lang w:eastAsia="en-US"/>
        </w:rPr>
        <w:t xml:space="preserve">nvironmental </w:t>
      </w:r>
      <w:r w:rsidRPr="004533B1">
        <w:rPr>
          <w:snapToGrid w:val="0"/>
          <w:lang w:eastAsia="en-US"/>
        </w:rPr>
        <w:t>M</w:t>
      </w:r>
      <w:r>
        <w:rPr>
          <w:snapToGrid w:val="0"/>
          <w:lang w:eastAsia="en-US"/>
        </w:rPr>
        <w:t xml:space="preserve">anagement </w:t>
      </w:r>
      <w:r w:rsidRPr="004533B1">
        <w:rPr>
          <w:snapToGrid w:val="0"/>
          <w:lang w:eastAsia="en-US"/>
        </w:rPr>
        <w:t>S</w:t>
      </w:r>
      <w:r>
        <w:rPr>
          <w:snapToGrid w:val="0"/>
          <w:lang w:eastAsia="en-US"/>
        </w:rPr>
        <w:t>ystem</w:t>
      </w:r>
      <w:r w:rsidRPr="004533B1">
        <w:rPr>
          <w:snapToGrid w:val="0"/>
          <w:lang w:eastAsia="en-US"/>
        </w:rPr>
        <w:t xml:space="preserve"> includes a register of significant environmental aspects. This will be updated to reflect the new equipment regarding both the potential negative impact of emission of combustion products to air from the natural gas burner, and the positive impact in respect of reduced gas use (and associated releases to air) in the Melting Furnace due to the use of waste heat to pre-heat furnace charge materials. </w:t>
      </w:r>
      <w:r>
        <w:rPr>
          <w:snapToGrid w:val="0"/>
          <w:lang w:eastAsia="en-US"/>
        </w:rPr>
        <w:t>An Improvement Condition has been added to the permit to request this information</w:t>
      </w:r>
      <w:r w:rsidR="003F0B81">
        <w:rPr>
          <w:snapToGrid w:val="0"/>
          <w:lang w:eastAsia="en-US"/>
        </w:rPr>
        <w:t xml:space="preserve"> (IC30)</w:t>
      </w:r>
      <w:r>
        <w:rPr>
          <w:snapToGrid w:val="0"/>
          <w:lang w:eastAsia="en-US"/>
        </w:rPr>
        <w:t xml:space="preserve">. </w:t>
      </w:r>
      <w:r w:rsidRPr="004533B1">
        <w:rPr>
          <w:snapToGrid w:val="0"/>
          <w:lang w:eastAsia="en-US"/>
        </w:rPr>
        <w:t>The new equipment will need to be carefully managed to ensure that the temperature of gases passing to the bag plants does not drop below a minimum of 120</w:t>
      </w:r>
      <w:r>
        <w:rPr>
          <w:snapToGrid w:val="0"/>
          <w:lang w:eastAsia="en-US"/>
        </w:rPr>
        <w:t>°</w:t>
      </w:r>
      <w:r w:rsidRPr="004533B1">
        <w:rPr>
          <w:snapToGrid w:val="0"/>
          <w:lang w:eastAsia="en-US"/>
        </w:rPr>
        <w:t>C to avoid condensation and subsequent corrosion in the system. During current operations it is more common for an “over temperature” situation to occur (flue gases &gt;140</w:t>
      </w:r>
      <w:r>
        <w:rPr>
          <w:snapToGrid w:val="0"/>
          <w:lang w:eastAsia="en-US"/>
        </w:rPr>
        <w:t>°</w:t>
      </w:r>
      <w:r w:rsidRPr="004533B1">
        <w:rPr>
          <w:snapToGrid w:val="0"/>
          <w:lang w:eastAsia="en-US"/>
        </w:rPr>
        <w:t xml:space="preserve">C). This forces the bag plants to switch off, in turn forcing the furnace burners to switch off until the temperature has reduced. A further benefit of the proposed pre-heat furnace is that these occurrences will be greatly reduced, allowing more stable, efficient furnace operations.  </w:t>
      </w:r>
    </w:p>
    <w:p w14:paraId="6BF7F72C" w14:textId="77777777" w:rsidR="004533B1" w:rsidRPr="004533B1" w:rsidRDefault="004533B1" w:rsidP="004533B1">
      <w:pPr>
        <w:pStyle w:val="OptionalText"/>
        <w:rPr>
          <w:snapToGrid w:val="0"/>
          <w:lang w:eastAsia="en-US"/>
        </w:rPr>
      </w:pPr>
      <w:r w:rsidRPr="004533B1">
        <w:rPr>
          <w:snapToGrid w:val="0"/>
          <w:lang w:eastAsia="en-US"/>
        </w:rPr>
        <w:t xml:space="preserve"> </w:t>
      </w:r>
    </w:p>
    <w:p w14:paraId="22D243FA" w14:textId="51117A47" w:rsidR="004533B1" w:rsidRPr="004533B1" w:rsidRDefault="004533B1" w:rsidP="004533B1">
      <w:pPr>
        <w:pStyle w:val="OptionalText"/>
        <w:rPr>
          <w:snapToGrid w:val="0"/>
          <w:lang w:eastAsia="en-US"/>
        </w:rPr>
      </w:pPr>
      <w:r w:rsidRPr="004533B1">
        <w:rPr>
          <w:snapToGrid w:val="0"/>
          <w:lang w:eastAsia="en-US"/>
        </w:rPr>
        <w:t xml:space="preserve">The pre-heat furnace will be operated and maintained in accordance with the manufacturer’s requirements. Jasper GmbH will also be involved during the installation and commissioning of the equipment, and in the training of operations and maintenance personnel. </w:t>
      </w:r>
    </w:p>
    <w:p w14:paraId="7786A45C" w14:textId="77777777" w:rsidR="004533B1" w:rsidRPr="004533B1" w:rsidRDefault="004533B1" w:rsidP="004533B1">
      <w:pPr>
        <w:pStyle w:val="OptionalText"/>
        <w:rPr>
          <w:snapToGrid w:val="0"/>
          <w:lang w:eastAsia="en-US"/>
        </w:rPr>
      </w:pPr>
      <w:r w:rsidRPr="004533B1">
        <w:rPr>
          <w:snapToGrid w:val="0"/>
          <w:lang w:eastAsia="en-US"/>
        </w:rPr>
        <w:t xml:space="preserve"> </w:t>
      </w:r>
    </w:p>
    <w:p w14:paraId="70AFBAEE" w14:textId="13943D70" w:rsidR="004533B1" w:rsidRPr="004533B1" w:rsidRDefault="004533B1" w:rsidP="004533B1">
      <w:pPr>
        <w:pStyle w:val="OptionalText"/>
        <w:rPr>
          <w:snapToGrid w:val="0"/>
          <w:lang w:eastAsia="en-US"/>
        </w:rPr>
      </w:pPr>
      <w:r w:rsidRPr="004533B1">
        <w:rPr>
          <w:snapToGrid w:val="0"/>
          <w:lang w:eastAsia="en-US"/>
        </w:rPr>
        <w:t>The equipment is considered to represent “BAT” for non-ferrous metal recycling. Indicative BAT for energy efficiency includes the use of hot process gases to dry feed materials, and the pre-heating of furnace charge materials using the energy content of furnace gases. [</w:t>
      </w:r>
      <w:proofErr w:type="gramStart"/>
      <w:r w:rsidRPr="004533B1">
        <w:rPr>
          <w:snapToGrid w:val="0"/>
          <w:lang w:eastAsia="en-US"/>
        </w:rPr>
        <w:t>Non Ferrous</w:t>
      </w:r>
      <w:proofErr w:type="gramEnd"/>
      <w:r w:rsidRPr="004533B1">
        <w:rPr>
          <w:snapToGrid w:val="0"/>
          <w:lang w:eastAsia="en-US"/>
        </w:rPr>
        <w:t xml:space="preserve"> BAT Conclusions, Section 1.3.4, Secondary Aluminium Production, 1.3.4.2 Energy, BAT 75 (a): preheating furnace charge with exhaust gas (applicable for non-rotating furnaces).]</w:t>
      </w:r>
    </w:p>
    <w:p w14:paraId="398BA949" w14:textId="3D93F877" w:rsidR="00D151F5" w:rsidRDefault="00D151F5" w:rsidP="00D151F5">
      <w:pPr>
        <w:pStyle w:val="Heading2"/>
      </w:pPr>
      <w:bookmarkStart w:id="26" w:name="_Toc54595771"/>
      <w:r w:rsidRPr="00DA70FE">
        <w:lastRenderedPageBreak/>
        <w:t>The permit conditions</w:t>
      </w:r>
      <w:bookmarkEnd w:id="26"/>
    </w:p>
    <w:p w14:paraId="5AADE7E9" w14:textId="77777777" w:rsidR="00D151F5" w:rsidRDefault="00D151F5" w:rsidP="0053202F">
      <w:pPr>
        <w:rPr>
          <w:lang w:eastAsia="en-US"/>
        </w:rPr>
      </w:pPr>
    </w:p>
    <w:p w14:paraId="001B05A6" w14:textId="5003AD63" w:rsidR="00FA0C4F" w:rsidRPr="00BA5481" w:rsidRDefault="00FA0C4F" w:rsidP="00FA0C4F">
      <w:pPr>
        <w:pStyle w:val="Heading3"/>
      </w:pPr>
      <w:bookmarkStart w:id="27" w:name="_Toc54595772"/>
      <w:r w:rsidRPr="00BA5481">
        <w:t>Improvement conditions</w:t>
      </w:r>
      <w:bookmarkEnd w:id="27"/>
    </w:p>
    <w:p w14:paraId="571B8D34" w14:textId="372BA873" w:rsidR="00BA5481" w:rsidRPr="00C01639" w:rsidRDefault="00FA0C4F" w:rsidP="00BA5481">
      <w:pPr>
        <w:pStyle w:val="DDtext"/>
        <w:rPr>
          <w:highlight w:val="yellow"/>
        </w:rPr>
      </w:pPr>
      <w:r w:rsidRPr="00BA5481">
        <w:t xml:space="preserve">Based on the information on the application, we consider that we need to impose improvement conditions.   </w:t>
      </w:r>
      <w:r w:rsidR="00BA5481" w:rsidRPr="00BA5481">
        <w:t>Details of the</w:t>
      </w:r>
      <w:r w:rsidR="00BA5481">
        <w:t xml:space="preserve"> improvement conditions used can be found at Annex 1. </w:t>
      </w:r>
    </w:p>
    <w:p w14:paraId="3A89E64B" w14:textId="77777777" w:rsidR="00FA0C4F" w:rsidRPr="00C01639" w:rsidRDefault="00FA0C4F" w:rsidP="00BA5481">
      <w:pPr>
        <w:pStyle w:val="DDtext"/>
        <w:rPr>
          <w:highlight w:val="yellow"/>
        </w:rPr>
      </w:pPr>
    </w:p>
    <w:p w14:paraId="428D8750" w14:textId="620719D6" w:rsidR="00C01639" w:rsidRDefault="003F0B81" w:rsidP="003F0B81">
      <w:pPr>
        <w:pStyle w:val="Heading3"/>
        <w:ind w:firstLine="0"/>
      </w:pPr>
      <w:r>
        <w:t xml:space="preserve">     </w:t>
      </w:r>
      <w:bookmarkStart w:id="28" w:name="_Toc54595773"/>
      <w:r w:rsidR="00C01639" w:rsidRPr="00DA70FE">
        <w:t xml:space="preserve">Environment </w:t>
      </w:r>
      <w:r w:rsidR="00C01639">
        <w:t>m</w:t>
      </w:r>
      <w:r w:rsidR="00C01639" w:rsidRPr="00DA70FE">
        <w:t xml:space="preserve">anagement </w:t>
      </w:r>
      <w:r w:rsidR="00C01639">
        <w:t>s</w:t>
      </w:r>
      <w:r w:rsidR="00C01639" w:rsidRPr="00DA70FE">
        <w:t>ystem</w:t>
      </w:r>
      <w:bookmarkEnd w:id="28"/>
    </w:p>
    <w:p w14:paraId="58EF4D88" w14:textId="77777777" w:rsidR="00C01639" w:rsidRPr="00DA70FE" w:rsidRDefault="00C01639" w:rsidP="008C15F8">
      <w:pPr>
        <w:pStyle w:val="DDtext"/>
      </w:pPr>
      <w:r w:rsidRPr="00DA70FE">
        <w:t>There is no known reason to consider that the operator will not have the management systems to enable it to comply with the permit conditions.  The decision was taken in accordance with RGN 5 on Operator Competence.</w:t>
      </w:r>
    </w:p>
    <w:p w14:paraId="2CD60EEE" w14:textId="77777777" w:rsidR="004C2569" w:rsidRDefault="004C2569" w:rsidP="00C01639">
      <w:pPr>
        <w:pStyle w:val="Heading3"/>
      </w:pPr>
    </w:p>
    <w:p w14:paraId="4D6DC365" w14:textId="77777777" w:rsidR="00293379" w:rsidRDefault="00293379" w:rsidP="00293379">
      <w:pPr>
        <w:rPr>
          <w:lang w:eastAsia="en-US"/>
        </w:rPr>
      </w:pPr>
    </w:p>
    <w:p w14:paraId="147B19B0" w14:textId="1FEB9C40" w:rsidR="004C2569" w:rsidRPr="00DA70FE" w:rsidRDefault="004C2569" w:rsidP="004C2569">
      <w:pPr>
        <w:pStyle w:val="Heading3"/>
      </w:pPr>
      <w:bookmarkStart w:id="29" w:name="_Toc54595774"/>
      <w:r>
        <w:t>OPRA</w:t>
      </w:r>
      <w:bookmarkEnd w:id="29"/>
    </w:p>
    <w:p w14:paraId="1F6AC8D0" w14:textId="7C7BBA0A" w:rsidR="004C2569" w:rsidRPr="00293379" w:rsidRDefault="004C2569" w:rsidP="004C2569">
      <w:pPr>
        <w:pStyle w:val="DDtext"/>
        <w:rPr>
          <w:lang w:eastAsia="en-US"/>
        </w:rPr>
        <w:sectPr w:rsidR="004C2569" w:rsidRPr="00293379" w:rsidSect="003F0B81">
          <w:pgSz w:w="11906" w:h="16838" w:code="9"/>
          <w:pgMar w:top="1440" w:right="1440" w:bottom="1440" w:left="1440" w:header="720" w:footer="193" w:gutter="0"/>
          <w:cols w:space="720"/>
          <w:docGrid w:linePitch="326"/>
        </w:sectPr>
      </w:pPr>
      <w:r>
        <w:rPr>
          <w:lang w:eastAsia="en-US"/>
        </w:rPr>
        <w:t>The OPRA score at permit is</w:t>
      </w:r>
      <w:r w:rsidR="00BA469E">
        <w:rPr>
          <w:lang w:eastAsia="en-US"/>
        </w:rPr>
        <w:t>sue is</w:t>
      </w:r>
      <w:r w:rsidR="004533B1">
        <w:rPr>
          <w:lang w:eastAsia="en-US"/>
        </w:rPr>
        <w:t xml:space="preserve"> 56.</w:t>
      </w:r>
    </w:p>
    <w:p w14:paraId="6D171E67" w14:textId="705500D6" w:rsidR="002D7156" w:rsidRDefault="002D7156" w:rsidP="002D7156">
      <w:pPr>
        <w:pStyle w:val="Heading1"/>
      </w:pPr>
      <w:bookmarkStart w:id="30" w:name="_Toc453078001"/>
      <w:bookmarkStart w:id="31" w:name="_Toc54595775"/>
      <w:bookmarkEnd w:id="7"/>
      <w:r w:rsidRPr="002D7156">
        <w:lastRenderedPageBreak/>
        <w:t xml:space="preserve">ANNEX </w:t>
      </w:r>
      <w:r w:rsidR="004533B1">
        <w:t>1</w:t>
      </w:r>
      <w:r w:rsidRPr="002D7156">
        <w:t>:</w:t>
      </w:r>
      <w:r w:rsidRPr="002D7156">
        <w:tab/>
        <w:t>Improvement Conditions</w:t>
      </w:r>
      <w:bookmarkEnd w:id="30"/>
      <w:bookmarkEnd w:id="31"/>
    </w:p>
    <w:p w14:paraId="44E0AF6F" w14:textId="77777777" w:rsidR="00E379F1" w:rsidRDefault="00E379F1" w:rsidP="00E379F1">
      <w:pPr>
        <w:rPr>
          <w:lang w:eastAsia="en-US"/>
        </w:rPr>
      </w:pPr>
    </w:p>
    <w:p w14:paraId="3AA5426C" w14:textId="77777777" w:rsidR="00640AE6" w:rsidRDefault="00640AE6" w:rsidP="00640AE6">
      <w:pPr>
        <w:rPr>
          <w:lang w:eastAsia="en-US"/>
        </w:rPr>
      </w:pPr>
    </w:p>
    <w:tbl>
      <w:tblPr>
        <w:tblW w:w="8504"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5953"/>
        <w:gridCol w:w="1417"/>
      </w:tblGrid>
      <w:tr w:rsidR="00023A44" w:rsidRPr="007B289F" w14:paraId="0025B498" w14:textId="77777777" w:rsidTr="00023A44">
        <w:trPr>
          <w:cantSplit/>
        </w:trPr>
        <w:tc>
          <w:tcPr>
            <w:tcW w:w="1134" w:type="dxa"/>
            <w:tcBorders>
              <w:top w:val="single" w:sz="4" w:space="0" w:color="auto"/>
              <w:left w:val="nil"/>
              <w:bottom w:val="single" w:sz="4" w:space="0" w:color="auto"/>
              <w:right w:val="nil"/>
            </w:tcBorders>
            <w:shd w:val="clear" w:color="auto" w:fill="000000" w:themeFill="text1"/>
          </w:tcPr>
          <w:p w14:paraId="5CCF685B" w14:textId="4316F41A" w:rsidR="00023A44" w:rsidRPr="00023A44" w:rsidRDefault="00023A44" w:rsidP="00E82A2D">
            <w:pPr>
              <w:pStyle w:val="Tablebody"/>
              <w:rPr>
                <w:b/>
                <w:color w:val="auto"/>
              </w:rPr>
            </w:pPr>
            <w:bookmarkStart w:id="32" w:name="_Toc54595776"/>
            <w:r w:rsidRPr="00023A44">
              <w:rPr>
                <w:b/>
                <w:color w:val="auto"/>
              </w:rPr>
              <w:t>Reference</w:t>
            </w:r>
            <w:bookmarkEnd w:id="32"/>
          </w:p>
        </w:tc>
        <w:tc>
          <w:tcPr>
            <w:tcW w:w="5953" w:type="dxa"/>
            <w:tcBorders>
              <w:top w:val="single" w:sz="4" w:space="0" w:color="auto"/>
              <w:left w:val="nil"/>
              <w:bottom w:val="single" w:sz="4" w:space="0" w:color="auto"/>
              <w:right w:val="nil"/>
            </w:tcBorders>
            <w:shd w:val="clear" w:color="auto" w:fill="000000" w:themeFill="text1"/>
          </w:tcPr>
          <w:p w14:paraId="1BE34F17" w14:textId="555928F3" w:rsidR="00023A44" w:rsidRPr="00023A44" w:rsidRDefault="00023A44" w:rsidP="00E82A2D">
            <w:pPr>
              <w:pStyle w:val="Tablebody"/>
              <w:rPr>
                <w:b/>
                <w:color w:val="auto"/>
              </w:rPr>
            </w:pPr>
            <w:bookmarkStart w:id="33" w:name="_Toc54595777"/>
            <w:r w:rsidRPr="00023A44">
              <w:rPr>
                <w:b/>
                <w:color w:val="auto"/>
              </w:rPr>
              <w:t>Requirement</w:t>
            </w:r>
            <w:bookmarkEnd w:id="33"/>
          </w:p>
        </w:tc>
        <w:tc>
          <w:tcPr>
            <w:tcW w:w="1417" w:type="dxa"/>
            <w:tcBorders>
              <w:top w:val="single" w:sz="4" w:space="0" w:color="auto"/>
              <w:left w:val="nil"/>
              <w:bottom w:val="single" w:sz="4" w:space="0" w:color="auto"/>
              <w:right w:val="nil"/>
            </w:tcBorders>
            <w:shd w:val="clear" w:color="auto" w:fill="000000" w:themeFill="text1"/>
          </w:tcPr>
          <w:p w14:paraId="7A5DEBA3" w14:textId="35560B2D" w:rsidR="00023A44" w:rsidRPr="00023A44" w:rsidRDefault="00023A44" w:rsidP="00E82A2D">
            <w:pPr>
              <w:pStyle w:val="Tablebody"/>
              <w:rPr>
                <w:b/>
                <w:color w:val="auto"/>
              </w:rPr>
            </w:pPr>
            <w:bookmarkStart w:id="34" w:name="_Toc54595778"/>
            <w:r w:rsidRPr="00023A44">
              <w:rPr>
                <w:b/>
                <w:color w:val="auto"/>
              </w:rPr>
              <w:t>Date</w:t>
            </w:r>
            <w:bookmarkEnd w:id="34"/>
          </w:p>
        </w:tc>
      </w:tr>
      <w:tr w:rsidR="00023A44" w:rsidRPr="007B289F" w14:paraId="6D1A4162" w14:textId="77777777" w:rsidTr="00E82A2D">
        <w:trPr>
          <w:cantSplit/>
        </w:trPr>
        <w:tc>
          <w:tcPr>
            <w:tcW w:w="1134" w:type="dxa"/>
            <w:tcBorders>
              <w:top w:val="single" w:sz="4" w:space="0" w:color="auto"/>
              <w:left w:val="nil"/>
              <w:bottom w:val="single" w:sz="4" w:space="0" w:color="auto"/>
              <w:right w:val="nil"/>
            </w:tcBorders>
          </w:tcPr>
          <w:p w14:paraId="0A942297" w14:textId="77777777" w:rsidR="00023A44" w:rsidRPr="007B289F" w:rsidRDefault="00023A44" w:rsidP="00E82A2D">
            <w:pPr>
              <w:pStyle w:val="Tablebody"/>
              <w:rPr>
                <w:color w:val="auto"/>
              </w:rPr>
            </w:pPr>
            <w:bookmarkStart w:id="35" w:name="_Toc54595779"/>
            <w:r>
              <w:rPr>
                <w:color w:val="auto"/>
              </w:rPr>
              <w:t>30</w:t>
            </w:r>
            <w:bookmarkEnd w:id="35"/>
          </w:p>
        </w:tc>
        <w:tc>
          <w:tcPr>
            <w:tcW w:w="5953" w:type="dxa"/>
            <w:tcBorders>
              <w:top w:val="single" w:sz="4" w:space="0" w:color="auto"/>
              <w:left w:val="nil"/>
              <w:bottom w:val="single" w:sz="4" w:space="0" w:color="auto"/>
              <w:right w:val="nil"/>
            </w:tcBorders>
          </w:tcPr>
          <w:p w14:paraId="6FFFAC88" w14:textId="1C2BD5D3" w:rsidR="00023A44" w:rsidRPr="007B289F" w:rsidRDefault="00023A44" w:rsidP="00E82A2D">
            <w:pPr>
              <w:pStyle w:val="Tablebody"/>
              <w:rPr>
                <w:color w:val="auto"/>
              </w:rPr>
            </w:pPr>
            <w:bookmarkStart w:id="36" w:name="_Toc54595780"/>
            <w:r>
              <w:rPr>
                <w:color w:val="auto"/>
              </w:rPr>
              <w:t>The operator shall submit an updated Environmental Management System to reflect the new equipment being installed as part of variation V006 – installation of pre-heat furnace including auxiliary gas fired b</w:t>
            </w:r>
            <w:r w:rsidR="00ED3720">
              <w:rPr>
                <w:color w:val="auto"/>
              </w:rPr>
              <w:t>urners</w:t>
            </w:r>
            <w:r>
              <w:rPr>
                <w:color w:val="auto"/>
              </w:rPr>
              <w:t xml:space="preserve"> as described in section 2 of</w:t>
            </w:r>
            <w:r w:rsidRPr="007B289F">
              <w:rPr>
                <w:color w:val="auto"/>
              </w:rPr>
              <w:t xml:space="preserve"> the document entitled “Information to support an application to vary a bespoke environmental permit, March 2020”.</w:t>
            </w:r>
            <w:bookmarkEnd w:id="36"/>
          </w:p>
        </w:tc>
        <w:tc>
          <w:tcPr>
            <w:tcW w:w="1417" w:type="dxa"/>
            <w:tcBorders>
              <w:top w:val="single" w:sz="4" w:space="0" w:color="auto"/>
              <w:left w:val="nil"/>
              <w:bottom w:val="single" w:sz="4" w:space="0" w:color="auto"/>
              <w:right w:val="nil"/>
            </w:tcBorders>
          </w:tcPr>
          <w:p w14:paraId="3E8AC7A8" w14:textId="6ED43384" w:rsidR="00023A44" w:rsidRPr="007B289F" w:rsidRDefault="0054020F" w:rsidP="00E82A2D">
            <w:pPr>
              <w:pStyle w:val="Tablebody"/>
              <w:rPr>
                <w:color w:val="auto"/>
              </w:rPr>
            </w:pPr>
            <w:bookmarkStart w:id="37" w:name="_Toc54595781"/>
            <w:r>
              <w:rPr>
                <w:color w:val="auto"/>
              </w:rPr>
              <w:t>21/01/2021</w:t>
            </w:r>
            <w:bookmarkEnd w:id="37"/>
          </w:p>
        </w:tc>
      </w:tr>
      <w:tr w:rsidR="00023A44" w:rsidRPr="007B289F" w14:paraId="07759D5D" w14:textId="77777777" w:rsidTr="00E82A2D">
        <w:trPr>
          <w:cantSplit/>
        </w:trPr>
        <w:tc>
          <w:tcPr>
            <w:tcW w:w="1134" w:type="dxa"/>
            <w:tcBorders>
              <w:top w:val="single" w:sz="4" w:space="0" w:color="auto"/>
              <w:left w:val="nil"/>
              <w:bottom w:val="single" w:sz="4" w:space="0" w:color="auto"/>
              <w:right w:val="nil"/>
            </w:tcBorders>
          </w:tcPr>
          <w:p w14:paraId="234B4623" w14:textId="77777777" w:rsidR="00023A44" w:rsidRPr="007B289F" w:rsidRDefault="00023A44" w:rsidP="00E82A2D">
            <w:pPr>
              <w:pStyle w:val="Tablebody"/>
              <w:rPr>
                <w:color w:val="auto"/>
              </w:rPr>
            </w:pPr>
            <w:bookmarkStart w:id="38" w:name="_Toc54595782"/>
            <w:r>
              <w:rPr>
                <w:color w:val="auto"/>
              </w:rPr>
              <w:t>31</w:t>
            </w:r>
            <w:bookmarkEnd w:id="38"/>
          </w:p>
        </w:tc>
        <w:tc>
          <w:tcPr>
            <w:tcW w:w="5953" w:type="dxa"/>
            <w:tcBorders>
              <w:top w:val="single" w:sz="4" w:space="0" w:color="auto"/>
              <w:left w:val="nil"/>
              <w:bottom w:val="single" w:sz="4" w:space="0" w:color="auto"/>
              <w:right w:val="nil"/>
            </w:tcBorders>
          </w:tcPr>
          <w:p w14:paraId="19CE782C" w14:textId="3FC2905A" w:rsidR="00023A44" w:rsidRPr="007B289F" w:rsidRDefault="00023A44" w:rsidP="00E82A2D">
            <w:pPr>
              <w:pStyle w:val="Tablebody"/>
              <w:rPr>
                <w:color w:val="auto"/>
              </w:rPr>
            </w:pPr>
            <w:bookmarkStart w:id="39" w:name="_Toc54595783"/>
            <w:r w:rsidRPr="007B289F">
              <w:rPr>
                <w:color w:val="auto"/>
              </w:rPr>
              <w:t>The operator shall, following commission of the pre-heat furnace with auxiliary gas fired b</w:t>
            </w:r>
            <w:r w:rsidR="00ED3720">
              <w:rPr>
                <w:color w:val="auto"/>
              </w:rPr>
              <w:t>urners</w:t>
            </w:r>
            <w:r w:rsidRPr="007B289F">
              <w:rPr>
                <w:color w:val="auto"/>
              </w:rPr>
              <w:t xml:space="preserve">, submit to Natural Resources Wales a stack emissions monitoring report for the combined emissions from the furnaces and preheat chamber as releases to air from stacks A1 and A12 </w:t>
            </w:r>
            <w:bookmarkStart w:id="40" w:name="_Hlk46215810"/>
            <w:r w:rsidRPr="007B289F">
              <w:rPr>
                <w:color w:val="auto"/>
              </w:rPr>
              <w:t>to ensure combined emission releases will remain below current emission limi</w:t>
            </w:r>
            <w:r>
              <w:rPr>
                <w:color w:val="auto"/>
              </w:rPr>
              <w:t>t</w:t>
            </w:r>
            <w:r w:rsidRPr="007B289F">
              <w:rPr>
                <w:color w:val="auto"/>
              </w:rPr>
              <w:t xml:space="preserve"> values (ELV’s) </w:t>
            </w:r>
            <w:bookmarkEnd w:id="40"/>
            <w:r w:rsidRPr="007B289F">
              <w:rPr>
                <w:color w:val="auto"/>
              </w:rPr>
              <w:t>as described in section 4 of the document entitled “Information to support an application to vary a bespoke environmental permit, March 2020”.</w:t>
            </w:r>
            <w:bookmarkEnd w:id="39"/>
          </w:p>
        </w:tc>
        <w:tc>
          <w:tcPr>
            <w:tcW w:w="1417" w:type="dxa"/>
            <w:tcBorders>
              <w:top w:val="single" w:sz="4" w:space="0" w:color="auto"/>
              <w:left w:val="nil"/>
              <w:bottom w:val="single" w:sz="4" w:space="0" w:color="auto"/>
              <w:right w:val="nil"/>
            </w:tcBorders>
          </w:tcPr>
          <w:p w14:paraId="20E4E017" w14:textId="167EBBBF" w:rsidR="00023A44" w:rsidRPr="007B289F" w:rsidRDefault="0054020F" w:rsidP="00E82A2D">
            <w:pPr>
              <w:pStyle w:val="Tablebody"/>
              <w:rPr>
                <w:color w:val="auto"/>
              </w:rPr>
            </w:pPr>
            <w:bookmarkStart w:id="41" w:name="_Toc54595784"/>
            <w:r>
              <w:rPr>
                <w:color w:val="auto"/>
              </w:rPr>
              <w:t>21/01/2021</w:t>
            </w:r>
            <w:bookmarkEnd w:id="41"/>
          </w:p>
        </w:tc>
      </w:tr>
      <w:tr w:rsidR="00023A44" w:rsidRPr="007B289F" w14:paraId="4E8A9EFF" w14:textId="77777777" w:rsidTr="00E82A2D">
        <w:trPr>
          <w:cantSplit/>
        </w:trPr>
        <w:tc>
          <w:tcPr>
            <w:tcW w:w="1134" w:type="dxa"/>
            <w:tcBorders>
              <w:top w:val="single" w:sz="4" w:space="0" w:color="auto"/>
              <w:left w:val="nil"/>
              <w:bottom w:val="single" w:sz="4" w:space="0" w:color="auto"/>
              <w:right w:val="nil"/>
            </w:tcBorders>
          </w:tcPr>
          <w:p w14:paraId="4622A571" w14:textId="77777777" w:rsidR="00023A44" w:rsidRPr="007B289F" w:rsidRDefault="00023A44" w:rsidP="00E82A2D">
            <w:pPr>
              <w:pStyle w:val="Tablebody"/>
              <w:rPr>
                <w:color w:val="auto"/>
              </w:rPr>
            </w:pPr>
            <w:bookmarkStart w:id="42" w:name="_Toc54595785"/>
            <w:r w:rsidRPr="007B289F">
              <w:rPr>
                <w:color w:val="auto"/>
              </w:rPr>
              <w:t>3</w:t>
            </w:r>
            <w:r>
              <w:rPr>
                <w:color w:val="auto"/>
              </w:rPr>
              <w:t>2</w:t>
            </w:r>
            <w:bookmarkEnd w:id="42"/>
          </w:p>
        </w:tc>
        <w:tc>
          <w:tcPr>
            <w:tcW w:w="5953" w:type="dxa"/>
            <w:tcBorders>
              <w:top w:val="single" w:sz="4" w:space="0" w:color="auto"/>
              <w:left w:val="nil"/>
              <w:bottom w:val="single" w:sz="4" w:space="0" w:color="auto"/>
              <w:right w:val="nil"/>
            </w:tcBorders>
          </w:tcPr>
          <w:p w14:paraId="3A31C3C8" w14:textId="7B1C95B5" w:rsidR="00023A44" w:rsidRPr="007B289F" w:rsidRDefault="00023A44" w:rsidP="00E82A2D">
            <w:pPr>
              <w:pStyle w:val="Tablebody"/>
              <w:rPr>
                <w:color w:val="auto"/>
              </w:rPr>
            </w:pPr>
            <w:bookmarkStart w:id="43" w:name="_Toc54595786"/>
            <w:r w:rsidRPr="007B289F">
              <w:rPr>
                <w:color w:val="auto"/>
              </w:rPr>
              <w:t>The operator shall, following commission of the pre-heat furnace with auxiliary gas fired b</w:t>
            </w:r>
            <w:r w:rsidR="008C03FA">
              <w:rPr>
                <w:color w:val="auto"/>
              </w:rPr>
              <w:t>urners</w:t>
            </w:r>
            <w:r w:rsidRPr="007B289F">
              <w:rPr>
                <w:color w:val="auto"/>
              </w:rPr>
              <w:t>, submit to Natural Resources Wales a noise monitoring assessment at the nearest receptor. This shall include:</w:t>
            </w:r>
            <w:bookmarkEnd w:id="43"/>
            <w:r w:rsidRPr="007B289F">
              <w:rPr>
                <w:color w:val="auto"/>
              </w:rPr>
              <w:t xml:space="preserve">  </w:t>
            </w:r>
          </w:p>
          <w:p w14:paraId="2230A06E" w14:textId="77777777" w:rsidR="00023A44" w:rsidRPr="007B289F" w:rsidRDefault="00023A44" w:rsidP="00E82A2D">
            <w:pPr>
              <w:pStyle w:val="Tablebody"/>
              <w:rPr>
                <w:color w:val="auto"/>
              </w:rPr>
            </w:pPr>
            <w:r w:rsidRPr="007B289F">
              <w:rPr>
                <w:color w:val="auto"/>
              </w:rPr>
              <w:t xml:space="preserve"> </w:t>
            </w:r>
          </w:p>
          <w:p w14:paraId="3E876E75" w14:textId="77777777" w:rsidR="00023A44" w:rsidRPr="007B289F" w:rsidRDefault="00023A44" w:rsidP="00E82A2D">
            <w:pPr>
              <w:pStyle w:val="Tablebody"/>
              <w:rPr>
                <w:color w:val="auto"/>
              </w:rPr>
            </w:pPr>
            <w:bookmarkStart w:id="44" w:name="_Toc54595787"/>
            <w:r w:rsidRPr="007B289F">
              <w:rPr>
                <w:color w:val="auto"/>
              </w:rPr>
              <w:t>• A full noise monitoring survey and assessment meeting the BS4142:2014 standard including details of local conditions e.g. meteorological conditions (wind direction)</w:t>
            </w:r>
            <w:bookmarkEnd w:id="44"/>
            <w:r w:rsidRPr="007B289F">
              <w:rPr>
                <w:color w:val="auto"/>
              </w:rPr>
              <w:t xml:space="preserve"> </w:t>
            </w:r>
          </w:p>
          <w:p w14:paraId="6CA557D1" w14:textId="77777777" w:rsidR="00023A44" w:rsidRPr="007B289F" w:rsidRDefault="00023A44" w:rsidP="00E82A2D">
            <w:pPr>
              <w:pStyle w:val="Tablebody"/>
              <w:rPr>
                <w:color w:val="auto"/>
              </w:rPr>
            </w:pPr>
            <w:bookmarkStart w:id="45" w:name="_Toc54595788"/>
            <w:r w:rsidRPr="007B289F">
              <w:rPr>
                <w:color w:val="auto"/>
              </w:rPr>
              <w:t>• 1/3rd octave and narrow band (FFT) measurements to identify any tonal elements or low frequency noise</w:t>
            </w:r>
            <w:bookmarkEnd w:id="45"/>
            <w:r w:rsidRPr="007B289F">
              <w:rPr>
                <w:color w:val="auto"/>
              </w:rPr>
              <w:t xml:space="preserve">   </w:t>
            </w:r>
          </w:p>
          <w:p w14:paraId="1E26DA8C" w14:textId="77777777" w:rsidR="00023A44" w:rsidRPr="007B289F" w:rsidRDefault="00023A44" w:rsidP="00E82A2D">
            <w:pPr>
              <w:pStyle w:val="Tablebody"/>
              <w:rPr>
                <w:color w:val="auto"/>
              </w:rPr>
            </w:pPr>
            <w:bookmarkStart w:id="46" w:name="_Toc54595789"/>
            <w:r w:rsidRPr="007B289F">
              <w:rPr>
                <w:color w:val="auto"/>
              </w:rPr>
              <w:t>• Reference to the World Health Organisation guidelines for community noise</w:t>
            </w:r>
            <w:bookmarkEnd w:id="46"/>
            <w:r w:rsidRPr="007B289F">
              <w:rPr>
                <w:color w:val="auto"/>
              </w:rPr>
              <w:t xml:space="preserve">  </w:t>
            </w:r>
          </w:p>
          <w:p w14:paraId="539AFCCF" w14:textId="77777777" w:rsidR="00023A44" w:rsidRPr="007B289F" w:rsidRDefault="00023A44" w:rsidP="00E82A2D">
            <w:pPr>
              <w:pStyle w:val="Tablebody"/>
              <w:rPr>
                <w:color w:val="auto"/>
              </w:rPr>
            </w:pPr>
            <w:bookmarkStart w:id="47" w:name="_Toc54595790"/>
            <w:r w:rsidRPr="007B289F">
              <w:rPr>
                <w:color w:val="auto"/>
              </w:rPr>
              <w:t>• Reference to the Noise Action Plan for Wales 2018-2023 Upon completion of the work, a written report shall be submitted to Natural Resources Wales.</w:t>
            </w:r>
            <w:bookmarkEnd w:id="47"/>
            <w:r w:rsidRPr="007B289F">
              <w:rPr>
                <w:color w:val="auto"/>
              </w:rPr>
              <w:t xml:space="preserve"> </w:t>
            </w:r>
          </w:p>
          <w:p w14:paraId="7BE163C4" w14:textId="77777777" w:rsidR="00023A44" w:rsidRPr="007B289F" w:rsidRDefault="00023A44" w:rsidP="00E82A2D">
            <w:pPr>
              <w:pStyle w:val="Tablebody"/>
              <w:rPr>
                <w:color w:val="auto"/>
              </w:rPr>
            </w:pPr>
          </w:p>
          <w:p w14:paraId="10BD5CDA" w14:textId="7FF42E2A" w:rsidR="00023A44" w:rsidRPr="007B289F" w:rsidRDefault="00023A44" w:rsidP="00E82A2D">
            <w:pPr>
              <w:pStyle w:val="Tablebody"/>
              <w:rPr>
                <w:color w:val="auto"/>
              </w:rPr>
            </w:pPr>
            <w:bookmarkStart w:id="48" w:name="_Toc54595791"/>
            <w:r w:rsidRPr="007B289F">
              <w:rPr>
                <w:color w:val="auto"/>
              </w:rPr>
              <w:t xml:space="preserve">The report shall refer to the expected noise levels in the document produced as part of the </w:t>
            </w:r>
            <w:proofErr w:type="gramStart"/>
            <w:r w:rsidRPr="007B289F">
              <w:rPr>
                <w:color w:val="auto"/>
              </w:rPr>
              <w:t>application  entitled</w:t>
            </w:r>
            <w:proofErr w:type="gramEnd"/>
            <w:r w:rsidR="00ED3720">
              <w:rPr>
                <w:color w:val="auto"/>
              </w:rPr>
              <w:t xml:space="preserve"> </w:t>
            </w:r>
            <w:r w:rsidRPr="007B289F">
              <w:rPr>
                <w:color w:val="auto"/>
              </w:rPr>
              <w:t>“Information to support an application to vary a bespoke environmental permit, March 2020”. If rating levels are likely to cause adverse impact at sensitive receptors, the report shall include an assessment of the most suitable abatement techniques, an estimate of the cost and a proposed timetable for their installation.</w:t>
            </w:r>
            <w:bookmarkEnd w:id="48"/>
          </w:p>
        </w:tc>
        <w:tc>
          <w:tcPr>
            <w:tcW w:w="1417" w:type="dxa"/>
            <w:tcBorders>
              <w:top w:val="single" w:sz="4" w:space="0" w:color="auto"/>
              <w:left w:val="nil"/>
              <w:bottom w:val="single" w:sz="4" w:space="0" w:color="auto"/>
              <w:right w:val="nil"/>
            </w:tcBorders>
          </w:tcPr>
          <w:p w14:paraId="4B9FDA68" w14:textId="5937751A" w:rsidR="00023A44" w:rsidRPr="007B289F" w:rsidRDefault="0054020F" w:rsidP="00E82A2D">
            <w:pPr>
              <w:pStyle w:val="Tablebody"/>
              <w:rPr>
                <w:color w:val="auto"/>
              </w:rPr>
            </w:pPr>
            <w:bookmarkStart w:id="49" w:name="_Toc54595792"/>
            <w:r>
              <w:rPr>
                <w:color w:val="auto"/>
              </w:rPr>
              <w:t>21/01/2021</w:t>
            </w:r>
            <w:bookmarkEnd w:id="49"/>
          </w:p>
        </w:tc>
      </w:tr>
    </w:tbl>
    <w:p w14:paraId="029D3773" w14:textId="77777777" w:rsidR="00023A44" w:rsidRDefault="00023A44" w:rsidP="00640AE6">
      <w:pPr>
        <w:rPr>
          <w:lang w:eastAsia="en-US"/>
        </w:rPr>
      </w:pPr>
    </w:p>
    <w:p w14:paraId="4AC47460" w14:textId="77777777" w:rsidR="003F0B81" w:rsidRPr="003F0B81" w:rsidRDefault="003F0B81" w:rsidP="003F0B81">
      <w:pPr>
        <w:rPr>
          <w:lang w:eastAsia="en-US"/>
        </w:rPr>
      </w:pPr>
    </w:p>
    <w:p w14:paraId="4856C3F9" w14:textId="77777777" w:rsidR="003F0B81" w:rsidRPr="003F0B81" w:rsidRDefault="003F0B81" w:rsidP="003F0B81">
      <w:pPr>
        <w:rPr>
          <w:lang w:eastAsia="en-US"/>
        </w:rPr>
      </w:pPr>
    </w:p>
    <w:p w14:paraId="577A72C9" w14:textId="77777777" w:rsidR="003F0B81" w:rsidRDefault="003F0B81" w:rsidP="003F0B81">
      <w:pPr>
        <w:rPr>
          <w:lang w:eastAsia="en-US"/>
        </w:rPr>
      </w:pPr>
    </w:p>
    <w:p w14:paraId="5A50A9B4" w14:textId="6448AF40" w:rsidR="00C44B7E" w:rsidRDefault="003F0B81" w:rsidP="003F0B81">
      <w:pPr>
        <w:tabs>
          <w:tab w:val="left" w:pos="3877"/>
        </w:tabs>
        <w:rPr>
          <w:b/>
          <w:sz w:val="28"/>
        </w:rPr>
      </w:pPr>
      <w:r>
        <w:rPr>
          <w:lang w:eastAsia="en-US"/>
        </w:rPr>
        <w:tab/>
      </w:r>
    </w:p>
    <w:sectPr w:rsidR="00C44B7E" w:rsidSect="00EB242F">
      <w:headerReference w:type="even" r:id="rId25"/>
      <w:headerReference w:type="default" r:id="rId26"/>
      <w:footerReference w:type="default" r:id="rId27"/>
      <w:headerReference w:type="first" r:id="rId28"/>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5DA148" w14:textId="77777777" w:rsidR="00CE4565" w:rsidRDefault="00CE4565">
      <w:r>
        <w:separator/>
      </w:r>
    </w:p>
  </w:endnote>
  <w:endnote w:type="continuationSeparator" w:id="0">
    <w:p w14:paraId="5152B1AD" w14:textId="77777777" w:rsidR="00CE4565" w:rsidRDefault="00CE4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9A1FC8" w:rsidRDefault="009A1FC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9A1FC8" w:rsidRDefault="009A1F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9A1FC8" w:rsidRPr="002B61AE" w14:paraId="0028F3A9" w14:textId="77777777" w:rsidTr="000E43B7">
      <w:trPr>
        <w:trHeight w:val="284"/>
      </w:trPr>
      <w:tc>
        <w:tcPr>
          <w:tcW w:w="3529" w:type="dxa"/>
        </w:tcPr>
        <w:p w14:paraId="0028F3A5" w14:textId="78744949" w:rsidR="009A1FC8" w:rsidRPr="000E43B7" w:rsidRDefault="009A1FC8"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9A1FC8" w:rsidRPr="002B61AE" w:rsidRDefault="009A1FC8" w:rsidP="00BB2721">
          <w:pPr>
            <w:tabs>
              <w:tab w:val="left" w:pos="4335"/>
              <w:tab w:val="right" w:pos="10348"/>
            </w:tabs>
            <w:rPr>
              <w:rStyle w:val="PageNumber"/>
              <w:rFonts w:cs="Arial"/>
              <w:color w:val="808000"/>
              <w:sz w:val="20"/>
              <w:lang w:val="en-US"/>
            </w:rPr>
          </w:pPr>
        </w:p>
      </w:tc>
      <w:tc>
        <w:tcPr>
          <w:tcW w:w="2926" w:type="dxa"/>
        </w:tcPr>
        <w:p w14:paraId="0028F3A7" w14:textId="15A5CF59" w:rsidR="009A1FC8" w:rsidRPr="006A23C4" w:rsidRDefault="002334AD" w:rsidP="00BB2721">
          <w:pPr>
            <w:tabs>
              <w:tab w:val="left" w:pos="4335"/>
              <w:tab w:val="right" w:pos="10348"/>
            </w:tabs>
            <w:rPr>
              <w:rStyle w:val="PageNumber"/>
              <w:rFonts w:cs="Arial"/>
              <w:color w:val="0091A5"/>
              <w:sz w:val="20"/>
              <w:lang w:val="en-US"/>
            </w:rPr>
          </w:pPr>
          <w:r w:rsidRPr="002334AD">
            <w:rPr>
              <w:rStyle w:val="PageNumber"/>
              <w:rFonts w:cs="Arial"/>
              <w:color w:val="0091A5"/>
              <w:sz w:val="20"/>
              <w:lang w:val="en-US"/>
            </w:rPr>
            <w:t>Issued 21 October 2020</w:t>
          </w:r>
        </w:p>
      </w:tc>
      <w:tc>
        <w:tcPr>
          <w:tcW w:w="2392" w:type="dxa"/>
        </w:tcPr>
        <w:p w14:paraId="0028F3A8" w14:textId="3A46B92A" w:rsidR="009A1FC8" w:rsidRPr="006A23C4" w:rsidRDefault="009A1FC8"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9</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028F3AA" w14:textId="77777777" w:rsidR="009A1FC8" w:rsidRPr="00B602B8" w:rsidRDefault="009A1FC8"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9A1FC8" w:rsidRPr="006A23C4" w14:paraId="5569A415" w14:textId="77777777" w:rsidTr="002334AD">
      <w:trPr>
        <w:trHeight w:val="142"/>
      </w:trPr>
      <w:tc>
        <w:tcPr>
          <w:tcW w:w="3529" w:type="dxa"/>
        </w:tcPr>
        <w:p w14:paraId="2B6D12A7" w14:textId="0E0FD1BC" w:rsidR="009A1FC8" w:rsidRPr="000E43B7" w:rsidRDefault="009A1FC8"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9A1FC8" w:rsidRPr="002B61AE" w:rsidRDefault="009A1FC8" w:rsidP="00A571D8">
          <w:pPr>
            <w:tabs>
              <w:tab w:val="left" w:pos="4335"/>
              <w:tab w:val="right" w:pos="10348"/>
            </w:tabs>
            <w:rPr>
              <w:rStyle w:val="PageNumber"/>
              <w:rFonts w:cs="Arial"/>
              <w:color w:val="808000"/>
              <w:sz w:val="20"/>
              <w:lang w:val="en-US"/>
            </w:rPr>
          </w:pPr>
        </w:p>
      </w:tc>
      <w:tc>
        <w:tcPr>
          <w:tcW w:w="2926" w:type="dxa"/>
        </w:tcPr>
        <w:p w14:paraId="1EF6C99D" w14:textId="4CEA11E4" w:rsidR="009A1FC8" w:rsidRPr="006A23C4" w:rsidRDefault="009A1FC8" w:rsidP="00A571D8">
          <w:pPr>
            <w:tabs>
              <w:tab w:val="left" w:pos="4335"/>
              <w:tab w:val="right" w:pos="10348"/>
            </w:tabs>
            <w:rPr>
              <w:rStyle w:val="PageNumber"/>
              <w:rFonts w:cs="Arial"/>
              <w:color w:val="0091A5"/>
              <w:sz w:val="20"/>
              <w:lang w:val="en-US"/>
            </w:rPr>
          </w:pPr>
          <w:r w:rsidRPr="002334AD">
            <w:rPr>
              <w:rStyle w:val="PageNumber"/>
              <w:rFonts w:cs="Arial"/>
              <w:color w:val="0091A5"/>
              <w:sz w:val="20"/>
              <w:lang w:val="en-US"/>
            </w:rPr>
            <w:t xml:space="preserve">Issued </w:t>
          </w:r>
          <w:r w:rsidR="002334AD" w:rsidRPr="002334AD">
            <w:rPr>
              <w:rStyle w:val="PageNumber"/>
              <w:rFonts w:cs="Arial"/>
              <w:color w:val="0091A5"/>
              <w:sz w:val="20"/>
              <w:lang w:val="en-US"/>
            </w:rPr>
            <w:t>21 October 2020</w:t>
          </w:r>
        </w:p>
      </w:tc>
      <w:tc>
        <w:tcPr>
          <w:tcW w:w="2392" w:type="dxa"/>
        </w:tcPr>
        <w:p w14:paraId="7CA15C94" w14:textId="2866E90E" w:rsidR="009A1FC8" w:rsidRPr="006A23C4" w:rsidRDefault="009A1FC8"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8</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B74DBE5" w14:textId="79D39319" w:rsidR="009A1FC8" w:rsidRDefault="009A1FC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9A1FC8" w:rsidRPr="002B61AE" w14:paraId="7162F51D" w14:textId="77777777" w:rsidTr="000E43B7">
      <w:trPr>
        <w:trHeight w:val="284"/>
      </w:trPr>
      <w:tc>
        <w:tcPr>
          <w:tcW w:w="3529" w:type="dxa"/>
        </w:tcPr>
        <w:p w14:paraId="7914D430" w14:textId="1EA73A00" w:rsidR="009A1FC8" w:rsidRPr="000E43B7" w:rsidRDefault="009A1FC8"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2F1D392A" w14:textId="77777777" w:rsidR="009A1FC8" w:rsidRPr="003F0B81" w:rsidRDefault="009A1FC8" w:rsidP="00BB2721">
          <w:pPr>
            <w:tabs>
              <w:tab w:val="left" w:pos="4335"/>
              <w:tab w:val="right" w:pos="10348"/>
            </w:tabs>
            <w:rPr>
              <w:rStyle w:val="PageNumber"/>
              <w:rFonts w:cs="Arial"/>
              <w:color w:val="808000"/>
              <w:sz w:val="20"/>
              <w:highlight w:val="yellow"/>
              <w:lang w:val="en-US"/>
            </w:rPr>
          </w:pPr>
        </w:p>
      </w:tc>
      <w:tc>
        <w:tcPr>
          <w:tcW w:w="2926" w:type="dxa"/>
        </w:tcPr>
        <w:p w14:paraId="0F26C053" w14:textId="79EAE1B1" w:rsidR="009A1FC8" w:rsidRPr="003F0B81" w:rsidRDefault="002334AD" w:rsidP="00BB2721">
          <w:pPr>
            <w:tabs>
              <w:tab w:val="left" w:pos="4335"/>
              <w:tab w:val="right" w:pos="10348"/>
            </w:tabs>
            <w:rPr>
              <w:rStyle w:val="PageNumber"/>
              <w:rFonts w:cs="Arial"/>
              <w:color w:val="0091A5"/>
              <w:sz w:val="20"/>
              <w:highlight w:val="yellow"/>
              <w:lang w:val="en-US"/>
            </w:rPr>
          </w:pPr>
          <w:r w:rsidRPr="002334AD">
            <w:rPr>
              <w:rStyle w:val="PageNumber"/>
              <w:rFonts w:cs="Arial"/>
              <w:color w:val="0091A5"/>
              <w:sz w:val="20"/>
              <w:lang w:val="en-US"/>
            </w:rPr>
            <w:t>Issued 21 October 2020</w:t>
          </w:r>
        </w:p>
      </w:tc>
      <w:tc>
        <w:tcPr>
          <w:tcW w:w="2392" w:type="dxa"/>
        </w:tcPr>
        <w:p w14:paraId="5CACEF3E" w14:textId="41BA3BE6" w:rsidR="009A1FC8" w:rsidRPr="006A23C4" w:rsidRDefault="009A1FC8"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12</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7C624055" w14:textId="77777777" w:rsidR="009A1FC8" w:rsidRPr="00B602B8" w:rsidRDefault="009A1FC8" w:rsidP="0036508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9A1FC8" w:rsidRPr="002B61AE" w14:paraId="7F23BD53" w14:textId="77777777" w:rsidTr="000E43B7">
      <w:trPr>
        <w:trHeight w:val="284"/>
      </w:trPr>
      <w:tc>
        <w:tcPr>
          <w:tcW w:w="3529" w:type="dxa"/>
        </w:tcPr>
        <w:p w14:paraId="61468296" w14:textId="77777777" w:rsidR="009A1FC8" w:rsidRPr="00EE51DF" w:rsidRDefault="009A1FC8" w:rsidP="00EE51DF">
          <w:pPr>
            <w:rPr>
              <w:color w:val="3C3C41"/>
              <w:sz w:val="16"/>
              <w:szCs w:val="16"/>
            </w:rPr>
          </w:pPr>
          <w:r w:rsidRPr="00EE51DF">
            <w:rPr>
              <w:color w:val="3C3C41"/>
              <w:sz w:val="16"/>
              <w:szCs w:val="16"/>
            </w:rPr>
            <w:t>Published by:</w:t>
          </w:r>
        </w:p>
        <w:p w14:paraId="690C9A9E" w14:textId="77777777" w:rsidR="009A1FC8" w:rsidRPr="00EE51DF" w:rsidRDefault="009A1FC8" w:rsidP="00EE51DF">
          <w:pPr>
            <w:rPr>
              <w:color w:val="3C3C41"/>
              <w:sz w:val="16"/>
              <w:szCs w:val="16"/>
            </w:rPr>
          </w:pPr>
          <w:r w:rsidRPr="00EE51DF">
            <w:rPr>
              <w:color w:val="3C3C41"/>
              <w:sz w:val="16"/>
              <w:szCs w:val="16"/>
            </w:rPr>
            <w:t>Natural Resources Wales</w:t>
          </w:r>
        </w:p>
        <w:p w14:paraId="23948F58" w14:textId="77777777" w:rsidR="009A1FC8" w:rsidRPr="00EE51DF" w:rsidRDefault="009A1FC8" w:rsidP="00EE51DF">
          <w:pPr>
            <w:rPr>
              <w:color w:val="3C3C41"/>
              <w:sz w:val="16"/>
              <w:szCs w:val="16"/>
            </w:rPr>
          </w:pPr>
          <w:r w:rsidRPr="00EE51DF">
            <w:rPr>
              <w:color w:val="3C3C41"/>
              <w:sz w:val="16"/>
              <w:szCs w:val="16"/>
            </w:rPr>
            <w:t>Cambria House</w:t>
          </w:r>
        </w:p>
        <w:p w14:paraId="154BE4AF" w14:textId="77777777" w:rsidR="009A1FC8" w:rsidRPr="00EE51DF" w:rsidRDefault="009A1FC8" w:rsidP="00EE51DF">
          <w:pPr>
            <w:rPr>
              <w:color w:val="3C3C41"/>
              <w:sz w:val="16"/>
              <w:szCs w:val="16"/>
            </w:rPr>
          </w:pPr>
          <w:r w:rsidRPr="00EE51DF">
            <w:rPr>
              <w:color w:val="3C3C41"/>
              <w:sz w:val="16"/>
              <w:szCs w:val="16"/>
            </w:rPr>
            <w:t>29 Newport Road</w:t>
          </w:r>
        </w:p>
        <w:p w14:paraId="1B90CC84" w14:textId="77777777" w:rsidR="009A1FC8" w:rsidRPr="00EE51DF" w:rsidRDefault="009A1FC8" w:rsidP="00EE51DF">
          <w:pPr>
            <w:rPr>
              <w:color w:val="3C3C41"/>
              <w:sz w:val="16"/>
              <w:szCs w:val="16"/>
            </w:rPr>
          </w:pPr>
          <w:r w:rsidRPr="00EE51DF">
            <w:rPr>
              <w:color w:val="3C3C41"/>
              <w:sz w:val="16"/>
              <w:szCs w:val="16"/>
            </w:rPr>
            <w:t>Cardiff</w:t>
          </w:r>
        </w:p>
        <w:p w14:paraId="1D02AD9C" w14:textId="77777777" w:rsidR="009A1FC8" w:rsidRPr="00EE51DF" w:rsidRDefault="009A1FC8" w:rsidP="00EE51DF">
          <w:pPr>
            <w:rPr>
              <w:color w:val="3C3C41"/>
              <w:sz w:val="16"/>
              <w:szCs w:val="16"/>
            </w:rPr>
          </w:pPr>
          <w:r w:rsidRPr="00EE51DF">
            <w:rPr>
              <w:color w:val="3C3C41"/>
              <w:sz w:val="16"/>
              <w:szCs w:val="16"/>
            </w:rPr>
            <w:t>CF24 0TP</w:t>
          </w:r>
        </w:p>
        <w:p w14:paraId="0ACB025B" w14:textId="77777777" w:rsidR="009A1FC8" w:rsidRPr="00EE51DF" w:rsidRDefault="009A1FC8" w:rsidP="00EE51DF">
          <w:pPr>
            <w:rPr>
              <w:color w:val="3C3C41"/>
              <w:sz w:val="16"/>
              <w:szCs w:val="16"/>
            </w:rPr>
          </w:pPr>
        </w:p>
        <w:p w14:paraId="292617E1" w14:textId="77777777" w:rsidR="009A1FC8" w:rsidRPr="00EE51DF" w:rsidRDefault="009A1FC8" w:rsidP="00EE51DF">
          <w:pPr>
            <w:rPr>
              <w:color w:val="3C3C41"/>
              <w:sz w:val="16"/>
              <w:szCs w:val="16"/>
            </w:rPr>
          </w:pPr>
          <w:r w:rsidRPr="00EE51DF">
            <w:rPr>
              <w:color w:val="3C3C41"/>
              <w:sz w:val="16"/>
              <w:szCs w:val="16"/>
            </w:rPr>
            <w:t>0300 065 3000 (Mon-Fri, 8am - 6pm)</w:t>
          </w:r>
        </w:p>
        <w:p w14:paraId="356EDCC5" w14:textId="77777777" w:rsidR="009A1FC8" w:rsidRPr="00EE51DF" w:rsidRDefault="009A1FC8" w:rsidP="00EE51DF">
          <w:pPr>
            <w:rPr>
              <w:color w:val="3C3C41"/>
              <w:sz w:val="16"/>
              <w:szCs w:val="16"/>
            </w:rPr>
          </w:pPr>
        </w:p>
        <w:p w14:paraId="791836B9" w14:textId="77777777" w:rsidR="009A1FC8" w:rsidRPr="00EE51DF" w:rsidRDefault="009A1FC8" w:rsidP="00EE51DF">
          <w:pPr>
            <w:rPr>
              <w:color w:val="0091A5"/>
              <w:sz w:val="16"/>
              <w:szCs w:val="16"/>
            </w:rPr>
          </w:pPr>
          <w:r w:rsidRPr="00EE51DF">
            <w:rPr>
              <w:color w:val="0091A5"/>
              <w:sz w:val="16"/>
              <w:szCs w:val="16"/>
            </w:rPr>
            <w:t>enquiries@naturalresourceswales.gov.uk</w:t>
          </w:r>
        </w:p>
        <w:p w14:paraId="30F84A26" w14:textId="77777777" w:rsidR="009A1FC8" w:rsidRPr="00EE51DF" w:rsidRDefault="009A1FC8" w:rsidP="00EE51DF">
          <w:pPr>
            <w:rPr>
              <w:color w:val="0091A5"/>
              <w:sz w:val="16"/>
              <w:szCs w:val="16"/>
            </w:rPr>
          </w:pPr>
          <w:r w:rsidRPr="00EE51DF">
            <w:rPr>
              <w:color w:val="0091A5"/>
              <w:sz w:val="16"/>
              <w:szCs w:val="16"/>
            </w:rPr>
            <w:t xml:space="preserve">www.naturalresourceswales.gov.uk </w:t>
          </w:r>
        </w:p>
        <w:p w14:paraId="40415FDB" w14:textId="77777777" w:rsidR="009A1FC8" w:rsidRPr="00EE51DF" w:rsidRDefault="009A1FC8" w:rsidP="00EE51DF">
          <w:pPr>
            <w:rPr>
              <w:color w:val="3C3C41"/>
              <w:sz w:val="16"/>
              <w:szCs w:val="16"/>
            </w:rPr>
          </w:pPr>
        </w:p>
        <w:p w14:paraId="27073C69" w14:textId="77777777" w:rsidR="009A1FC8" w:rsidRPr="00EE51DF" w:rsidRDefault="009A1FC8" w:rsidP="00EE51DF">
          <w:pPr>
            <w:rPr>
              <w:color w:val="3C3C41"/>
              <w:sz w:val="16"/>
              <w:szCs w:val="16"/>
            </w:rPr>
          </w:pPr>
          <w:r w:rsidRPr="00EE51DF">
            <w:rPr>
              <w:color w:val="3C3C41"/>
              <w:sz w:val="16"/>
              <w:szCs w:val="16"/>
            </w:rPr>
            <w:t>© Natural Resources Wales</w:t>
          </w:r>
        </w:p>
        <w:p w14:paraId="5BA5588B" w14:textId="77777777" w:rsidR="009A1FC8" w:rsidRPr="00EE51DF" w:rsidRDefault="009A1FC8" w:rsidP="00EE51DF">
          <w:pPr>
            <w:rPr>
              <w:color w:val="3C3C41"/>
              <w:sz w:val="16"/>
              <w:szCs w:val="16"/>
            </w:rPr>
          </w:pPr>
        </w:p>
        <w:p w14:paraId="7142A283" w14:textId="77777777" w:rsidR="009A1FC8" w:rsidRPr="00EE51DF" w:rsidRDefault="009A1FC8"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9A1FC8" w:rsidRPr="00EE51DF" w:rsidRDefault="009A1FC8" w:rsidP="00EE51DF">
          <w:pPr>
            <w:rPr>
              <w:color w:val="3C3C41"/>
              <w:sz w:val="16"/>
              <w:szCs w:val="16"/>
            </w:rPr>
          </w:pPr>
          <w:r w:rsidRPr="00EE51DF">
            <w:rPr>
              <w:color w:val="3C3C41"/>
              <w:sz w:val="16"/>
              <w:szCs w:val="16"/>
            </w:rPr>
            <w:t>Natural Resources Wales</w:t>
          </w:r>
        </w:p>
        <w:p w14:paraId="72B81F08" w14:textId="72206EC5" w:rsidR="009A1FC8" w:rsidRPr="000E43B7" w:rsidRDefault="009A1FC8" w:rsidP="000E43B7">
          <w:pPr>
            <w:tabs>
              <w:tab w:val="left" w:pos="4335"/>
              <w:tab w:val="right" w:pos="10348"/>
            </w:tabs>
            <w:rPr>
              <w:rStyle w:val="PageNumber"/>
              <w:rFonts w:cs="Arial"/>
              <w:color w:val="0091A5"/>
              <w:sz w:val="20"/>
              <w:lang w:val="en-US"/>
            </w:rPr>
          </w:pPr>
        </w:p>
      </w:tc>
      <w:tc>
        <w:tcPr>
          <w:tcW w:w="1789" w:type="dxa"/>
        </w:tcPr>
        <w:p w14:paraId="1C8B6DB8" w14:textId="77777777" w:rsidR="009A1FC8" w:rsidRPr="002B61AE" w:rsidRDefault="009A1FC8" w:rsidP="00BB2721">
          <w:pPr>
            <w:tabs>
              <w:tab w:val="left" w:pos="4335"/>
              <w:tab w:val="right" w:pos="10348"/>
            </w:tabs>
            <w:rPr>
              <w:rStyle w:val="PageNumber"/>
              <w:rFonts w:cs="Arial"/>
              <w:color w:val="808000"/>
              <w:sz w:val="20"/>
              <w:lang w:val="en-US"/>
            </w:rPr>
          </w:pPr>
        </w:p>
      </w:tc>
      <w:tc>
        <w:tcPr>
          <w:tcW w:w="2926" w:type="dxa"/>
        </w:tcPr>
        <w:p w14:paraId="2BFCF068" w14:textId="409670BB" w:rsidR="009A1FC8" w:rsidRPr="006A23C4" w:rsidRDefault="009A1FC8" w:rsidP="00BB2721">
          <w:pPr>
            <w:tabs>
              <w:tab w:val="left" w:pos="4335"/>
              <w:tab w:val="right" w:pos="10348"/>
            </w:tabs>
            <w:rPr>
              <w:rStyle w:val="PageNumber"/>
              <w:rFonts w:cs="Arial"/>
              <w:color w:val="0091A5"/>
              <w:sz w:val="20"/>
              <w:lang w:val="en-US"/>
            </w:rPr>
          </w:pPr>
          <w:r w:rsidRPr="0054020F">
            <w:rPr>
              <w:rStyle w:val="PageNumber"/>
              <w:rFonts w:cs="Arial"/>
              <w:color w:val="0091A5"/>
              <w:sz w:val="20"/>
              <w:lang w:val="en-US"/>
            </w:rPr>
            <w:t xml:space="preserve">Issued </w:t>
          </w:r>
          <w:r w:rsidR="0054020F" w:rsidRPr="0054020F">
            <w:rPr>
              <w:rStyle w:val="PageNumber"/>
              <w:rFonts w:cs="Arial"/>
              <w:color w:val="0091A5"/>
              <w:sz w:val="20"/>
              <w:lang w:val="en-US"/>
            </w:rPr>
            <w:t>21 October 2020</w:t>
          </w:r>
        </w:p>
      </w:tc>
      <w:tc>
        <w:tcPr>
          <w:tcW w:w="2392" w:type="dxa"/>
        </w:tcPr>
        <w:p w14:paraId="219F80FA" w14:textId="6A659927" w:rsidR="009A1FC8" w:rsidRPr="006A23C4" w:rsidRDefault="009A1FC8"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1923166F" w14:textId="77777777" w:rsidR="009A1FC8" w:rsidRPr="00B602B8" w:rsidRDefault="009A1FC8"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3557AC" w14:textId="77777777" w:rsidR="00CE4565" w:rsidRDefault="00CE4565">
      <w:r>
        <w:separator/>
      </w:r>
    </w:p>
  </w:footnote>
  <w:footnote w:type="continuationSeparator" w:id="0">
    <w:p w14:paraId="067EDF93" w14:textId="77777777" w:rsidR="00CE4565" w:rsidRDefault="00CE45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441450F4" w:rsidR="009A1FC8" w:rsidRDefault="009A1FC8" w:rsidP="002E6C2D">
    <w:pPr>
      <w:pStyle w:val="Header"/>
    </w:pPr>
    <w:r>
      <w:rPr>
        <w:noProof/>
        <w:lang w:eastAsia="en-GB"/>
      </w:rPr>
      <w:drawing>
        <wp:inline distT="0" distB="0" distL="0" distR="0" wp14:anchorId="02C3920A" wp14:editId="40F2C4D4">
          <wp:extent cx="1804670" cy="12376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7BDC2" w14:textId="70728B69" w:rsidR="009A1FC8" w:rsidRDefault="009A1F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E13651" w14:textId="755B2B16" w:rsidR="009A1FC8" w:rsidRDefault="009A1FC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6A2033DD" w:rsidR="009A1FC8" w:rsidRPr="003D4414" w:rsidRDefault="009A1FC8" w:rsidP="003D441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F90CE9" w14:textId="6003D84B" w:rsidR="009A1FC8" w:rsidRDefault="009A1FC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A9348F" w14:textId="0E8DA3FE" w:rsidR="009A1FC8" w:rsidRDefault="009A1FC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24C66" w14:textId="4590D338" w:rsidR="009A1FC8" w:rsidRDefault="009A1FC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81E55" w14:textId="23C48AA5" w:rsidR="009A1FC8" w:rsidRDefault="009A1FC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23A546" w14:textId="46079F9A" w:rsidR="009A1FC8" w:rsidRDefault="009A1FC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E502C" w14:textId="6AD90C94" w:rsidR="009A1FC8" w:rsidRDefault="009A1F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D28F8"/>
    <w:multiLevelType w:val="hybridMultilevel"/>
    <w:tmpl w:val="D1927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4" w15:restartNumberingAfterBreak="0">
    <w:nsid w:val="11A64C80"/>
    <w:multiLevelType w:val="singleLevel"/>
    <w:tmpl w:val="08090001"/>
    <w:lvl w:ilvl="0">
      <w:start w:val="1"/>
      <w:numFmt w:val="bullet"/>
      <w:lvlText w:val=""/>
      <w:lvlJc w:val="left"/>
      <w:pPr>
        <w:ind w:left="720" w:hanging="360"/>
      </w:pPr>
      <w:rPr>
        <w:rFonts w:ascii="Symbol" w:hAnsi="Symbol" w:hint="default"/>
      </w:rPr>
    </w:lvl>
  </w:abstractNum>
  <w:abstractNum w:abstractNumId="5"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2A5622"/>
    <w:multiLevelType w:val="hybridMultilevel"/>
    <w:tmpl w:val="EA1A8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5"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B410DD9"/>
    <w:multiLevelType w:val="hybridMultilevel"/>
    <w:tmpl w:val="D4426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7"/>
  </w:num>
  <w:num w:numId="3">
    <w:abstractNumId w:val="21"/>
  </w:num>
  <w:num w:numId="4">
    <w:abstractNumId w:val="5"/>
  </w:num>
  <w:num w:numId="5">
    <w:abstractNumId w:val="9"/>
  </w:num>
  <w:num w:numId="6">
    <w:abstractNumId w:val="7"/>
  </w:num>
  <w:num w:numId="7">
    <w:abstractNumId w:val="12"/>
  </w:num>
  <w:num w:numId="8">
    <w:abstractNumId w:val="25"/>
  </w:num>
  <w:num w:numId="9">
    <w:abstractNumId w:val="30"/>
  </w:num>
  <w:num w:numId="10">
    <w:abstractNumId w:val="16"/>
  </w:num>
  <w:num w:numId="11">
    <w:abstractNumId w:val="22"/>
  </w:num>
  <w:num w:numId="12">
    <w:abstractNumId w:val="29"/>
  </w:num>
  <w:num w:numId="13">
    <w:abstractNumId w:val="28"/>
  </w:num>
  <w:num w:numId="14">
    <w:abstractNumId w:val="15"/>
  </w:num>
  <w:num w:numId="15">
    <w:abstractNumId w:val="20"/>
  </w:num>
  <w:num w:numId="16">
    <w:abstractNumId w:val="10"/>
  </w:num>
  <w:num w:numId="17">
    <w:abstractNumId w:val="24"/>
  </w:num>
  <w:num w:numId="18">
    <w:abstractNumId w:val="1"/>
  </w:num>
  <w:num w:numId="19">
    <w:abstractNumId w:val="14"/>
  </w:num>
  <w:num w:numId="20">
    <w:abstractNumId w:val="6"/>
  </w:num>
  <w:num w:numId="21">
    <w:abstractNumId w:val="11"/>
  </w:num>
  <w:num w:numId="22">
    <w:abstractNumId w:val="2"/>
  </w:num>
  <w:num w:numId="23">
    <w:abstractNumId w:val="17"/>
  </w:num>
  <w:num w:numId="24">
    <w:abstractNumId w:val="26"/>
  </w:num>
  <w:num w:numId="25">
    <w:abstractNumId w:val="18"/>
  </w:num>
  <w:num w:numId="26">
    <w:abstractNumId w:val="19"/>
  </w:num>
  <w:num w:numId="27">
    <w:abstractNumId w:val="8"/>
  </w:num>
  <w:num w:numId="28">
    <w:abstractNumId w:val="3"/>
  </w:num>
  <w:num w:numId="29">
    <w:abstractNumId w:val="23"/>
  </w:num>
  <w:num w:numId="30">
    <w:abstractNumId w:val="0"/>
  </w:num>
  <w:num w:numId="31">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3674"/>
    <w:rsid w:val="000211F4"/>
    <w:rsid w:val="000225DA"/>
    <w:rsid w:val="00023A44"/>
    <w:rsid w:val="00024E0F"/>
    <w:rsid w:val="00025882"/>
    <w:rsid w:val="000436A8"/>
    <w:rsid w:val="00052697"/>
    <w:rsid w:val="0005636B"/>
    <w:rsid w:val="00057B0C"/>
    <w:rsid w:val="00067A5C"/>
    <w:rsid w:val="00077908"/>
    <w:rsid w:val="00081421"/>
    <w:rsid w:val="00087AFD"/>
    <w:rsid w:val="00094448"/>
    <w:rsid w:val="000A2B15"/>
    <w:rsid w:val="000A6110"/>
    <w:rsid w:val="000B0C2A"/>
    <w:rsid w:val="000C1141"/>
    <w:rsid w:val="000C3151"/>
    <w:rsid w:val="000D41D1"/>
    <w:rsid w:val="000E2BCE"/>
    <w:rsid w:val="000E43B7"/>
    <w:rsid w:val="000E54AC"/>
    <w:rsid w:val="000E628C"/>
    <w:rsid w:val="000F3D3D"/>
    <w:rsid w:val="000F662E"/>
    <w:rsid w:val="00107C27"/>
    <w:rsid w:val="00112F82"/>
    <w:rsid w:val="00116AA0"/>
    <w:rsid w:val="001201E4"/>
    <w:rsid w:val="00120FD3"/>
    <w:rsid w:val="00124B9A"/>
    <w:rsid w:val="00130017"/>
    <w:rsid w:val="00141DD3"/>
    <w:rsid w:val="00147725"/>
    <w:rsid w:val="001500A3"/>
    <w:rsid w:val="00153FFB"/>
    <w:rsid w:val="0016775A"/>
    <w:rsid w:val="0017110E"/>
    <w:rsid w:val="00173FA0"/>
    <w:rsid w:val="00175981"/>
    <w:rsid w:val="00176DE6"/>
    <w:rsid w:val="001853EC"/>
    <w:rsid w:val="0019004D"/>
    <w:rsid w:val="0019078A"/>
    <w:rsid w:val="001A2522"/>
    <w:rsid w:val="001A4276"/>
    <w:rsid w:val="001A47AE"/>
    <w:rsid w:val="001A79EC"/>
    <w:rsid w:val="001B35DB"/>
    <w:rsid w:val="001B5BD3"/>
    <w:rsid w:val="001B77CB"/>
    <w:rsid w:val="001C1F18"/>
    <w:rsid w:val="001C3462"/>
    <w:rsid w:val="001C3FCF"/>
    <w:rsid w:val="001D3868"/>
    <w:rsid w:val="001F0E23"/>
    <w:rsid w:val="002013C8"/>
    <w:rsid w:val="00202B65"/>
    <w:rsid w:val="00205F87"/>
    <w:rsid w:val="00210407"/>
    <w:rsid w:val="002139AA"/>
    <w:rsid w:val="00216630"/>
    <w:rsid w:val="00223BAE"/>
    <w:rsid w:val="002334AD"/>
    <w:rsid w:val="0023750B"/>
    <w:rsid w:val="00246434"/>
    <w:rsid w:val="00250C09"/>
    <w:rsid w:val="0025190D"/>
    <w:rsid w:val="00253604"/>
    <w:rsid w:val="0026391A"/>
    <w:rsid w:val="0028175F"/>
    <w:rsid w:val="00293379"/>
    <w:rsid w:val="002A2BB3"/>
    <w:rsid w:val="002A61BE"/>
    <w:rsid w:val="002A66F0"/>
    <w:rsid w:val="002B0D8B"/>
    <w:rsid w:val="002B2C72"/>
    <w:rsid w:val="002B3FAA"/>
    <w:rsid w:val="002C2D76"/>
    <w:rsid w:val="002C41CA"/>
    <w:rsid w:val="002C510E"/>
    <w:rsid w:val="002D0A0C"/>
    <w:rsid w:val="002D7156"/>
    <w:rsid w:val="002E28EA"/>
    <w:rsid w:val="002E3A98"/>
    <w:rsid w:val="002E57A2"/>
    <w:rsid w:val="002E6C2D"/>
    <w:rsid w:val="002F2897"/>
    <w:rsid w:val="002F2FAB"/>
    <w:rsid w:val="002F41D1"/>
    <w:rsid w:val="00317F5A"/>
    <w:rsid w:val="0032360C"/>
    <w:rsid w:val="003405D9"/>
    <w:rsid w:val="00340EEB"/>
    <w:rsid w:val="0034324D"/>
    <w:rsid w:val="00346CF0"/>
    <w:rsid w:val="00351A0A"/>
    <w:rsid w:val="003546B3"/>
    <w:rsid w:val="0036239C"/>
    <w:rsid w:val="00365084"/>
    <w:rsid w:val="003718D2"/>
    <w:rsid w:val="003719AD"/>
    <w:rsid w:val="003749E7"/>
    <w:rsid w:val="0038174A"/>
    <w:rsid w:val="00382EC3"/>
    <w:rsid w:val="00382F62"/>
    <w:rsid w:val="003869DE"/>
    <w:rsid w:val="003931C0"/>
    <w:rsid w:val="00393524"/>
    <w:rsid w:val="003A511C"/>
    <w:rsid w:val="003A7D0B"/>
    <w:rsid w:val="003B4BCB"/>
    <w:rsid w:val="003B6BE0"/>
    <w:rsid w:val="003C0DE9"/>
    <w:rsid w:val="003C6618"/>
    <w:rsid w:val="003D1803"/>
    <w:rsid w:val="003D4414"/>
    <w:rsid w:val="003E395A"/>
    <w:rsid w:val="003F0B81"/>
    <w:rsid w:val="003F3681"/>
    <w:rsid w:val="003F39EC"/>
    <w:rsid w:val="003F5895"/>
    <w:rsid w:val="003F691C"/>
    <w:rsid w:val="00404B8A"/>
    <w:rsid w:val="00406AF4"/>
    <w:rsid w:val="0040702A"/>
    <w:rsid w:val="00412510"/>
    <w:rsid w:val="00416EA2"/>
    <w:rsid w:val="004243F4"/>
    <w:rsid w:val="00430B48"/>
    <w:rsid w:val="004334C5"/>
    <w:rsid w:val="004363D3"/>
    <w:rsid w:val="00436DB2"/>
    <w:rsid w:val="004373C9"/>
    <w:rsid w:val="0044196C"/>
    <w:rsid w:val="00442E71"/>
    <w:rsid w:val="0044444E"/>
    <w:rsid w:val="00444D3F"/>
    <w:rsid w:val="004529F3"/>
    <w:rsid w:val="004533B1"/>
    <w:rsid w:val="00455E3C"/>
    <w:rsid w:val="0045735D"/>
    <w:rsid w:val="004717DF"/>
    <w:rsid w:val="00474C88"/>
    <w:rsid w:val="00475B36"/>
    <w:rsid w:val="00476B14"/>
    <w:rsid w:val="00481C68"/>
    <w:rsid w:val="0048448D"/>
    <w:rsid w:val="004844DC"/>
    <w:rsid w:val="00484CAF"/>
    <w:rsid w:val="00486C2B"/>
    <w:rsid w:val="004A02F0"/>
    <w:rsid w:val="004B2176"/>
    <w:rsid w:val="004B3156"/>
    <w:rsid w:val="004C16AD"/>
    <w:rsid w:val="004C2569"/>
    <w:rsid w:val="004E4418"/>
    <w:rsid w:val="004E4D95"/>
    <w:rsid w:val="004E7719"/>
    <w:rsid w:val="004F7332"/>
    <w:rsid w:val="00501D4E"/>
    <w:rsid w:val="005102DA"/>
    <w:rsid w:val="00510CB0"/>
    <w:rsid w:val="005247FE"/>
    <w:rsid w:val="00524A7E"/>
    <w:rsid w:val="00531D21"/>
    <w:rsid w:val="0053202F"/>
    <w:rsid w:val="0053399B"/>
    <w:rsid w:val="0053589C"/>
    <w:rsid w:val="00535DB7"/>
    <w:rsid w:val="0054020F"/>
    <w:rsid w:val="00541B3D"/>
    <w:rsid w:val="00544C49"/>
    <w:rsid w:val="00546A50"/>
    <w:rsid w:val="00550EFF"/>
    <w:rsid w:val="00562544"/>
    <w:rsid w:val="00563D41"/>
    <w:rsid w:val="00565A02"/>
    <w:rsid w:val="0056738F"/>
    <w:rsid w:val="005761B2"/>
    <w:rsid w:val="0058385C"/>
    <w:rsid w:val="005910D1"/>
    <w:rsid w:val="00591E64"/>
    <w:rsid w:val="00595A18"/>
    <w:rsid w:val="00595B1F"/>
    <w:rsid w:val="005B2BCC"/>
    <w:rsid w:val="005B36D9"/>
    <w:rsid w:val="005B3827"/>
    <w:rsid w:val="005B6A95"/>
    <w:rsid w:val="005D09D0"/>
    <w:rsid w:val="005D0E13"/>
    <w:rsid w:val="005E1031"/>
    <w:rsid w:val="005F089F"/>
    <w:rsid w:val="0060457F"/>
    <w:rsid w:val="00605EAA"/>
    <w:rsid w:val="00607AB7"/>
    <w:rsid w:val="00614A77"/>
    <w:rsid w:val="00623FA4"/>
    <w:rsid w:val="00631CDF"/>
    <w:rsid w:val="00637693"/>
    <w:rsid w:val="00640AE6"/>
    <w:rsid w:val="00641913"/>
    <w:rsid w:val="00642B90"/>
    <w:rsid w:val="00645296"/>
    <w:rsid w:val="00646A91"/>
    <w:rsid w:val="00646BEE"/>
    <w:rsid w:val="00646DEF"/>
    <w:rsid w:val="0065381E"/>
    <w:rsid w:val="00653B2E"/>
    <w:rsid w:val="00654FF9"/>
    <w:rsid w:val="00673F3D"/>
    <w:rsid w:val="0067478B"/>
    <w:rsid w:val="006765AE"/>
    <w:rsid w:val="0067678C"/>
    <w:rsid w:val="00680A19"/>
    <w:rsid w:val="006817A9"/>
    <w:rsid w:val="00681CCF"/>
    <w:rsid w:val="00682EA1"/>
    <w:rsid w:val="00685F82"/>
    <w:rsid w:val="006926EA"/>
    <w:rsid w:val="006933D4"/>
    <w:rsid w:val="00695D92"/>
    <w:rsid w:val="006A23C4"/>
    <w:rsid w:val="006A3194"/>
    <w:rsid w:val="006A6223"/>
    <w:rsid w:val="006A6E52"/>
    <w:rsid w:val="006A6F22"/>
    <w:rsid w:val="006B1FC3"/>
    <w:rsid w:val="006B4555"/>
    <w:rsid w:val="006B5264"/>
    <w:rsid w:val="006E36FC"/>
    <w:rsid w:val="006E5ED9"/>
    <w:rsid w:val="006F4CBC"/>
    <w:rsid w:val="00711CD7"/>
    <w:rsid w:val="00712437"/>
    <w:rsid w:val="00715F81"/>
    <w:rsid w:val="0072381C"/>
    <w:rsid w:val="00730BCA"/>
    <w:rsid w:val="007335DF"/>
    <w:rsid w:val="007516DC"/>
    <w:rsid w:val="00761898"/>
    <w:rsid w:val="00762D58"/>
    <w:rsid w:val="00771574"/>
    <w:rsid w:val="00773847"/>
    <w:rsid w:val="0077458B"/>
    <w:rsid w:val="0077476C"/>
    <w:rsid w:val="007755AF"/>
    <w:rsid w:val="00780888"/>
    <w:rsid w:val="00792990"/>
    <w:rsid w:val="00792CEE"/>
    <w:rsid w:val="0079474E"/>
    <w:rsid w:val="007A1244"/>
    <w:rsid w:val="007B4377"/>
    <w:rsid w:val="007B4F4A"/>
    <w:rsid w:val="007B6B93"/>
    <w:rsid w:val="007B79A7"/>
    <w:rsid w:val="007C0D90"/>
    <w:rsid w:val="007C0DCA"/>
    <w:rsid w:val="007D145A"/>
    <w:rsid w:val="007D2A88"/>
    <w:rsid w:val="007D2C10"/>
    <w:rsid w:val="007D5FFC"/>
    <w:rsid w:val="007E1C67"/>
    <w:rsid w:val="007E3284"/>
    <w:rsid w:val="007E5AD7"/>
    <w:rsid w:val="007F1354"/>
    <w:rsid w:val="008008B9"/>
    <w:rsid w:val="00806A84"/>
    <w:rsid w:val="008146E9"/>
    <w:rsid w:val="00843034"/>
    <w:rsid w:val="00845513"/>
    <w:rsid w:val="00857E69"/>
    <w:rsid w:val="00862631"/>
    <w:rsid w:val="0086315A"/>
    <w:rsid w:val="008642DA"/>
    <w:rsid w:val="008743F4"/>
    <w:rsid w:val="00880901"/>
    <w:rsid w:val="00882814"/>
    <w:rsid w:val="008828A9"/>
    <w:rsid w:val="00885742"/>
    <w:rsid w:val="00887285"/>
    <w:rsid w:val="0089254B"/>
    <w:rsid w:val="008A3DB1"/>
    <w:rsid w:val="008A57D0"/>
    <w:rsid w:val="008A5C1D"/>
    <w:rsid w:val="008C03FA"/>
    <w:rsid w:val="008C15F8"/>
    <w:rsid w:val="008C2F8F"/>
    <w:rsid w:val="008D0A1D"/>
    <w:rsid w:val="008D1489"/>
    <w:rsid w:val="008D4796"/>
    <w:rsid w:val="008E02D7"/>
    <w:rsid w:val="008E0382"/>
    <w:rsid w:val="008E03A3"/>
    <w:rsid w:val="008E3ADF"/>
    <w:rsid w:val="008E3D7C"/>
    <w:rsid w:val="008E7819"/>
    <w:rsid w:val="008F5198"/>
    <w:rsid w:val="009027F9"/>
    <w:rsid w:val="009047F4"/>
    <w:rsid w:val="009070E1"/>
    <w:rsid w:val="00925040"/>
    <w:rsid w:val="00930ABE"/>
    <w:rsid w:val="009344C0"/>
    <w:rsid w:val="0093480F"/>
    <w:rsid w:val="00935CD7"/>
    <w:rsid w:val="00945712"/>
    <w:rsid w:val="0094736F"/>
    <w:rsid w:val="00952709"/>
    <w:rsid w:val="009627D0"/>
    <w:rsid w:val="0096635C"/>
    <w:rsid w:val="009802DC"/>
    <w:rsid w:val="009837ED"/>
    <w:rsid w:val="009864F9"/>
    <w:rsid w:val="0099037E"/>
    <w:rsid w:val="00992AD4"/>
    <w:rsid w:val="00995381"/>
    <w:rsid w:val="009A1FC8"/>
    <w:rsid w:val="009B0C2B"/>
    <w:rsid w:val="009B1C88"/>
    <w:rsid w:val="009B4CE8"/>
    <w:rsid w:val="009B7411"/>
    <w:rsid w:val="009C6433"/>
    <w:rsid w:val="009D4D88"/>
    <w:rsid w:val="009E4BDC"/>
    <w:rsid w:val="009F3C04"/>
    <w:rsid w:val="009F70E5"/>
    <w:rsid w:val="00A001A7"/>
    <w:rsid w:val="00A06754"/>
    <w:rsid w:val="00A1223A"/>
    <w:rsid w:val="00A13E82"/>
    <w:rsid w:val="00A21684"/>
    <w:rsid w:val="00A269F8"/>
    <w:rsid w:val="00A33020"/>
    <w:rsid w:val="00A33081"/>
    <w:rsid w:val="00A343C7"/>
    <w:rsid w:val="00A436B6"/>
    <w:rsid w:val="00A46A7D"/>
    <w:rsid w:val="00A4770D"/>
    <w:rsid w:val="00A50874"/>
    <w:rsid w:val="00A5574B"/>
    <w:rsid w:val="00A569FF"/>
    <w:rsid w:val="00A571D8"/>
    <w:rsid w:val="00A60F17"/>
    <w:rsid w:val="00A632D8"/>
    <w:rsid w:val="00A656E7"/>
    <w:rsid w:val="00A669A4"/>
    <w:rsid w:val="00A7208F"/>
    <w:rsid w:val="00A770BF"/>
    <w:rsid w:val="00A77D4D"/>
    <w:rsid w:val="00AA4DA1"/>
    <w:rsid w:val="00AB6ED2"/>
    <w:rsid w:val="00AC113C"/>
    <w:rsid w:val="00AC5DE6"/>
    <w:rsid w:val="00AC66F9"/>
    <w:rsid w:val="00AD1BE6"/>
    <w:rsid w:val="00AD2646"/>
    <w:rsid w:val="00AD3527"/>
    <w:rsid w:val="00AD4B61"/>
    <w:rsid w:val="00AD4DCA"/>
    <w:rsid w:val="00AD731D"/>
    <w:rsid w:val="00AE0EB9"/>
    <w:rsid w:val="00AE6B54"/>
    <w:rsid w:val="00AE70BF"/>
    <w:rsid w:val="00AF517E"/>
    <w:rsid w:val="00B00F7A"/>
    <w:rsid w:val="00B103CA"/>
    <w:rsid w:val="00B10601"/>
    <w:rsid w:val="00B14CBC"/>
    <w:rsid w:val="00B219F4"/>
    <w:rsid w:val="00B244C4"/>
    <w:rsid w:val="00B31FCB"/>
    <w:rsid w:val="00B32BEA"/>
    <w:rsid w:val="00B36EE5"/>
    <w:rsid w:val="00B54C15"/>
    <w:rsid w:val="00B602B8"/>
    <w:rsid w:val="00B62C2D"/>
    <w:rsid w:val="00B63893"/>
    <w:rsid w:val="00B73ECB"/>
    <w:rsid w:val="00B756D3"/>
    <w:rsid w:val="00B82F37"/>
    <w:rsid w:val="00B837E8"/>
    <w:rsid w:val="00B971C9"/>
    <w:rsid w:val="00B978FE"/>
    <w:rsid w:val="00BA469E"/>
    <w:rsid w:val="00BA5481"/>
    <w:rsid w:val="00BB1620"/>
    <w:rsid w:val="00BB2721"/>
    <w:rsid w:val="00BB408D"/>
    <w:rsid w:val="00BB4528"/>
    <w:rsid w:val="00BD325B"/>
    <w:rsid w:val="00BD49BA"/>
    <w:rsid w:val="00BE370B"/>
    <w:rsid w:val="00BE7950"/>
    <w:rsid w:val="00BF24F6"/>
    <w:rsid w:val="00BF379C"/>
    <w:rsid w:val="00BF758E"/>
    <w:rsid w:val="00BF76FA"/>
    <w:rsid w:val="00C01639"/>
    <w:rsid w:val="00C05011"/>
    <w:rsid w:val="00C07952"/>
    <w:rsid w:val="00C17CF9"/>
    <w:rsid w:val="00C22131"/>
    <w:rsid w:val="00C24149"/>
    <w:rsid w:val="00C43A22"/>
    <w:rsid w:val="00C44B7E"/>
    <w:rsid w:val="00C47AA5"/>
    <w:rsid w:val="00C57F82"/>
    <w:rsid w:val="00C61D9C"/>
    <w:rsid w:val="00C632B1"/>
    <w:rsid w:val="00C77886"/>
    <w:rsid w:val="00C8353B"/>
    <w:rsid w:val="00C85FD5"/>
    <w:rsid w:val="00C902F4"/>
    <w:rsid w:val="00C91798"/>
    <w:rsid w:val="00C92FD1"/>
    <w:rsid w:val="00C93F6F"/>
    <w:rsid w:val="00CA4E7D"/>
    <w:rsid w:val="00CA62D3"/>
    <w:rsid w:val="00CE11A0"/>
    <w:rsid w:val="00CE4565"/>
    <w:rsid w:val="00CF0436"/>
    <w:rsid w:val="00CF77A9"/>
    <w:rsid w:val="00CF79FA"/>
    <w:rsid w:val="00D0197E"/>
    <w:rsid w:val="00D04424"/>
    <w:rsid w:val="00D07410"/>
    <w:rsid w:val="00D151F5"/>
    <w:rsid w:val="00D26B49"/>
    <w:rsid w:val="00D27E1C"/>
    <w:rsid w:val="00D3022B"/>
    <w:rsid w:val="00D324A6"/>
    <w:rsid w:val="00D33D23"/>
    <w:rsid w:val="00D35BCB"/>
    <w:rsid w:val="00D37A87"/>
    <w:rsid w:val="00D45747"/>
    <w:rsid w:val="00D45B8A"/>
    <w:rsid w:val="00D4673F"/>
    <w:rsid w:val="00D540FD"/>
    <w:rsid w:val="00D5690F"/>
    <w:rsid w:val="00D57A4B"/>
    <w:rsid w:val="00D61AB7"/>
    <w:rsid w:val="00D63230"/>
    <w:rsid w:val="00D76C4E"/>
    <w:rsid w:val="00D7711B"/>
    <w:rsid w:val="00D7760F"/>
    <w:rsid w:val="00D8193B"/>
    <w:rsid w:val="00D825C3"/>
    <w:rsid w:val="00D84580"/>
    <w:rsid w:val="00D96438"/>
    <w:rsid w:val="00DA3AD8"/>
    <w:rsid w:val="00DA70FE"/>
    <w:rsid w:val="00DA72C7"/>
    <w:rsid w:val="00DA7802"/>
    <w:rsid w:val="00DB00B6"/>
    <w:rsid w:val="00DB74B1"/>
    <w:rsid w:val="00DC159F"/>
    <w:rsid w:val="00DC16D7"/>
    <w:rsid w:val="00DC28B8"/>
    <w:rsid w:val="00DC3714"/>
    <w:rsid w:val="00DC45DB"/>
    <w:rsid w:val="00DD5600"/>
    <w:rsid w:val="00DE09DD"/>
    <w:rsid w:val="00DE522D"/>
    <w:rsid w:val="00DE632F"/>
    <w:rsid w:val="00DF13FA"/>
    <w:rsid w:val="00E134B5"/>
    <w:rsid w:val="00E16AC9"/>
    <w:rsid w:val="00E227D5"/>
    <w:rsid w:val="00E22C8C"/>
    <w:rsid w:val="00E244F7"/>
    <w:rsid w:val="00E25A5B"/>
    <w:rsid w:val="00E32301"/>
    <w:rsid w:val="00E35F5D"/>
    <w:rsid w:val="00E379F1"/>
    <w:rsid w:val="00E450D5"/>
    <w:rsid w:val="00E47437"/>
    <w:rsid w:val="00E512FF"/>
    <w:rsid w:val="00E515E5"/>
    <w:rsid w:val="00E54F1F"/>
    <w:rsid w:val="00E618F8"/>
    <w:rsid w:val="00E61E38"/>
    <w:rsid w:val="00E64CB7"/>
    <w:rsid w:val="00E6621A"/>
    <w:rsid w:val="00E71881"/>
    <w:rsid w:val="00E723B6"/>
    <w:rsid w:val="00E76ABB"/>
    <w:rsid w:val="00E80DBE"/>
    <w:rsid w:val="00E82A2D"/>
    <w:rsid w:val="00EA3AB8"/>
    <w:rsid w:val="00EA4DEE"/>
    <w:rsid w:val="00EB010F"/>
    <w:rsid w:val="00EB242F"/>
    <w:rsid w:val="00EB26B4"/>
    <w:rsid w:val="00EC0440"/>
    <w:rsid w:val="00EC07DD"/>
    <w:rsid w:val="00EC463C"/>
    <w:rsid w:val="00EC690E"/>
    <w:rsid w:val="00ED1D92"/>
    <w:rsid w:val="00ED3720"/>
    <w:rsid w:val="00ED50CB"/>
    <w:rsid w:val="00EE51DF"/>
    <w:rsid w:val="00EE5639"/>
    <w:rsid w:val="00EF499E"/>
    <w:rsid w:val="00F0619C"/>
    <w:rsid w:val="00F10E2F"/>
    <w:rsid w:val="00F219AC"/>
    <w:rsid w:val="00F21FE3"/>
    <w:rsid w:val="00F22A07"/>
    <w:rsid w:val="00F2779C"/>
    <w:rsid w:val="00F36378"/>
    <w:rsid w:val="00F37C15"/>
    <w:rsid w:val="00F42026"/>
    <w:rsid w:val="00F44625"/>
    <w:rsid w:val="00F65963"/>
    <w:rsid w:val="00F75315"/>
    <w:rsid w:val="00F75702"/>
    <w:rsid w:val="00F84220"/>
    <w:rsid w:val="00F852AC"/>
    <w:rsid w:val="00F87A6E"/>
    <w:rsid w:val="00F96044"/>
    <w:rsid w:val="00F97A77"/>
    <w:rsid w:val="00FA0C4F"/>
    <w:rsid w:val="00FA178D"/>
    <w:rsid w:val="00FB02D6"/>
    <w:rsid w:val="00FB0B82"/>
    <w:rsid w:val="00FB10D0"/>
    <w:rsid w:val="00FB385B"/>
    <w:rsid w:val="00FB3A29"/>
    <w:rsid w:val="00FC29AE"/>
    <w:rsid w:val="00FC66B6"/>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A5481"/>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D35BCB"/>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4533B1"/>
    <w:rPr>
      <w:i w:val="0"/>
      <w:color w:val="auto"/>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Heading2Char">
    <w:name w:val="Heading 2 Char"/>
    <w:basedOn w:val="DefaultParagraphFont"/>
    <w:link w:val="Heading2"/>
    <w:rsid w:val="00BA5481"/>
    <w:rPr>
      <w:rFonts w:ascii="Arial" w:hAnsi="Arial"/>
      <w:b/>
      <w:bCs/>
      <w:color w:val="0091A5"/>
      <w:sz w:val="24"/>
      <w:szCs w:val="26"/>
      <w:lang w:eastAsia="en-US"/>
    </w:rPr>
  </w:style>
  <w:style w:type="character" w:customStyle="1" w:styleId="Heading3Char">
    <w:name w:val="Heading 3 Char"/>
    <w:basedOn w:val="DefaultParagraphFont"/>
    <w:link w:val="Heading3"/>
    <w:rsid w:val="00BA5481"/>
    <w:rPr>
      <w:rFonts w:ascii="Arial" w:hAnsi="Arial"/>
      <w:b/>
      <w:color w:val="0091A5"/>
      <w:sz w:val="24"/>
      <w:lang w:eastAsia="en-US"/>
    </w:rPr>
  </w:style>
  <w:style w:type="character" w:customStyle="1" w:styleId="BodyTextChar">
    <w:name w:val="Body Text Char"/>
    <w:basedOn w:val="DefaultParagraphFont"/>
    <w:link w:val="BodyText"/>
    <w:rsid w:val="00BA5481"/>
    <w:rPr>
      <w:rFonts w:ascii="Arial" w:hAnsi="Arial"/>
      <w:color w:val="000000"/>
      <w:sz w:val="24"/>
    </w:rPr>
  </w:style>
  <w:style w:type="paragraph" w:styleId="NormalWeb">
    <w:name w:val="Normal (Web)"/>
    <w:basedOn w:val="Normal"/>
    <w:uiPriority w:val="99"/>
    <w:semiHidden/>
    <w:unhideWhenUsed/>
    <w:rsid w:val="009F70E5"/>
    <w:pPr>
      <w:jc w:val="left"/>
    </w:pPr>
    <w:rPr>
      <w:rFonts w:ascii="Times New Roman" w:eastAsiaTheme="minorHAnsi" w:hAnsi="Times New Roman"/>
      <w:szCs w:val="24"/>
    </w:rPr>
  </w:style>
  <w:style w:type="paragraph" w:customStyle="1" w:styleId="coverLicenceHolder">
    <w:name w:val="coverLicenceHolder"/>
    <w:basedOn w:val="Normal"/>
    <w:rsid w:val="00524A7E"/>
    <w:pPr>
      <w:keepNext/>
      <w:keepLines/>
      <w:widowControl w:val="0"/>
      <w:pBdr>
        <w:top w:val="single" w:sz="4" w:space="24" w:color="auto"/>
      </w:pBdr>
      <w:tabs>
        <w:tab w:val="left" w:pos="567"/>
      </w:tabs>
      <w:spacing w:line="280" w:lineRule="exact"/>
      <w:ind w:left="3969"/>
      <w:jc w:val="left"/>
    </w:pPr>
  </w:style>
  <w:style w:type="paragraph" w:customStyle="1" w:styleId="Tablebody">
    <w:name w:val="Tablebody"/>
    <w:basedOn w:val="Normal"/>
    <w:rsid w:val="003A511C"/>
    <w:pPr>
      <w:keepLines/>
      <w:widowControl w:val="0"/>
      <w:spacing w:before="20" w:after="20" w:line="230" w:lineRule="exact"/>
      <w:jc w:val="left"/>
      <w:outlineLvl w:val="2"/>
    </w:pPr>
    <w:rPr>
      <w:color w:val="0000FF"/>
      <w:sz w:val="18"/>
      <w:lang w:eastAsia="en-US"/>
    </w:rPr>
  </w:style>
  <w:style w:type="paragraph" w:customStyle="1" w:styleId="Style3">
    <w:name w:val="Style3"/>
    <w:basedOn w:val="Normal"/>
    <w:rsid w:val="002E28EA"/>
    <w:pPr>
      <w:spacing w:before="60" w:after="60"/>
      <w:contextualSpacing/>
      <w:jc w:val="left"/>
    </w:pPr>
    <w:rPr>
      <w:sz w:val="20"/>
      <w:lang w:eastAsia="en-US"/>
    </w:rPr>
  </w:style>
  <w:style w:type="paragraph" w:styleId="Revision">
    <w:name w:val="Revision"/>
    <w:hidden/>
    <w:uiPriority w:val="99"/>
    <w:semiHidden/>
    <w:rsid w:val="002E28E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161431845">
      <w:bodyDiv w:val="1"/>
      <w:marLeft w:val="0"/>
      <w:marRight w:val="0"/>
      <w:marTop w:val="0"/>
      <w:marBottom w:val="0"/>
      <w:divBdr>
        <w:top w:val="none" w:sz="0" w:space="0" w:color="auto"/>
        <w:left w:val="none" w:sz="0" w:space="0" w:color="auto"/>
        <w:bottom w:val="none" w:sz="0" w:space="0" w:color="auto"/>
        <w:right w:val="none" w:sz="0" w:space="0" w:color="auto"/>
      </w:divBdr>
    </w:div>
    <w:div w:id="178784149">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eader" Target="header9.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5"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7.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eader" Target="header10.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 Id="rId22" Type="http://schemas.openxmlformats.org/officeDocument/2006/relationships/header" Target="header6.xml"/><Relationship Id="rId27" Type="http://schemas.openxmlformats.org/officeDocument/2006/relationships/footer" Target="footer5.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Wrexham CBC</Welsh_x0020_Local_x0020_Authority>
    <Document_x0020_Date xmlns="859f7ad6-93f6-4205-b62b-a17f28acbbac">2020-10-20T23:00:00+00:00</Document_x0020_Date>
    <Process_x0020_Type xmlns="859f7ad6-93f6-4205-b62b-a17f28acbbac">Application</Process_x0020_Type>
    <Site_x0020_Name xmlns="859f7ad6-93f6-4205-b62b-a17f28acbbac">Wrexham Aluminium Works</Site_x0020_Name>
    <Post_x0020_code xmlns="859f7ad6-93f6-4205-b62b-a17f28acbbac">LL13 9PS</Post_x0020_code>
    <Addressee xmlns="859f7ad6-93f6-4205-b62b-a17f28acbbac">Bridge Road Wrexham Industrial Estate Wrexham </Addressee>
    <Disclosure_x0020_Status xmlns="859f7ad6-93f6-4205-b62b-a17f28acbbac">Public register</Disclosure_x0020_Status>
    <Customer_x0020_Name xmlns="859f7ad6-93f6-4205-b62b-a17f28acbbac">Hydro Aluminium Deeside</Customer_x0020_Name>
    <Environment_x0020_Sub_x0020_Folder xmlns="859f7ad6-93f6-4205-b62b-a17f28acbbac">Licence variation</Environment_x0020_Sub_x0020_Folder>
    <Facility_x0020_Address xmlns="859f7ad6-93f6-4205-b62b-a17f28acbbac">Bridge Road Wrexham Industrial Estate Wrexham </Facility_x0020_Address>
    <Internal_x002f_External xmlns="859f7ad6-93f6-4205-b62b-a17f28acbbac">Internal document</Internal_x002f_External>
    <License_x002f_Activity_x0020_Type xmlns="859f7ad6-93f6-4205-b62b-a17f28acbbac">3. EPR Regulated Industry</License_x002f_Activity_x0020_Type>
    <Document_x0020_Type xmlns="859f7ad6-93f6-4205-b62b-a17f28acbbac">Form/Proforma</Document_x0020_Type>
    <Surrendered_x002f_Expired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510" ma:contentTypeDescription="" ma:contentTypeScope="" ma:versionID="36d7ddacb713d94067c2892ae3d12f5d">
  <xsd:schema xmlns:xsd="http://www.w3.org/2001/XMLSchema" xmlns:xs="http://www.w3.org/2001/XMLSchema" xmlns:p="http://schemas.microsoft.com/office/2006/metadata/properties" xmlns:ns2="859f7ad6-93f6-4205-b62b-a17f28acbbac" targetNamespace="http://schemas.microsoft.com/office/2006/metadata/properties" ma:root="true" ma:fieldsID="c9f2b8d2bf8d5e7a9c42e02819adbde3" ns2:_="">
    <xsd:import namespace="859f7ad6-93f6-4205-b62b-a17f28acbbac"/>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2.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3.xml><?xml version="1.0" encoding="utf-8"?>
<ds:datastoreItem xmlns:ds="http://schemas.openxmlformats.org/officeDocument/2006/customXml" ds:itemID="{B254510B-D4D7-4402-BE0D-411464BC6D6B}">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FA533294-418A-4B43-B4EB-910B27370135}"/>
</file>

<file path=customXml/itemProps5.xml><?xml version="1.0" encoding="utf-8"?>
<ds:datastoreItem xmlns:ds="http://schemas.openxmlformats.org/officeDocument/2006/customXml" ds:itemID="{8B659371-6638-4CBE-9C6D-4AF7722D3113}"/>
</file>

<file path=customXml/itemProps6.xml><?xml version="1.0" encoding="utf-8"?>
<ds:datastoreItem xmlns:ds="http://schemas.openxmlformats.org/officeDocument/2006/customXml" ds:itemID="{252376B8-9369-4321-9AD4-6D04B3AF9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3942</Words>
  <Characters>22472</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26362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Thomas, Kirsty</cp:lastModifiedBy>
  <cp:revision>5</cp:revision>
  <cp:lastPrinted>2020-10-26T08:49:00Z</cp:lastPrinted>
  <dcterms:created xsi:type="dcterms:W3CDTF">2020-10-26T08:32:00Z</dcterms:created>
  <dcterms:modified xsi:type="dcterms:W3CDTF">2020-10-26T09:08:00Z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0x01010067EB80C5FE939D4A9B3D8BA62129B7F505004B68E92E83B9094993DAF9336EB5C180</vt:lpwstr>
  </property>
  <property fmtid="{D5CDD505-2E9C-101B-9397-08002B2CF9AE}" pid="4" name="_dlc_DocIdItemGuid">
    <vt:lpwstr>e0f8e3ba-c77d-43e8-a993-4e218c53d22b</vt:lpwstr>
  </property>
  <property fmtid="{D5CDD505-2E9C-101B-9397-08002B2CF9AE}" pid="5" name="AuthorIds_UIVersion_9728">
    <vt:lpwstr>2169</vt:lpwstr>
  </property>
  <property fmtid="{D5CDD505-2E9C-101B-9397-08002B2CF9AE}" pid="6" name="Customer Name">
    <vt:lpwstr>Hydro Aluminium Deeside</vt:lpwstr>
  </property>
  <property fmtid="{D5CDD505-2E9C-101B-9397-08002B2CF9AE}" pid="8" name="Welsh Local Authority">
    <vt:lpwstr>Wrexham CBC</vt:lpwstr>
  </property>
  <property fmtid="{D5CDD505-2E9C-101B-9397-08002B2CF9AE}" pid="9" name="Post code">
    <vt:lpwstr>LL13 9PS</vt:lpwstr>
  </property>
  <property fmtid="{D5CDD505-2E9C-101B-9397-08002B2CF9AE}" pid="10" name="Addressee">
    <vt:lpwstr>Bridge Road Wrexham Industrial Estate Wrexham </vt:lpwstr>
  </property>
  <property fmtid="{D5CDD505-2E9C-101B-9397-08002B2CF9AE}" pid="11" name="Facility Address">
    <vt:lpwstr>Bridge Road Wrexham Industrial Estate Wrexham </vt:lpwstr>
  </property>
  <property fmtid="{D5CDD505-2E9C-101B-9397-08002B2CF9AE}" pid="12" name="Site Name">
    <vt:lpwstr>Wrexham Aluminium Works</vt:lpwstr>
  </property>
  <property fmtid="{D5CDD505-2E9C-101B-9397-08002B2CF9AE}" pid="13" name="_dlc_DocId">
    <vt:lpwstr>REGU-408-2740804</vt:lpwstr>
  </property>
  <property fmtid="{D5CDD505-2E9C-101B-9397-08002B2CF9AE}" pid="14" name="_dlc_DocIdUrl">
    <vt:lpwstr>https://cyfoethnaturiolcymru.sharepoint.com/teams/Regulatory/Permitting/_layouts/15/DocIdRedir.aspx?ID=REGU-408-2740804, REGU-408-2740804</vt:lpwstr>
  </property>
</Properties>
</file>