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414F2E3" w:rsidR="00D04424" w:rsidRPr="003312BC" w:rsidRDefault="0014332B" w:rsidP="003719AD">
      <w:pPr>
        <w:pStyle w:val="Heading1"/>
        <w:spacing w:before="0" w:after="0"/>
        <w:jc w:val="left"/>
        <w:rPr>
          <w:bCs/>
          <w:color w:val="auto"/>
          <w:sz w:val="32"/>
        </w:rPr>
      </w:pPr>
      <w:r w:rsidRPr="003312BC">
        <w:rPr>
          <w:bCs/>
          <w:color w:val="auto"/>
          <w:sz w:val="32"/>
        </w:rPr>
        <w:t>Bespoke p</w:t>
      </w:r>
      <w:r w:rsidR="00D04424" w:rsidRPr="003312BC">
        <w:rPr>
          <w:bCs/>
          <w:color w:val="auto"/>
          <w:sz w:val="32"/>
        </w:rPr>
        <w:t>ermit</w:t>
      </w:r>
    </w:p>
    <w:p w14:paraId="0FF1524F" w14:textId="02B6BA72" w:rsidR="007820C3" w:rsidRPr="003312BC" w:rsidRDefault="007820C3" w:rsidP="00D04424">
      <w:pPr>
        <w:rPr>
          <w:rFonts w:ascii="Arial" w:hAnsi="Arial" w:cs="Arial"/>
          <w:szCs w:val="24"/>
        </w:rPr>
      </w:pPr>
    </w:p>
    <w:p w14:paraId="0FF15250" w14:textId="37B11F94" w:rsidR="00D04424" w:rsidRPr="003312BC" w:rsidRDefault="0060457F" w:rsidP="006B0BFB">
      <w:pPr>
        <w:spacing w:after="120"/>
        <w:rPr>
          <w:rFonts w:ascii="Arial" w:hAnsi="Arial" w:cs="Arial"/>
          <w:szCs w:val="24"/>
        </w:rPr>
      </w:pPr>
      <w:r w:rsidRPr="003312BC">
        <w:rPr>
          <w:rFonts w:ascii="Arial" w:hAnsi="Arial" w:cs="Arial"/>
          <w:szCs w:val="24"/>
        </w:rPr>
        <w:t xml:space="preserve">We have decided to </w:t>
      </w:r>
      <w:r w:rsidR="00F92A5D" w:rsidRPr="003312BC">
        <w:rPr>
          <w:rFonts w:ascii="Arial" w:hAnsi="Arial" w:cs="Arial"/>
          <w:szCs w:val="24"/>
        </w:rPr>
        <w:t>grant</w:t>
      </w:r>
      <w:r w:rsidR="00D2020E" w:rsidRPr="003312BC">
        <w:rPr>
          <w:rFonts w:ascii="Arial" w:hAnsi="Arial" w:cs="Arial"/>
          <w:szCs w:val="24"/>
        </w:rPr>
        <w:t xml:space="preserve"> </w:t>
      </w:r>
      <w:r w:rsidRPr="003312BC">
        <w:rPr>
          <w:rFonts w:ascii="Arial" w:hAnsi="Arial" w:cs="Arial"/>
          <w:szCs w:val="24"/>
        </w:rPr>
        <w:t xml:space="preserve">the </w:t>
      </w:r>
      <w:r w:rsidR="00F92A5D" w:rsidRPr="003312BC">
        <w:rPr>
          <w:rFonts w:ascii="Arial" w:hAnsi="Arial" w:cs="Arial"/>
          <w:szCs w:val="24"/>
        </w:rPr>
        <w:t>permit</w:t>
      </w:r>
      <w:r w:rsidRPr="003312BC">
        <w:rPr>
          <w:rFonts w:ascii="Arial" w:hAnsi="Arial" w:cs="Arial"/>
          <w:szCs w:val="24"/>
        </w:rPr>
        <w:t xml:space="preserve"> for </w:t>
      </w:r>
      <w:r w:rsidR="003312BC" w:rsidRPr="003312BC">
        <w:rPr>
          <w:rStyle w:val="Responseboxtext"/>
          <w:rFonts w:eastAsia="Calibri"/>
          <w:sz w:val="24"/>
        </w:rPr>
        <w:t>Porthdafarch South Cottages</w:t>
      </w:r>
      <w:r w:rsidRPr="003312BC">
        <w:rPr>
          <w:rFonts w:ascii="Arial" w:hAnsi="Arial" w:cs="Arial"/>
          <w:sz w:val="32"/>
          <w:szCs w:val="24"/>
        </w:rPr>
        <w:t xml:space="preserve"> </w:t>
      </w:r>
      <w:r w:rsidRPr="003312BC">
        <w:rPr>
          <w:rFonts w:ascii="Arial" w:hAnsi="Arial" w:cs="Arial"/>
          <w:szCs w:val="24"/>
        </w:rPr>
        <w:t xml:space="preserve">operated by </w:t>
      </w:r>
      <w:proofErr w:type="spellStart"/>
      <w:r w:rsidR="003312BC" w:rsidRPr="003312BC">
        <w:rPr>
          <w:rFonts w:ascii="Arial" w:hAnsi="Arial" w:cs="Arial"/>
          <w:szCs w:val="24"/>
        </w:rPr>
        <w:t>Doggit</w:t>
      </w:r>
      <w:proofErr w:type="spellEnd"/>
      <w:r w:rsidR="003312BC" w:rsidRPr="003312BC">
        <w:rPr>
          <w:rFonts w:ascii="Arial" w:hAnsi="Arial" w:cs="Arial"/>
          <w:szCs w:val="24"/>
        </w:rPr>
        <w:t xml:space="preserve"> Builders Ltd</w:t>
      </w:r>
      <w:r w:rsidR="001034AC" w:rsidRPr="003312BC">
        <w:rPr>
          <w:rFonts w:ascii="Arial" w:hAnsi="Arial" w:cs="Arial"/>
          <w:szCs w:val="24"/>
        </w:rPr>
        <w:t>.</w:t>
      </w:r>
    </w:p>
    <w:p w14:paraId="178F17B4" w14:textId="11CFFE53" w:rsidR="00E907C6" w:rsidRPr="003312BC"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The application number i</w:t>
      </w:r>
      <w:r w:rsidRPr="003312BC">
        <w:rPr>
          <w:rFonts w:ascii="Arial" w:hAnsi="Arial"/>
          <w:kern w:val="28"/>
          <w:szCs w:val="24"/>
        </w:rPr>
        <w:t xml:space="preserve">s </w:t>
      </w:r>
      <w:r w:rsidR="003312BC" w:rsidRPr="003312BC">
        <w:rPr>
          <w:rFonts w:ascii="Arial" w:hAnsi="Arial"/>
          <w:szCs w:val="24"/>
        </w:rPr>
        <w:t>PAN-004967</w:t>
      </w:r>
    </w:p>
    <w:p w14:paraId="0FF15251" w14:textId="3AC06E6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966BD" w:rsidRPr="005966BD">
        <w:rPr>
          <w:rFonts w:ascii="Arial" w:hAnsi="Arial"/>
          <w:szCs w:val="24"/>
        </w:rPr>
        <w:t>EPR/BB3293FS</w:t>
      </w:r>
      <w:bookmarkStart w:id="2" w:name="_GoBack"/>
      <w:bookmarkEnd w:id="2"/>
    </w:p>
    <w:p w14:paraId="0FF15252" w14:textId="189CE9A2" w:rsidR="00E244F7" w:rsidRPr="003312BC" w:rsidRDefault="003312BC" w:rsidP="006B0BFB">
      <w:pPr>
        <w:tabs>
          <w:tab w:val="left" w:pos="4253"/>
          <w:tab w:val="left" w:pos="6804"/>
        </w:tabs>
        <w:spacing w:after="120"/>
        <w:rPr>
          <w:rFonts w:ascii="Arial" w:hAnsi="Arial" w:cs="Arial"/>
          <w:color w:val="FF0000"/>
        </w:rPr>
      </w:pPr>
      <w:r w:rsidRPr="003312BC">
        <w:rPr>
          <w:rFonts w:ascii="Arial" w:hAnsi="Arial" w:cs="Arial"/>
        </w:rPr>
        <w:t xml:space="preserve">The proposal is for </w:t>
      </w:r>
      <w:r w:rsidR="00B53C5C">
        <w:rPr>
          <w:rFonts w:ascii="Arial" w:hAnsi="Arial" w:cs="Arial"/>
        </w:rPr>
        <w:t>an existing discharge of</w:t>
      </w:r>
      <w:r w:rsidRPr="003312BC">
        <w:rPr>
          <w:rFonts w:ascii="Arial" w:hAnsi="Arial" w:cs="Arial"/>
        </w:rPr>
        <w:t xml:space="preserve"> treated sewage effluent; a maximum of 3.6m</w:t>
      </w:r>
      <w:r w:rsidRPr="003312BC">
        <w:rPr>
          <w:rFonts w:ascii="Arial" w:hAnsi="Arial" w:cs="Arial"/>
          <w:vertAlign w:val="superscript"/>
        </w:rPr>
        <w:t>3</w:t>
      </w:r>
      <w:r w:rsidRPr="003312BC">
        <w:rPr>
          <w:rFonts w:ascii="Arial" w:hAnsi="Arial" w:cs="Arial"/>
        </w:rPr>
        <w:t>/day, treated by a septic tank and discharging to ground via an infiltration system. The system serves sewage effluent arising from six three-bedroom domestic properties. The discharge has been active since the early 1970s.</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E5BFE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0798E715" w:rsidR="00BE7AC1" w:rsidRPr="007820C3" w:rsidRDefault="00BE7AC1"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86B5C97" w:rsidR="007820C3" w:rsidRPr="00BE7AC1" w:rsidRDefault="007820C3" w:rsidP="007820C3">
            <w:pPr>
              <w:pStyle w:val="Heading3"/>
              <w:spacing w:before="60"/>
              <w:rPr>
                <w:rFonts w:ascii="Arial" w:hAnsi="Arial" w:cs="Arial"/>
                <w:b w:val="0"/>
                <w:szCs w:val="24"/>
                <w:highlight w:val="red"/>
              </w:rPr>
            </w:pPr>
            <w:r w:rsidRPr="00BE7AC1">
              <w:rPr>
                <w:rFonts w:ascii="Arial" w:hAnsi="Arial" w:cs="Arial"/>
                <w:b w:val="0"/>
                <w:szCs w:val="24"/>
              </w:rPr>
              <w:t xml:space="preserve">Responses </w:t>
            </w:r>
            <w:proofErr w:type="gramStart"/>
            <w:r w:rsidRPr="00BE7AC1">
              <w:rPr>
                <w:rFonts w:ascii="Arial" w:hAnsi="Arial" w:cs="Arial"/>
                <w:b w:val="0"/>
                <w:szCs w:val="24"/>
              </w:rPr>
              <w:t xml:space="preserve">to </w:t>
            </w:r>
            <w:r w:rsidR="00BE7AC1" w:rsidRPr="00BE7AC1">
              <w:rPr>
                <w:rFonts w:ascii="Arial" w:hAnsi="Arial" w:cs="Arial"/>
                <w:b w:val="0"/>
                <w:szCs w:val="24"/>
              </w:rPr>
              <w:t xml:space="preserve"> </w:t>
            </w:r>
            <w:r w:rsidRPr="00BE7AC1">
              <w:rPr>
                <w:rFonts w:ascii="Arial" w:hAnsi="Arial" w:cs="Arial"/>
                <w:b w:val="0"/>
                <w:szCs w:val="24"/>
              </w:rPr>
              <w:t>web</w:t>
            </w:r>
            <w:proofErr w:type="gramEnd"/>
            <w:r w:rsidRPr="00BE7AC1">
              <w:rPr>
                <w:rFonts w:ascii="Arial" w:hAnsi="Arial" w:cs="Arial"/>
                <w:b w:val="0"/>
                <w:szCs w:val="24"/>
              </w:rPr>
              <w:t xml:space="preserve"> publicising </w:t>
            </w:r>
          </w:p>
        </w:tc>
        <w:tc>
          <w:tcPr>
            <w:tcW w:w="6266" w:type="dxa"/>
            <w:tcBorders>
              <w:bottom w:val="single" w:sz="4" w:space="0" w:color="auto"/>
            </w:tcBorders>
          </w:tcPr>
          <w:p w14:paraId="0FF1529A" w14:textId="48A69438" w:rsidR="007820C3" w:rsidRPr="00BE7AC1" w:rsidRDefault="007820C3" w:rsidP="007820C3">
            <w:pPr>
              <w:spacing w:before="60"/>
              <w:rPr>
                <w:rFonts w:ascii="Arial" w:hAnsi="Arial" w:cs="Arial"/>
                <w:szCs w:val="24"/>
              </w:rPr>
            </w:pPr>
            <w:r w:rsidRPr="00BE7AC1">
              <w:rPr>
                <w:rFonts w:ascii="Arial" w:hAnsi="Arial" w:cs="Arial"/>
                <w:szCs w:val="24"/>
              </w:rPr>
              <w:t>The web publicising</w:t>
            </w:r>
            <w:r w:rsidR="00BE7AC1" w:rsidRPr="00BE7AC1">
              <w:rPr>
                <w:rFonts w:ascii="Arial" w:hAnsi="Arial" w:cs="Arial"/>
                <w:szCs w:val="24"/>
              </w:rPr>
              <w:t xml:space="preserve"> </w:t>
            </w:r>
            <w:r w:rsidRPr="00BE7AC1">
              <w:rPr>
                <w:rFonts w:ascii="Arial" w:hAnsi="Arial" w:cs="Arial"/>
                <w:szCs w:val="24"/>
              </w:rPr>
              <w:t xml:space="preserve">responses (Annex 2) were taken into account in the decision.  </w:t>
            </w:r>
          </w:p>
          <w:p w14:paraId="39910960" w14:textId="0C218A56" w:rsidR="00BE7AC1" w:rsidRPr="00BE7AC1" w:rsidRDefault="00BE7AC1" w:rsidP="007820C3">
            <w:pPr>
              <w:spacing w:before="60"/>
              <w:rPr>
                <w:rFonts w:ascii="Arial" w:hAnsi="Arial" w:cs="Arial"/>
                <w:szCs w:val="24"/>
              </w:rPr>
            </w:pPr>
          </w:p>
          <w:p w14:paraId="7DC4AC47" w14:textId="3DB6444E" w:rsidR="00BE7AC1" w:rsidRPr="00BE7AC1" w:rsidRDefault="00BE7AC1" w:rsidP="007820C3">
            <w:pPr>
              <w:spacing w:before="60"/>
              <w:rPr>
                <w:rFonts w:ascii="Arial" w:hAnsi="Arial" w:cs="Arial"/>
                <w:szCs w:val="24"/>
              </w:rPr>
            </w:pPr>
            <w:r w:rsidRPr="00BE7AC1">
              <w:rPr>
                <w:rFonts w:ascii="Arial" w:hAnsi="Arial" w:cs="Arial"/>
                <w:szCs w:val="24"/>
              </w:rPr>
              <w:t xml:space="preserve">There were no responses to the web publicising. </w:t>
            </w:r>
          </w:p>
          <w:p w14:paraId="0FF1529B" w14:textId="77777777" w:rsidR="007820C3" w:rsidRPr="00BE7AC1" w:rsidRDefault="007820C3" w:rsidP="007820C3">
            <w:pPr>
              <w:spacing w:before="60"/>
              <w:rPr>
                <w:rFonts w:ascii="Arial" w:hAnsi="Arial" w:cs="Arial"/>
                <w:szCs w:val="24"/>
              </w:rPr>
            </w:pPr>
          </w:p>
          <w:p w14:paraId="0FF1529C" w14:textId="77777777" w:rsidR="007820C3" w:rsidRPr="00BE7AC1" w:rsidRDefault="007820C3" w:rsidP="007820C3">
            <w:pPr>
              <w:spacing w:before="60"/>
              <w:rPr>
                <w:rFonts w:ascii="Arial" w:hAnsi="Arial" w:cs="Arial"/>
                <w:szCs w:val="24"/>
              </w:rPr>
            </w:pPr>
            <w:r w:rsidRPr="00BE7AC1">
              <w:rPr>
                <w:rFonts w:ascii="Arial" w:hAnsi="Arial" w:cs="Arial"/>
                <w:szCs w:val="24"/>
              </w:rPr>
              <w:t xml:space="preserve">The decision was taken in accordance with our guidance. </w:t>
            </w:r>
          </w:p>
          <w:p w14:paraId="0FF1529D" w14:textId="77777777" w:rsidR="007820C3" w:rsidRPr="00BE7AC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6BA980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457AD661" w:rsidR="007820C3" w:rsidRPr="00BE7AC1" w:rsidRDefault="007820C3" w:rsidP="00BE7AC1">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1CDE1690" w:rsidR="007820C3" w:rsidRPr="00BE7AC1"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4EC1B162" w:rsidR="007820C3" w:rsidRPr="00BE7AC1" w:rsidRDefault="007820C3" w:rsidP="00EF499E">
            <w:pPr>
              <w:rPr>
                <w:rFonts w:ascii="Arial" w:hAnsi="Arial" w:cs="Arial"/>
                <w:szCs w:val="24"/>
              </w:rPr>
            </w:pPr>
            <w:r w:rsidRPr="00BE7AC1">
              <w:rPr>
                <w:rFonts w:ascii="Arial" w:hAnsi="Arial" w:cs="Arial"/>
                <w:szCs w:val="24"/>
              </w:rPr>
              <w:t>A full assessment of the application a</w:t>
            </w:r>
            <w:r w:rsidR="00BE7AC1" w:rsidRPr="00BE7AC1">
              <w:rPr>
                <w:rFonts w:ascii="Arial" w:hAnsi="Arial" w:cs="Arial"/>
                <w:szCs w:val="24"/>
              </w:rPr>
              <w:t xml:space="preserve">nd its potential to affect the </w:t>
            </w:r>
            <w:r w:rsidRPr="00BE7AC1">
              <w:rPr>
                <w:rFonts w:ascii="Arial" w:hAnsi="Arial" w:cs="Arial"/>
                <w:szCs w:val="24"/>
              </w:rPr>
              <w:t xml:space="preserve">site has been carried out as part of the </w:t>
            </w:r>
            <w:r w:rsidRPr="00BE7AC1">
              <w:rPr>
                <w:rFonts w:ascii="Arial" w:hAnsi="Arial" w:cs="Arial"/>
                <w:szCs w:val="24"/>
              </w:rPr>
              <w:lastRenderedPageBreak/>
              <w:t>permitting process. We consider that the application wi</w:t>
            </w:r>
            <w:r w:rsidR="00BE7AC1" w:rsidRPr="00BE7AC1">
              <w:rPr>
                <w:rFonts w:ascii="Arial" w:hAnsi="Arial" w:cs="Arial"/>
                <w:szCs w:val="24"/>
              </w:rPr>
              <w:t xml:space="preserve">ll not affect the </w:t>
            </w:r>
            <w:r w:rsidRPr="00BE7AC1">
              <w:rPr>
                <w:rFonts w:ascii="Arial" w:hAnsi="Arial" w:cs="Arial"/>
                <w:szCs w:val="24"/>
              </w:rPr>
              <w:t>features of the site</w:t>
            </w:r>
            <w:r w:rsidR="00BE7AC1" w:rsidRPr="00BE7AC1">
              <w:rPr>
                <w:rFonts w:ascii="Arial" w:hAnsi="Arial" w:cs="Arial"/>
                <w:szCs w:val="24"/>
              </w:rPr>
              <w:t>.</w:t>
            </w:r>
          </w:p>
          <w:p w14:paraId="0FF152CB" w14:textId="01466BCA" w:rsidR="007820C3" w:rsidRPr="00BE7AC1" w:rsidRDefault="007820C3" w:rsidP="00EF499E">
            <w:pPr>
              <w:rPr>
                <w:rFonts w:ascii="Arial" w:hAnsi="Arial" w:cs="Arial"/>
                <w:szCs w:val="24"/>
              </w:rPr>
            </w:pPr>
          </w:p>
          <w:p w14:paraId="0FF152CE" w14:textId="41D0BDF5" w:rsidR="007820C3" w:rsidRPr="00BE7AC1" w:rsidRDefault="007820C3" w:rsidP="00EF499E">
            <w:pPr>
              <w:rPr>
                <w:rFonts w:ascii="Arial" w:hAnsi="Arial" w:cs="Arial"/>
                <w:szCs w:val="24"/>
              </w:rPr>
            </w:pPr>
            <w:r w:rsidRPr="00BE7AC1">
              <w:rPr>
                <w:rFonts w:ascii="Arial" w:hAnsi="Arial" w:cs="Arial"/>
                <w:szCs w:val="24"/>
              </w:rPr>
              <w:t xml:space="preserve">We have not formally consulted </w:t>
            </w:r>
            <w:r w:rsidR="008A7B7E">
              <w:rPr>
                <w:rFonts w:ascii="Arial" w:hAnsi="Arial" w:cs="Arial"/>
                <w:szCs w:val="24"/>
              </w:rPr>
              <w:t xml:space="preserve">on the application. </w:t>
            </w:r>
            <w:r w:rsidRPr="00BE7AC1">
              <w:rPr>
                <w:rFonts w:ascii="Arial" w:hAnsi="Arial" w:cs="Arial"/>
                <w:szCs w:val="24"/>
              </w:rPr>
              <w:t xml:space="preserve">The decision was taken in accordance with our guidance. </w:t>
            </w:r>
          </w:p>
          <w:p w14:paraId="0FF152CF" w14:textId="05A1C3A2" w:rsidR="00FB30B4" w:rsidRPr="007820C3" w:rsidRDefault="00FB30B4" w:rsidP="00BE7AC1">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8A7B7E" w:rsidRDefault="00136717" w:rsidP="00136717">
            <w:pPr>
              <w:spacing w:before="60"/>
              <w:rPr>
                <w:rFonts w:ascii="Arial" w:hAnsi="Arial" w:cs="Arial"/>
                <w:szCs w:val="24"/>
              </w:rPr>
            </w:pPr>
            <w:r w:rsidRPr="008A7B7E">
              <w:rPr>
                <w:rFonts w:ascii="Arial" w:hAnsi="Arial" w:cs="Arial"/>
                <w:szCs w:val="24"/>
              </w:rPr>
              <w:t>Assessment of Likely Significant Effect:</w:t>
            </w:r>
          </w:p>
          <w:p w14:paraId="49C04981" w14:textId="77777777" w:rsidR="00136717" w:rsidRPr="008A7B7E" w:rsidRDefault="00136717" w:rsidP="00136717">
            <w:pPr>
              <w:spacing w:before="60"/>
              <w:rPr>
                <w:rFonts w:ascii="Arial" w:hAnsi="Arial" w:cs="Arial"/>
                <w:szCs w:val="24"/>
              </w:rPr>
            </w:pPr>
          </w:p>
          <w:p w14:paraId="70D0AA2F" w14:textId="77777777" w:rsidR="00136717" w:rsidRPr="008A7B7E" w:rsidRDefault="00136717" w:rsidP="00136717">
            <w:pPr>
              <w:spacing w:before="60"/>
              <w:rPr>
                <w:rFonts w:ascii="Arial" w:hAnsi="Arial" w:cs="Arial"/>
                <w:szCs w:val="24"/>
              </w:rPr>
            </w:pPr>
            <w:r w:rsidRPr="008A7B7E">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8A7B7E">
              <w:rPr>
                <w:rFonts w:ascii="Arial" w:hAnsi="Arial" w:cs="Arial"/>
                <w:szCs w:val="24"/>
              </w:rPr>
              <w:t>Ramsar</w:t>
            </w:r>
            <w:proofErr w:type="spellEnd"/>
            <w:r w:rsidRPr="008A7B7E">
              <w:rPr>
                <w:rFonts w:ascii="Arial" w:hAnsi="Arial" w:cs="Arial"/>
                <w:szCs w:val="24"/>
              </w:rPr>
              <w:t xml:space="preserve"> site (As documented in section 3.2 of OGN 200 form 1, or section 5 if applicable) </w:t>
            </w:r>
          </w:p>
          <w:p w14:paraId="101DC27D" w14:textId="77777777" w:rsidR="00136717" w:rsidRPr="008A7B7E" w:rsidRDefault="00136717" w:rsidP="00136717">
            <w:pPr>
              <w:spacing w:before="60"/>
              <w:rPr>
                <w:rFonts w:ascii="Arial" w:hAnsi="Arial" w:cs="Arial"/>
                <w:szCs w:val="24"/>
              </w:rPr>
            </w:pPr>
          </w:p>
          <w:p w14:paraId="60BB0129" w14:textId="77777777" w:rsidR="00136717" w:rsidRPr="008A7B7E" w:rsidRDefault="00136717" w:rsidP="00136717">
            <w:pPr>
              <w:spacing w:before="60"/>
              <w:rPr>
                <w:rFonts w:ascii="Arial" w:hAnsi="Arial" w:cs="Arial"/>
                <w:szCs w:val="24"/>
              </w:rPr>
            </w:pPr>
            <w:r w:rsidRPr="008A7B7E">
              <w:rPr>
                <w:rFonts w:ascii="Arial" w:hAnsi="Arial" w:cs="Arial"/>
                <w:szCs w:val="24"/>
              </w:rPr>
              <w:t xml:space="preserve">Form 1 (and Form 2) – saved on DMS as “to be assessed” for public register purposes.  </w:t>
            </w:r>
          </w:p>
          <w:p w14:paraId="67AFC2B0" w14:textId="453462FF" w:rsidR="00136717" w:rsidRPr="008A7B7E" w:rsidRDefault="00136717" w:rsidP="008A7B7E">
            <w:pPr>
              <w:spacing w:before="60"/>
              <w:rPr>
                <w:rFonts w:ascii="Arial" w:hAnsi="Arial" w:cs="Arial"/>
                <w:color w:val="FF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14F4C9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6" w14:textId="26D366CA" w:rsidR="007820C3" w:rsidRPr="008A7B7E" w:rsidRDefault="007820C3" w:rsidP="00A60F17">
            <w:pPr>
              <w:rPr>
                <w:rFonts w:ascii="Arial" w:hAnsi="Arial" w:cs="Arial"/>
                <w:szCs w:val="24"/>
              </w:rPr>
            </w:pPr>
            <w:r w:rsidRPr="008A7B7E">
              <w:rPr>
                <w:rFonts w:ascii="Arial" w:hAnsi="Arial" w:cs="Arial"/>
                <w:szCs w:val="24"/>
              </w:rPr>
              <w:t xml:space="preserve">The operator considers this risk assessment is satisfactory. </w:t>
            </w:r>
          </w:p>
          <w:p w14:paraId="0FF152E7" w14:textId="77777777" w:rsidR="007820C3" w:rsidRPr="008A7B7E" w:rsidRDefault="007820C3" w:rsidP="00A60F17">
            <w:pPr>
              <w:rPr>
                <w:rFonts w:ascii="Arial" w:hAnsi="Arial" w:cs="Arial"/>
                <w:szCs w:val="24"/>
              </w:rPr>
            </w:pPr>
          </w:p>
          <w:p w14:paraId="0FF152E8" w14:textId="084C91A1" w:rsidR="007820C3" w:rsidRDefault="007820C3" w:rsidP="00A60F17">
            <w:pPr>
              <w:pStyle w:val="BodyText"/>
              <w:rPr>
                <w:rFonts w:ascii="Arial" w:hAnsi="Arial" w:cs="Arial"/>
                <w:szCs w:val="24"/>
              </w:rPr>
            </w:pPr>
            <w:r w:rsidRPr="008A7B7E">
              <w:rPr>
                <w:rFonts w:ascii="Arial" w:hAnsi="Arial" w:cs="Arial"/>
                <w:color w:val="auto"/>
                <w:szCs w:val="24"/>
              </w:rPr>
              <w:t>The assessment shows that, applying the conservative criteria in our guidance on Environmental Risk Assessment</w:t>
            </w:r>
            <w:r w:rsidR="008A7B7E" w:rsidRPr="008A7B7E">
              <w:rPr>
                <w:rFonts w:ascii="Arial" w:hAnsi="Arial" w:cs="Arial"/>
                <w:color w:val="auto"/>
                <w:szCs w:val="24"/>
              </w:rPr>
              <w:t xml:space="preserve">, </w:t>
            </w:r>
            <w:r w:rsidRPr="008A7B7E">
              <w:rPr>
                <w:rFonts w:ascii="Arial" w:hAnsi="Arial" w:cs="Arial"/>
                <w:color w:val="auto"/>
                <w:szCs w:val="24"/>
              </w:rPr>
              <w:t>all emissions may be categorised a</w:t>
            </w:r>
            <w:r w:rsidR="008A7B7E" w:rsidRPr="008A7B7E">
              <w:rPr>
                <w:rFonts w:ascii="Arial" w:hAnsi="Arial" w:cs="Arial"/>
                <w:color w:val="auto"/>
                <w:szCs w:val="24"/>
              </w:rPr>
              <w:t>s environmentally insignificant</w:t>
            </w:r>
            <w:r w:rsidR="008A7B7E">
              <w:rPr>
                <w:rFonts w:ascii="Arial" w:hAnsi="Arial" w:cs="Arial"/>
                <w:color w:val="FF0000"/>
                <w:szCs w:val="24"/>
              </w:rPr>
              <w:t>.</w:t>
            </w:r>
            <w:r w:rsidRPr="007820C3">
              <w:rPr>
                <w:rFonts w:ascii="Arial" w:hAnsi="Arial" w:cs="Arial"/>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42CCCD5B"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w:t>
            </w:r>
            <w:r w:rsidR="008A7B7E">
              <w:rPr>
                <w:rFonts w:ascii="Arial" w:hAnsi="Arial" w:cs="Arial"/>
                <w:szCs w:val="24"/>
              </w:rPr>
              <w:t>evant guidance notes i.e. EPR 7.01.</w:t>
            </w:r>
            <w:r w:rsidRPr="007820C3">
              <w:rPr>
                <w:rFonts w:ascii="Arial" w:hAnsi="Arial" w:cs="Arial"/>
                <w:szCs w:val="24"/>
              </w:rPr>
              <w:t xml:space="preserve"> </w:t>
            </w:r>
          </w:p>
          <w:p w14:paraId="0FF152EE" w14:textId="40473FF7" w:rsidR="007820C3" w:rsidRPr="007820C3" w:rsidRDefault="007820C3" w:rsidP="00792CEE">
            <w:pPr>
              <w:pStyle w:val="BodyText"/>
              <w:rPr>
                <w:rFonts w:ascii="Arial" w:hAnsi="Arial" w:cs="Arial"/>
                <w:color w:val="FF00FF"/>
                <w:szCs w:val="24"/>
              </w:rPr>
            </w:pPr>
          </w:p>
          <w:p w14:paraId="0FF152EF" w14:textId="77777777" w:rsidR="007820C3" w:rsidRPr="00DA330B" w:rsidRDefault="007820C3" w:rsidP="00792CEE">
            <w:pPr>
              <w:pStyle w:val="BodyText"/>
              <w:rPr>
                <w:rFonts w:ascii="Arial" w:hAnsi="Arial" w:cs="Arial"/>
                <w:color w:val="auto"/>
                <w:szCs w:val="24"/>
              </w:rPr>
            </w:pPr>
            <w:r w:rsidRPr="00DA330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5C4BC8" w:rsidR="00FB30B4" w:rsidRPr="00DA330B" w:rsidRDefault="00FB30B4" w:rsidP="00DA330B">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F92A5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565F0C5D"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w:t>
            </w:r>
            <w:r w:rsidR="00281DC4">
              <w:rPr>
                <w:rFonts w:ascii="Arial" w:eastAsia="Times New Roman" w:hAnsi="Arial" w:cs="Arial"/>
              </w:rPr>
              <w:t>management of natural resources.</w:t>
            </w:r>
          </w:p>
          <w:p w14:paraId="5C70A795" w14:textId="77777777" w:rsidR="00E96702" w:rsidRDefault="00E96702" w:rsidP="00281DC4">
            <w:pPr>
              <w:pStyle w:val="NormalWeb"/>
              <w:rPr>
                <w:rFonts w:ascii="Arial" w:eastAsia="Times New Roman" w:hAnsi="Arial" w:cs="Arial"/>
                <w:color w:val="FF00FF"/>
              </w:rPr>
            </w:pPr>
          </w:p>
          <w:p w14:paraId="7C4FE69A" w14:textId="42CD638B" w:rsidR="00281DC4" w:rsidRPr="00E96702" w:rsidRDefault="00281DC4" w:rsidP="00281DC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130F9843" w:rsidR="00FB30B4" w:rsidRDefault="00456F08" w:rsidP="00456F08">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DA330B" w:rsidRDefault="00DA330B">
      <w:r>
        <w:separator/>
      </w:r>
    </w:p>
  </w:endnote>
  <w:endnote w:type="continuationSeparator" w:id="0">
    <w:p w14:paraId="0FF15379" w14:textId="77777777" w:rsidR="00DA330B" w:rsidRDefault="00DA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A330B" w:rsidRDefault="00DA33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A330B" w:rsidRDefault="00DA33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A330B" w:rsidRPr="002B61AE" w14:paraId="0FF15380" w14:textId="77777777" w:rsidTr="008632BF">
      <w:trPr>
        <w:trHeight w:val="286"/>
      </w:trPr>
      <w:tc>
        <w:tcPr>
          <w:tcW w:w="2659" w:type="dxa"/>
        </w:tcPr>
        <w:p w14:paraId="0FF1537C" w14:textId="7104BEDB" w:rsidR="00DA330B" w:rsidRPr="00E907C6" w:rsidRDefault="00DA330B"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A330B" w:rsidRPr="00E907C6" w:rsidRDefault="00DA330B"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A330B" w:rsidRPr="00E907C6" w:rsidRDefault="00DA330B"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A330B" w:rsidRPr="00E907C6" w:rsidRDefault="00DA330B"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A330B" w:rsidRPr="003F4346" w:rsidRDefault="00DA330B"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DA330B" w:rsidRDefault="00DA330B">
      <w:r>
        <w:separator/>
      </w:r>
    </w:p>
  </w:footnote>
  <w:footnote w:type="continuationSeparator" w:id="0">
    <w:p w14:paraId="0FF15377" w14:textId="77777777" w:rsidR="00DA330B" w:rsidRDefault="00DA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1DC4"/>
    <w:rsid w:val="002A66F0"/>
    <w:rsid w:val="002B0D8B"/>
    <w:rsid w:val="002B2C72"/>
    <w:rsid w:val="002B3FAA"/>
    <w:rsid w:val="002C2D76"/>
    <w:rsid w:val="002C41CA"/>
    <w:rsid w:val="002D0A0C"/>
    <w:rsid w:val="002E35D0"/>
    <w:rsid w:val="002E57A2"/>
    <w:rsid w:val="002F2FAB"/>
    <w:rsid w:val="002F41D1"/>
    <w:rsid w:val="003312BC"/>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56F08"/>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966BD"/>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A7B7E"/>
    <w:rsid w:val="008C7B44"/>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3C5C"/>
    <w:rsid w:val="00B62C2D"/>
    <w:rsid w:val="00B73ECB"/>
    <w:rsid w:val="00B82F37"/>
    <w:rsid w:val="00B837E8"/>
    <w:rsid w:val="00BB1620"/>
    <w:rsid w:val="00BB408D"/>
    <w:rsid w:val="00BB4528"/>
    <w:rsid w:val="00BE370B"/>
    <w:rsid w:val="00BE7950"/>
    <w:rsid w:val="00BE7AC1"/>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330B"/>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2A5D"/>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character" w:customStyle="1" w:styleId="Responseboxtext">
    <w:name w:val="Response box text"/>
    <w:basedOn w:val="DefaultParagraphFont"/>
    <w:uiPriority w:val="1"/>
    <w:qFormat/>
    <w:rsid w:val="003312BC"/>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Porthdafarch South Cottages</Site_x0020_Name>
    <Internal_x002f_External xmlns="859f7ad6-93f6-4205-b62b-a17f28acbbac">Internal document</Internal_x002f_External>
    <Post_x0020_code xmlns="859f7ad6-93f6-4205-b62b-a17f28acbbac">LL65 2LS</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5 Porthdafarch South Cottages, Porthdafarch, Holyhead, LL65 2LS</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2019-05-12T23:00:00+00:00</Document_x0020_Date>
    <Facility_x0020_Address xmlns="859f7ad6-93f6-4205-b62b-a17f28acbbac">Porthdafarch, Holyhead</Facility_x0020_Address>
    <Environment_x0020_Sub_x0020_Folder xmlns="859f7ad6-93f6-4205-b62b-a17f28acbbac">Licences applications</Environment_x0020_Sub_x0020_Folder>
    <Customer_x0020_Name xmlns="859f7ad6-93f6-4205-b62b-a17f28acbbac">Doggit Builders Ltd</Customer_x0020_Name>
    <Surrendered_x002f_Expired_x0020_Date xmlns="859f7ad6-93f6-4205-b62b-a17f28acbbac" xsi:nil="true"/>
    <_dlc_DocId xmlns="9be56660-2c31-41ef-bc00-23e72f632f2a">REGU-369-90014</_dlc_DocId>
    <_dlc_DocIdUrl xmlns="9be56660-2c31-41ef-bc00-23e72f632f2a">
      <Url>https://cyfoethnaturiolcymru.sharepoint.com/teams/Regulatory/Permitting/_layouts/15/DocIdRedir.aspx?ID=REGU-369-90014</Url>
      <Description>REGU-369-90014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1EC06666-80C3-4E84-84D8-AE0B6BC5AD60}"/>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787</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7</cp:revision>
  <cp:lastPrinted>2008-01-30T13:54:00Z</cp:lastPrinted>
  <dcterms:created xsi:type="dcterms:W3CDTF">2019-05-08T08:03:00Z</dcterms:created>
  <dcterms:modified xsi:type="dcterms:W3CDTF">2019-05-13T10:31:00Z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14de11af-a626-4baa-bb76-ced1d5670b92</vt:lpwstr>
  </property>
  <property fmtid="{D5CDD505-2E9C-101B-9397-08002B2CF9AE}" pid="11" name="SharedWithUsers">
    <vt:lpwstr/>
  </property>
  <property fmtid="{D5CDD505-2E9C-101B-9397-08002B2CF9AE}" pid="12" name="_dlc_DocId">
    <vt:lpwstr>REGU-369-90014</vt:lpwstr>
  </property>
  <property fmtid="{D5CDD505-2E9C-101B-9397-08002B2CF9AE}" pid="13" name="_dlc_DocIdUrl">
    <vt:lpwstr>https://cyfoethnaturiolcymru.sharepoint.com/teams/Regulatory/Permitting/_layouts/15/DocIdRedir.aspx?ID=REGU-369-90014, REGU-369-90014</vt:lpwstr>
  </property>
  <property fmtid="{D5CDD505-2E9C-101B-9397-08002B2CF9AE}" pid="14" name="_docset_NoMedatataSyncRequired">
    <vt:lpwstr>False</vt:lpwstr>
  </property>
</Properties>
</file>