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1CFE6BF" w:rsidR="00D04424" w:rsidRPr="00AB6D87" w:rsidRDefault="0014332B" w:rsidP="003719AD">
      <w:pPr>
        <w:pStyle w:val="Heading1"/>
        <w:spacing w:before="0" w:after="0"/>
        <w:jc w:val="left"/>
        <w:rPr>
          <w:bCs/>
          <w:color w:val="auto"/>
          <w:sz w:val="32"/>
        </w:rPr>
      </w:pPr>
      <w:r w:rsidRPr="00AB6D87">
        <w:rPr>
          <w:bCs/>
          <w:color w:val="auto"/>
          <w:sz w:val="32"/>
        </w:rPr>
        <w:t xml:space="preserve">Bespoke </w:t>
      </w:r>
      <w:r w:rsidR="001F0E23" w:rsidRPr="00AB6D87">
        <w:rPr>
          <w:bCs/>
          <w:color w:val="auto"/>
          <w:sz w:val="32"/>
        </w:rPr>
        <w:t>Variation</w:t>
      </w:r>
      <w:r w:rsidR="00B73ECB" w:rsidRPr="00AB6D87">
        <w:rPr>
          <w:bCs/>
          <w:color w:val="auto"/>
          <w:sz w:val="32"/>
        </w:rPr>
        <w:t xml:space="preserve"> </w:t>
      </w:r>
    </w:p>
    <w:p w14:paraId="41AC372F" w14:textId="77777777" w:rsidR="00136717" w:rsidRPr="00AB6D87" w:rsidRDefault="00136717" w:rsidP="00136717"/>
    <w:p w14:paraId="0FF1524F" w14:textId="77777777" w:rsidR="007820C3" w:rsidRPr="00AB6D87" w:rsidRDefault="007820C3" w:rsidP="00D04424">
      <w:pPr>
        <w:rPr>
          <w:rFonts w:ascii="Arial" w:hAnsi="Arial" w:cs="Arial"/>
          <w:szCs w:val="24"/>
        </w:rPr>
      </w:pPr>
    </w:p>
    <w:p w14:paraId="0FF15250" w14:textId="6445BA53" w:rsidR="00D04424" w:rsidRPr="00AB6D87" w:rsidRDefault="0060457F" w:rsidP="006B0BFB">
      <w:pPr>
        <w:spacing w:after="120"/>
        <w:rPr>
          <w:rFonts w:ascii="Arial" w:hAnsi="Arial" w:cs="Arial"/>
          <w:szCs w:val="24"/>
        </w:rPr>
      </w:pPr>
      <w:r w:rsidRPr="00AB6D87">
        <w:rPr>
          <w:rFonts w:ascii="Arial" w:hAnsi="Arial" w:cs="Arial"/>
          <w:szCs w:val="24"/>
        </w:rPr>
        <w:t xml:space="preserve">We have decided to </w:t>
      </w:r>
      <w:r w:rsidR="00D2020E" w:rsidRPr="00AB6D87">
        <w:rPr>
          <w:rFonts w:ascii="Arial" w:hAnsi="Arial" w:cs="Arial"/>
          <w:szCs w:val="24"/>
        </w:rPr>
        <w:t>grant</w:t>
      </w:r>
      <w:r w:rsidR="00AB6D87" w:rsidRPr="00AB6D87">
        <w:rPr>
          <w:rFonts w:ascii="Arial" w:hAnsi="Arial" w:cs="Arial"/>
          <w:szCs w:val="24"/>
        </w:rPr>
        <w:t xml:space="preserve"> </w:t>
      </w:r>
      <w:r w:rsidRPr="00AB6D87">
        <w:rPr>
          <w:rFonts w:ascii="Arial" w:hAnsi="Arial" w:cs="Arial"/>
          <w:szCs w:val="24"/>
        </w:rPr>
        <w:t xml:space="preserve">the permit for </w:t>
      </w:r>
      <w:r w:rsidR="00AB6D87" w:rsidRPr="00AB6D87">
        <w:rPr>
          <w:rFonts w:ascii="Arial" w:hAnsi="Arial" w:cs="Arial"/>
          <w:szCs w:val="24"/>
        </w:rPr>
        <w:t>Talybont-on-Usk Livestock Market</w:t>
      </w:r>
      <w:r w:rsidRPr="00AB6D87">
        <w:rPr>
          <w:rFonts w:ascii="Arial" w:hAnsi="Arial" w:cs="Arial"/>
          <w:szCs w:val="24"/>
        </w:rPr>
        <w:t xml:space="preserve"> operated by </w:t>
      </w:r>
      <w:r w:rsidR="00AB6D87" w:rsidRPr="00AB6D87">
        <w:rPr>
          <w:rFonts w:ascii="Arial" w:hAnsi="Arial" w:cs="Arial"/>
          <w:szCs w:val="24"/>
        </w:rPr>
        <w:t>N J Castell Ltd</w:t>
      </w:r>
    </w:p>
    <w:p w14:paraId="178F17B4" w14:textId="03A067F8" w:rsidR="00E907C6" w:rsidRPr="00AB6D87" w:rsidRDefault="00E907C6" w:rsidP="006B0BFB">
      <w:pPr>
        <w:tabs>
          <w:tab w:val="left" w:pos="4253"/>
          <w:tab w:val="left" w:pos="6804"/>
        </w:tabs>
        <w:spacing w:after="120"/>
        <w:rPr>
          <w:rFonts w:ascii="Arial" w:hAnsi="Arial"/>
          <w:kern w:val="28"/>
          <w:szCs w:val="24"/>
        </w:rPr>
      </w:pPr>
      <w:bookmarkStart w:id="0" w:name="OLE_LINK1"/>
      <w:bookmarkStart w:id="1" w:name="OLE_LINK2"/>
      <w:r w:rsidRPr="00AB6D87">
        <w:rPr>
          <w:rFonts w:ascii="Arial" w:hAnsi="Arial"/>
          <w:kern w:val="28"/>
          <w:szCs w:val="24"/>
        </w:rPr>
        <w:t xml:space="preserve">The application number is </w:t>
      </w:r>
      <w:r w:rsidR="00AB6D87" w:rsidRPr="00AB6D87">
        <w:rPr>
          <w:rFonts w:ascii="Arial" w:hAnsi="Arial"/>
          <w:szCs w:val="24"/>
        </w:rPr>
        <w:t>PAN-007523</w:t>
      </w:r>
    </w:p>
    <w:p w14:paraId="0FF15251" w14:textId="7E110F1D" w:rsidR="00D04424" w:rsidRPr="00AB6D87" w:rsidRDefault="00D04424" w:rsidP="006B0BFB">
      <w:pPr>
        <w:tabs>
          <w:tab w:val="left" w:pos="4253"/>
          <w:tab w:val="left" w:pos="6804"/>
        </w:tabs>
        <w:spacing w:after="120"/>
        <w:rPr>
          <w:rFonts w:ascii="Arial" w:hAnsi="Arial"/>
          <w:szCs w:val="24"/>
        </w:rPr>
      </w:pPr>
      <w:r w:rsidRPr="00AB6D87">
        <w:rPr>
          <w:rFonts w:ascii="Arial" w:hAnsi="Arial"/>
          <w:kern w:val="28"/>
          <w:szCs w:val="24"/>
        </w:rPr>
        <w:t>The</w:t>
      </w:r>
      <w:r w:rsidRPr="00AB6D87">
        <w:rPr>
          <w:rFonts w:ascii="Arial" w:hAnsi="Arial"/>
          <w:b/>
          <w:kern w:val="28"/>
          <w:szCs w:val="24"/>
        </w:rPr>
        <w:t xml:space="preserve"> </w:t>
      </w:r>
      <w:r w:rsidRPr="00AB6D87">
        <w:rPr>
          <w:rFonts w:ascii="Arial" w:hAnsi="Arial"/>
          <w:szCs w:val="24"/>
        </w:rPr>
        <w:t xml:space="preserve">permit number is </w:t>
      </w:r>
      <w:r w:rsidR="00AB6D87" w:rsidRPr="00AB6D87">
        <w:rPr>
          <w:rFonts w:ascii="Arial" w:hAnsi="Arial"/>
          <w:szCs w:val="24"/>
        </w:rPr>
        <w:t>EPR/BB3596ZH</w:t>
      </w:r>
    </w:p>
    <w:bookmarkEnd w:id="0"/>
    <w:bookmarkEnd w:id="1"/>
    <w:p w14:paraId="522B6F8C" w14:textId="77777777" w:rsidR="00AB6D87" w:rsidRPr="00AB6D87" w:rsidRDefault="00AB6D87" w:rsidP="006B0BFB">
      <w:pPr>
        <w:spacing w:after="120"/>
        <w:rPr>
          <w:rFonts w:ascii="Arial" w:hAnsi="Arial" w:cs="Arial"/>
        </w:rPr>
      </w:pPr>
      <w:r w:rsidRPr="00AB6D87">
        <w:rPr>
          <w:rFonts w:ascii="Arial" w:hAnsi="Arial" w:cs="Arial"/>
        </w:rPr>
        <w:t xml:space="preserve">The Permit regulates an existing discharge of wash down effluent from a livestock market yard. The market is only used for sheep and takes place once per week over Spring and Summer months. The yard is lined with hay for the sales which is removed before washing down. The wash down effluent is discharged to ground via a septic tank and soakaway, only clean water will be used to wash down the yard area. Clean rainfall related run off is diverted to a separate soakaway. The maximum daily discharge volume is 5m3 /day as per the ‘Wash Down Management System’ referenced in S1.2. </w:t>
      </w:r>
    </w:p>
    <w:p w14:paraId="0FF15253" w14:textId="3C09771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3EB84B2B" w:rsidR="006420BA" w:rsidRPr="00C17CF9" w:rsidRDefault="006420BA" w:rsidP="00AB6D87">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6662"/>
        <w:gridCol w:w="1072"/>
        <w:gridCol w:w="13"/>
      </w:tblGrid>
      <w:tr w:rsidR="00792CEE" w:rsidRPr="007820C3" w14:paraId="0FF1527C" w14:textId="77777777" w:rsidTr="00AB6D87">
        <w:trPr>
          <w:gridAfter w:val="1"/>
          <w:wAfter w:w="13" w:type="dxa"/>
          <w:cantSplit/>
          <w:tblHeader/>
        </w:trPr>
        <w:tc>
          <w:tcPr>
            <w:tcW w:w="1555"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662"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AB6D87">
        <w:trPr>
          <w:gridAfter w:val="1"/>
          <w:wAfter w:w="13" w:type="dxa"/>
          <w:cantSplit/>
          <w:trHeight w:val="276"/>
          <w:tblHeader/>
        </w:trPr>
        <w:tc>
          <w:tcPr>
            <w:tcW w:w="1555"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662"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AB6D87">
        <w:trPr>
          <w:gridAfter w:val="1"/>
          <w:wAfter w:w="13" w:type="dxa"/>
        </w:trPr>
        <w:tc>
          <w:tcPr>
            <w:tcW w:w="1555"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662"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AB6D87">
        <w:trPr>
          <w:gridAfter w:val="1"/>
          <w:wAfter w:w="13" w:type="dxa"/>
        </w:trPr>
        <w:tc>
          <w:tcPr>
            <w:tcW w:w="1555" w:type="dxa"/>
            <w:tcBorders>
              <w:bottom w:val="single" w:sz="4" w:space="0" w:color="auto"/>
            </w:tcBorders>
          </w:tcPr>
          <w:p w14:paraId="0FF15299" w14:textId="1F10175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w:t>
            </w:r>
            <w:r w:rsidRPr="00AB6D87">
              <w:rPr>
                <w:rFonts w:ascii="Arial" w:hAnsi="Arial" w:cs="Arial"/>
                <w:b w:val="0"/>
                <w:szCs w:val="24"/>
              </w:rPr>
              <w:t xml:space="preserve">to web publicising </w:t>
            </w:r>
          </w:p>
        </w:tc>
        <w:tc>
          <w:tcPr>
            <w:tcW w:w="6662" w:type="dxa"/>
            <w:tcBorders>
              <w:bottom w:val="single" w:sz="4" w:space="0" w:color="auto"/>
            </w:tcBorders>
          </w:tcPr>
          <w:p w14:paraId="0FF1529C" w14:textId="331EA70A" w:rsidR="007820C3" w:rsidRPr="00C052C4" w:rsidRDefault="00AB6D87" w:rsidP="007820C3">
            <w:pPr>
              <w:spacing w:before="60"/>
              <w:rPr>
                <w:rFonts w:ascii="Arial" w:hAnsi="Arial" w:cs="Arial"/>
                <w:szCs w:val="24"/>
              </w:rPr>
            </w:pPr>
            <w:r>
              <w:rPr>
                <w:rFonts w:ascii="Arial" w:hAnsi="Arial" w:cs="Arial"/>
                <w:szCs w:val="24"/>
              </w:rPr>
              <w:t>No responses were received to the web publication.</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AB6D87">
        <w:trPr>
          <w:gridAfter w:val="1"/>
          <w:wAfter w:w="13" w:type="dxa"/>
        </w:trPr>
        <w:tc>
          <w:tcPr>
            <w:tcW w:w="1555"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662" w:type="dxa"/>
            <w:tcBorders>
              <w:bottom w:val="single" w:sz="4" w:space="0" w:color="auto"/>
            </w:tcBorders>
          </w:tcPr>
          <w:p w14:paraId="0FF152A3" w14:textId="6CE4B34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AB6D87">
        <w:trPr>
          <w:gridAfter w:val="1"/>
          <w:wAfter w:w="13" w:type="dxa"/>
        </w:trPr>
        <w:tc>
          <w:tcPr>
            <w:tcW w:w="1555"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662"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1F98D956" w:rsidR="007820C3" w:rsidRDefault="007820C3" w:rsidP="007820C3">
            <w:pPr>
              <w:spacing w:before="60"/>
              <w:rPr>
                <w:rFonts w:ascii="Arial" w:hAnsi="Arial" w:cs="Arial"/>
                <w:szCs w:val="24"/>
              </w:rPr>
            </w:pPr>
          </w:p>
          <w:p w14:paraId="073B2C4C" w14:textId="4772D8C3" w:rsidR="00AB6D87" w:rsidRDefault="00AB6D87" w:rsidP="007820C3">
            <w:pPr>
              <w:spacing w:before="60"/>
              <w:rPr>
                <w:rFonts w:ascii="Arial" w:hAnsi="Arial" w:cs="Arial"/>
                <w:szCs w:val="24"/>
              </w:rPr>
            </w:pPr>
            <w:r>
              <w:rPr>
                <w:rFonts w:ascii="Arial" w:hAnsi="Arial" w:cs="Arial"/>
                <w:szCs w:val="24"/>
              </w:rPr>
              <w:t>Water Framework Directive:</w:t>
            </w:r>
          </w:p>
          <w:p w14:paraId="1BF2904D" w14:textId="5D964DDC" w:rsidR="00AB6D87" w:rsidRDefault="00AB6D87" w:rsidP="00AB6D87">
            <w:pPr>
              <w:pStyle w:val="ListParagraph"/>
              <w:numPr>
                <w:ilvl w:val="0"/>
                <w:numId w:val="20"/>
              </w:numPr>
              <w:spacing w:before="60"/>
              <w:rPr>
                <w:rFonts w:ascii="Arial" w:hAnsi="Arial" w:cs="Arial"/>
                <w:szCs w:val="24"/>
              </w:rPr>
            </w:pPr>
            <w:r>
              <w:rPr>
                <w:rFonts w:ascii="Arial" w:hAnsi="Arial" w:cs="Arial"/>
                <w:szCs w:val="24"/>
              </w:rPr>
              <w:t>This is an existing discharge, there are no previous incidents associated with the discharge and the adjacent WFD watercourse is designated ‘High’ for chemical and ecological status, as is the Groundwater WFD body</w:t>
            </w:r>
          </w:p>
          <w:p w14:paraId="6A35DB8B" w14:textId="7DD926E9" w:rsidR="00AB6D87" w:rsidRPr="00AB6D87" w:rsidRDefault="00AB6D87" w:rsidP="00AB6D87">
            <w:pPr>
              <w:pStyle w:val="ListParagraph"/>
              <w:numPr>
                <w:ilvl w:val="0"/>
                <w:numId w:val="20"/>
              </w:numPr>
              <w:spacing w:before="60"/>
              <w:rPr>
                <w:rFonts w:ascii="Arial" w:hAnsi="Arial" w:cs="Arial"/>
                <w:szCs w:val="24"/>
              </w:rPr>
            </w:pPr>
            <w:r>
              <w:rPr>
                <w:rFonts w:ascii="Arial" w:hAnsi="Arial" w:cs="Arial"/>
                <w:szCs w:val="24"/>
              </w:rPr>
              <w:t>Environment Officer who has visited site had no concerns with the proposal</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AB6D87">
        <w:trPr>
          <w:gridAfter w:val="1"/>
          <w:wAfter w:w="13" w:type="dxa"/>
        </w:trPr>
        <w:tc>
          <w:tcPr>
            <w:tcW w:w="1555"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662" w:type="dxa"/>
          </w:tcPr>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1" w14:textId="14903B21" w:rsidR="007820C3" w:rsidRDefault="007820C3" w:rsidP="0016775A">
            <w:pPr>
              <w:rPr>
                <w:rFonts w:ascii="Arial" w:hAnsi="Arial" w:cs="Arial"/>
                <w:color w:val="FF00FF"/>
                <w:szCs w:val="24"/>
              </w:rPr>
            </w:pP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AB6D87">
        <w:trPr>
          <w:gridAfter w:val="1"/>
          <w:wAfter w:w="13" w:type="dxa"/>
        </w:trPr>
        <w:tc>
          <w:tcPr>
            <w:tcW w:w="1555" w:type="dxa"/>
          </w:tcPr>
          <w:p w14:paraId="0FF152C5" w14:textId="5490CBC9" w:rsidR="007820C3" w:rsidRPr="00AB6D87" w:rsidRDefault="007820C3" w:rsidP="00EF499E">
            <w:pPr>
              <w:rPr>
                <w:rFonts w:ascii="Arial" w:hAnsi="Arial" w:cs="Arial"/>
                <w:szCs w:val="24"/>
                <w:highlight w:val="yellow"/>
              </w:rPr>
            </w:pPr>
            <w:r w:rsidRPr="00AB6D87">
              <w:rPr>
                <w:rFonts w:ascii="Arial" w:hAnsi="Arial" w:cs="Arial"/>
                <w:szCs w:val="24"/>
              </w:rPr>
              <w:t>Biodiversity, Heritage, Landscape and Nature Conservation</w:t>
            </w:r>
            <w:r w:rsidR="00136717" w:rsidRPr="00AB6D87">
              <w:rPr>
                <w:rFonts w:ascii="Arial" w:hAnsi="Arial" w:cs="Arial"/>
                <w:szCs w:val="24"/>
              </w:rPr>
              <w:t xml:space="preserve"> and a designated site under the CRoW Act. </w:t>
            </w:r>
          </w:p>
        </w:tc>
        <w:tc>
          <w:tcPr>
            <w:tcW w:w="6662" w:type="dxa"/>
          </w:tcPr>
          <w:p w14:paraId="0FF152C6" w14:textId="77777777" w:rsidR="007820C3" w:rsidRPr="00AB6D87" w:rsidRDefault="007820C3" w:rsidP="00EF499E">
            <w:pPr>
              <w:rPr>
                <w:rFonts w:ascii="Arial" w:hAnsi="Arial" w:cs="Arial"/>
                <w:szCs w:val="24"/>
              </w:rPr>
            </w:pPr>
            <w:r w:rsidRPr="00AB6D87">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AB6D87" w:rsidRDefault="007820C3" w:rsidP="00EF499E">
            <w:pPr>
              <w:rPr>
                <w:rFonts w:ascii="Arial" w:hAnsi="Arial" w:cs="Arial"/>
                <w:szCs w:val="24"/>
              </w:rPr>
            </w:pPr>
          </w:p>
          <w:p w14:paraId="0FF152C9" w14:textId="51D40849" w:rsidR="007820C3" w:rsidRPr="00AB6D87" w:rsidRDefault="007820C3" w:rsidP="00AB6D87">
            <w:pPr>
              <w:rPr>
                <w:rFonts w:ascii="Arial" w:hAnsi="Arial" w:cs="Arial"/>
                <w:szCs w:val="24"/>
              </w:rPr>
            </w:pPr>
            <w:r w:rsidRPr="00AB6D87">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AB6D87" w:rsidRPr="00AB6D87">
              <w:rPr>
                <w:rFonts w:ascii="Arial" w:hAnsi="Arial" w:cs="Arial"/>
                <w:szCs w:val="24"/>
              </w:rPr>
              <w:t>.</w:t>
            </w:r>
          </w:p>
          <w:p w14:paraId="79497C22" w14:textId="77777777" w:rsidR="00AB6D87" w:rsidRPr="00AB6D87" w:rsidRDefault="00AB6D87" w:rsidP="00EF499E">
            <w:pPr>
              <w:rPr>
                <w:rFonts w:ascii="Arial" w:hAnsi="Arial" w:cs="Arial"/>
                <w:szCs w:val="24"/>
              </w:rPr>
            </w:pPr>
          </w:p>
          <w:p w14:paraId="0FF152CE" w14:textId="3B990B0B" w:rsidR="007820C3" w:rsidRPr="00AB6D87" w:rsidRDefault="007820C3" w:rsidP="00EF499E">
            <w:pPr>
              <w:rPr>
                <w:rFonts w:ascii="Arial" w:hAnsi="Arial" w:cs="Arial"/>
                <w:szCs w:val="24"/>
              </w:rPr>
            </w:pPr>
            <w:r w:rsidRPr="00AB6D87">
              <w:rPr>
                <w:rFonts w:ascii="Arial" w:hAnsi="Arial" w:cs="Arial"/>
                <w:szCs w:val="24"/>
              </w:rPr>
              <w:lastRenderedPageBreak/>
              <w:t xml:space="preserve">We have not formally </w:t>
            </w:r>
            <w:proofErr w:type="gramStart"/>
            <w:r w:rsidRPr="00AB6D87">
              <w:rPr>
                <w:rFonts w:ascii="Arial" w:hAnsi="Arial" w:cs="Arial"/>
                <w:szCs w:val="24"/>
              </w:rPr>
              <w:t xml:space="preserve">consulted </w:t>
            </w:r>
            <w:r w:rsidR="009A3F85" w:rsidRPr="00AB6D87">
              <w:rPr>
                <w:rFonts w:ascii="Arial" w:hAnsi="Arial" w:cs="Arial"/>
                <w:szCs w:val="24"/>
              </w:rPr>
              <w:t xml:space="preserve"> </w:t>
            </w:r>
            <w:r w:rsidRPr="00AB6D87">
              <w:rPr>
                <w:rFonts w:ascii="Arial" w:hAnsi="Arial" w:cs="Arial"/>
                <w:szCs w:val="24"/>
              </w:rPr>
              <w:t>on</w:t>
            </w:r>
            <w:proofErr w:type="gramEnd"/>
            <w:r w:rsidRPr="00AB6D87">
              <w:rPr>
                <w:rFonts w:ascii="Arial" w:hAnsi="Arial" w:cs="Arial"/>
                <w:szCs w:val="24"/>
              </w:rPr>
              <w:t xml:space="preserve"> the application.  The decision was taken in accordance with our guidance. </w:t>
            </w:r>
          </w:p>
          <w:p w14:paraId="0FF152CF" w14:textId="77777777" w:rsidR="00FB30B4" w:rsidRPr="00AB6D87" w:rsidRDefault="00FB30B4" w:rsidP="00AB6D87">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5E4F0B" w:rsidRPr="007820C3" w14:paraId="73E24A85" w14:textId="77777777" w:rsidTr="00AB6D87">
        <w:trPr>
          <w:gridAfter w:val="1"/>
          <w:wAfter w:w="13" w:type="dxa"/>
        </w:trPr>
        <w:tc>
          <w:tcPr>
            <w:tcW w:w="1555" w:type="dxa"/>
          </w:tcPr>
          <w:p w14:paraId="5E13F2E7" w14:textId="70A259C0" w:rsidR="005E4F0B" w:rsidRPr="00AB6D87" w:rsidRDefault="005E4F0B" w:rsidP="005E4F0B">
            <w:pPr>
              <w:rPr>
                <w:rFonts w:ascii="Arial" w:hAnsi="Arial" w:cs="Arial"/>
                <w:szCs w:val="24"/>
              </w:rPr>
            </w:pPr>
            <w:r w:rsidRPr="00136717">
              <w:rPr>
                <w:rFonts w:ascii="Arial" w:hAnsi="Arial" w:cs="Arial"/>
                <w:color w:val="000000"/>
                <w:szCs w:val="24"/>
              </w:rPr>
              <w:t>Habitat Regulation Assessment for a designated site under the EU Habitats Directive</w:t>
            </w:r>
          </w:p>
        </w:tc>
        <w:tc>
          <w:tcPr>
            <w:tcW w:w="6662" w:type="dxa"/>
          </w:tcPr>
          <w:p w14:paraId="1F5A1569" w14:textId="77777777" w:rsidR="005E4F0B" w:rsidRPr="003904BE" w:rsidRDefault="005E4F0B" w:rsidP="005E4F0B">
            <w:pPr>
              <w:spacing w:before="60"/>
              <w:rPr>
                <w:rFonts w:ascii="Arial" w:hAnsi="Arial" w:cs="Arial"/>
                <w:szCs w:val="24"/>
              </w:rPr>
            </w:pPr>
            <w:r w:rsidRPr="003904BE">
              <w:rPr>
                <w:rFonts w:ascii="Arial" w:hAnsi="Arial" w:cs="Arial"/>
                <w:szCs w:val="24"/>
              </w:rPr>
              <w:t>No FORM 1 completed:</w:t>
            </w:r>
          </w:p>
          <w:p w14:paraId="5DF41DF5" w14:textId="77777777" w:rsidR="005E4F0B" w:rsidRPr="003904BE" w:rsidRDefault="005E4F0B" w:rsidP="005E4F0B">
            <w:pPr>
              <w:spacing w:before="60"/>
              <w:rPr>
                <w:rFonts w:ascii="Arial" w:hAnsi="Arial" w:cs="Arial"/>
                <w:szCs w:val="24"/>
              </w:rPr>
            </w:pPr>
          </w:p>
          <w:p w14:paraId="792E1E69" w14:textId="77777777" w:rsidR="005E4F0B" w:rsidRPr="003904BE" w:rsidRDefault="005E4F0B" w:rsidP="005E4F0B">
            <w:pPr>
              <w:spacing w:before="60"/>
              <w:rPr>
                <w:rFonts w:ascii="Arial" w:hAnsi="Arial" w:cs="Arial"/>
                <w:szCs w:val="24"/>
              </w:rPr>
            </w:pPr>
            <w:r w:rsidRPr="003904BE">
              <w:rPr>
                <w:rFonts w:ascii="Arial" w:hAnsi="Arial" w:cs="Arial"/>
                <w:szCs w:val="24"/>
              </w:rPr>
              <w:t xml:space="preserve">HRA is not required because there is no conceivable impact pathway to any Natura 2000/Ramsar site </w:t>
            </w:r>
          </w:p>
          <w:p w14:paraId="79519D40" w14:textId="77777777" w:rsidR="005E4F0B" w:rsidRPr="003904BE" w:rsidRDefault="005E4F0B" w:rsidP="005E4F0B">
            <w:pPr>
              <w:spacing w:before="60"/>
              <w:rPr>
                <w:rFonts w:ascii="Arial" w:hAnsi="Arial" w:cs="Arial"/>
                <w:szCs w:val="24"/>
              </w:rPr>
            </w:pPr>
          </w:p>
          <w:p w14:paraId="4B0A8ADF" w14:textId="77777777" w:rsidR="005E4F0B" w:rsidRPr="003904BE" w:rsidRDefault="005E4F0B" w:rsidP="005E4F0B">
            <w:pPr>
              <w:spacing w:before="60"/>
              <w:rPr>
                <w:rFonts w:ascii="Arial" w:hAnsi="Arial" w:cs="Arial"/>
                <w:szCs w:val="24"/>
              </w:rPr>
            </w:pPr>
            <w:r w:rsidRPr="003904BE">
              <w:rPr>
                <w:rFonts w:ascii="Arial" w:hAnsi="Arial" w:cs="Arial"/>
                <w:szCs w:val="24"/>
              </w:rPr>
              <w:t>There is no mechanism for the groundwater discharge to impact on the designated features of the watercourse. The discharge is of small volume and the infiltration system is located &gt;50m from the boundary of the river.</w:t>
            </w:r>
          </w:p>
          <w:p w14:paraId="6E7E7921" w14:textId="77777777" w:rsidR="005E4F0B" w:rsidRPr="003904BE" w:rsidRDefault="005E4F0B" w:rsidP="005E4F0B">
            <w:pPr>
              <w:spacing w:before="60"/>
              <w:rPr>
                <w:rFonts w:ascii="Arial" w:hAnsi="Arial" w:cs="Arial"/>
                <w:szCs w:val="24"/>
              </w:rPr>
            </w:pPr>
            <w:r w:rsidRPr="003904BE">
              <w:rPr>
                <w:rFonts w:ascii="Arial" w:hAnsi="Arial" w:cs="Arial"/>
                <w:szCs w:val="24"/>
              </w:rPr>
              <w:t xml:space="preserve"> </w:t>
            </w:r>
          </w:p>
          <w:p w14:paraId="04F9EB51" w14:textId="77777777" w:rsidR="005E4F0B" w:rsidRPr="003904BE" w:rsidRDefault="005E4F0B" w:rsidP="005E4F0B">
            <w:pPr>
              <w:spacing w:before="60"/>
              <w:rPr>
                <w:rFonts w:ascii="Arial" w:hAnsi="Arial" w:cs="Arial"/>
                <w:szCs w:val="24"/>
              </w:rPr>
            </w:pPr>
            <w:r w:rsidRPr="003904BE">
              <w:rPr>
                <w:rFonts w:ascii="Arial" w:hAnsi="Arial" w:cs="Arial"/>
                <w:szCs w:val="24"/>
              </w:rPr>
              <w:t>Furthermore, the discharge is existing (in situ since 1972) and the WFD classification for the watercourse (GB109056033000) is ‘High’ for Phys/Chem and Chemical parameters (as per the 2018 interim classification), thus demonstrating the discharge is having no effect on the watercourse. This is apparent as the levels of pollutants within the watercourse are within the JNCC Water Quality Targets.</w:t>
            </w:r>
          </w:p>
          <w:p w14:paraId="02C52D83" w14:textId="77777777" w:rsidR="005E4F0B" w:rsidRPr="003904BE" w:rsidRDefault="005E4F0B" w:rsidP="005E4F0B">
            <w:pPr>
              <w:spacing w:before="60"/>
              <w:rPr>
                <w:rFonts w:ascii="Arial" w:hAnsi="Arial" w:cs="Arial"/>
                <w:szCs w:val="24"/>
              </w:rPr>
            </w:pPr>
          </w:p>
          <w:p w14:paraId="616FBF13" w14:textId="77777777" w:rsidR="005E4F0B" w:rsidRPr="003904BE" w:rsidRDefault="005E4F0B" w:rsidP="005E4F0B">
            <w:pPr>
              <w:spacing w:before="60"/>
              <w:rPr>
                <w:rFonts w:ascii="Arial" w:hAnsi="Arial" w:cs="Arial"/>
                <w:szCs w:val="24"/>
              </w:rPr>
            </w:pPr>
            <w:r w:rsidRPr="003904BE">
              <w:rPr>
                <w:rFonts w:ascii="Arial" w:hAnsi="Arial" w:cs="Arial"/>
                <w:szCs w:val="24"/>
              </w:rPr>
              <w:t xml:space="preserve"> From checking the ‘Incidents’ layer on MyMap, there have also been no historical issues with the site, further demonstrated by a visit by an EO, where no effluent breakouts were observed, and the management of the septic tank and infiltration system was of a good standard.</w:t>
            </w:r>
          </w:p>
          <w:p w14:paraId="1702167F" w14:textId="77777777" w:rsidR="005E4F0B" w:rsidRPr="003904BE" w:rsidRDefault="005E4F0B" w:rsidP="005E4F0B">
            <w:pPr>
              <w:spacing w:before="60"/>
              <w:rPr>
                <w:rFonts w:ascii="Arial" w:hAnsi="Arial" w:cs="Arial"/>
                <w:szCs w:val="24"/>
              </w:rPr>
            </w:pPr>
          </w:p>
          <w:p w14:paraId="4625C168" w14:textId="77777777" w:rsidR="005E4F0B" w:rsidRPr="003904BE" w:rsidRDefault="005E4F0B" w:rsidP="005E4F0B">
            <w:pPr>
              <w:spacing w:before="60"/>
              <w:rPr>
                <w:rFonts w:ascii="Arial" w:hAnsi="Arial" w:cs="Arial"/>
                <w:szCs w:val="24"/>
              </w:rPr>
            </w:pPr>
            <w:r w:rsidRPr="003904BE">
              <w:rPr>
                <w:rFonts w:ascii="Arial" w:hAnsi="Arial" w:cs="Arial"/>
                <w:szCs w:val="24"/>
              </w:rPr>
              <w:t>The operator has a stringent management system in place to ensure the volume does not exceed 5 cubic metres per day and that maintenance is undertaken at regular intervals moving forward.</w:t>
            </w:r>
          </w:p>
          <w:p w14:paraId="3E5A6188" w14:textId="77777777" w:rsidR="005E4F0B" w:rsidRPr="00AB6D87" w:rsidRDefault="005E4F0B" w:rsidP="005E4F0B">
            <w:pPr>
              <w:rPr>
                <w:rFonts w:ascii="Arial" w:hAnsi="Arial" w:cs="Arial"/>
                <w:szCs w:val="24"/>
              </w:rPr>
            </w:pPr>
          </w:p>
        </w:tc>
        <w:tc>
          <w:tcPr>
            <w:tcW w:w="1072" w:type="dxa"/>
          </w:tcPr>
          <w:p w14:paraId="2C5C818A" w14:textId="3750C8CB" w:rsidR="005E4F0B" w:rsidRPr="00FB30B4" w:rsidRDefault="00537E45" w:rsidP="005E4F0B">
            <w:pPr>
              <w:rPr>
                <w:rFonts w:ascii="Arial" w:hAnsi="Arial" w:cs="Arial"/>
                <w:color w:val="000000"/>
                <w:szCs w:val="24"/>
              </w:rPr>
            </w:pPr>
            <w:r w:rsidRPr="00FB30B4">
              <w:rPr>
                <w:rFonts w:ascii="Arial" w:hAnsi="Arial" w:cs="Arial"/>
                <w:color w:val="000000"/>
                <w:szCs w:val="24"/>
              </w:rPr>
              <w:sym w:font="Wingdings" w:char="F0FC"/>
            </w:r>
            <w:bookmarkStart w:id="2" w:name="_GoBack"/>
            <w:bookmarkEnd w:id="2"/>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AB6D87">
        <w:trPr>
          <w:gridAfter w:val="1"/>
          <w:wAfter w:w="13" w:type="dxa"/>
        </w:trPr>
        <w:tc>
          <w:tcPr>
            <w:tcW w:w="1555" w:type="dxa"/>
          </w:tcPr>
          <w:p w14:paraId="0FF152E1" w14:textId="7B6912CD" w:rsidR="007820C3" w:rsidRPr="00AB6D87" w:rsidRDefault="007820C3" w:rsidP="00A26EA6">
            <w:pPr>
              <w:rPr>
                <w:rFonts w:ascii="Arial" w:hAnsi="Arial" w:cs="Arial"/>
                <w:szCs w:val="24"/>
              </w:rPr>
            </w:pPr>
            <w:r w:rsidRPr="00AB6D87">
              <w:rPr>
                <w:rFonts w:ascii="Arial" w:hAnsi="Arial" w:cs="Arial"/>
                <w:szCs w:val="24"/>
              </w:rPr>
              <w:t>Environmental risk</w:t>
            </w:r>
          </w:p>
        </w:tc>
        <w:tc>
          <w:tcPr>
            <w:tcW w:w="6662" w:type="dxa"/>
          </w:tcPr>
          <w:p w14:paraId="0FF152E2" w14:textId="77777777" w:rsidR="007820C3" w:rsidRPr="00AB6D87" w:rsidRDefault="007820C3" w:rsidP="00A60F17">
            <w:pPr>
              <w:rPr>
                <w:rFonts w:ascii="Arial" w:hAnsi="Arial" w:cs="Arial"/>
                <w:szCs w:val="24"/>
              </w:rPr>
            </w:pPr>
            <w:r w:rsidRPr="00AB6D87">
              <w:rPr>
                <w:rFonts w:ascii="Arial" w:hAnsi="Arial" w:cs="Arial"/>
                <w:szCs w:val="24"/>
              </w:rPr>
              <w:t xml:space="preserve">We have carried out a risk assessment on behalf of the operator.  </w:t>
            </w:r>
          </w:p>
          <w:p w14:paraId="0FF152E3" w14:textId="77777777" w:rsidR="00FB30B4" w:rsidRPr="00AB6D87" w:rsidRDefault="00FB30B4" w:rsidP="00A60F17">
            <w:pPr>
              <w:rPr>
                <w:rFonts w:ascii="Arial" w:hAnsi="Arial" w:cs="Arial"/>
                <w:szCs w:val="24"/>
              </w:rPr>
            </w:pPr>
          </w:p>
          <w:p w14:paraId="0FF152E4" w14:textId="77777777" w:rsidR="007820C3" w:rsidRPr="00AB6D87" w:rsidRDefault="007820C3" w:rsidP="00A60F17">
            <w:pPr>
              <w:rPr>
                <w:rFonts w:ascii="Arial" w:hAnsi="Arial" w:cs="Arial"/>
                <w:szCs w:val="24"/>
              </w:rPr>
            </w:pPr>
            <w:r w:rsidRPr="00AB6D87">
              <w:rPr>
                <w:rFonts w:ascii="Arial" w:hAnsi="Arial" w:cs="Arial"/>
                <w:szCs w:val="24"/>
              </w:rPr>
              <w:t xml:space="preserve">The operator considers this risk assessment is satisfactory. </w:t>
            </w:r>
          </w:p>
          <w:p w14:paraId="0FF152E7" w14:textId="77777777" w:rsidR="007820C3" w:rsidRPr="00AB6D87" w:rsidRDefault="007820C3" w:rsidP="00A60F17">
            <w:pPr>
              <w:rPr>
                <w:rFonts w:ascii="Arial" w:hAnsi="Arial" w:cs="Arial"/>
                <w:szCs w:val="24"/>
              </w:rPr>
            </w:pPr>
          </w:p>
          <w:p w14:paraId="0FF152E8" w14:textId="1C438A64" w:rsidR="007820C3" w:rsidRPr="00AB6D87" w:rsidRDefault="007820C3" w:rsidP="00A60F17">
            <w:pPr>
              <w:pStyle w:val="BodyText"/>
              <w:rPr>
                <w:rFonts w:ascii="Arial" w:hAnsi="Arial" w:cs="Arial"/>
                <w:color w:val="auto"/>
                <w:szCs w:val="24"/>
              </w:rPr>
            </w:pPr>
            <w:r w:rsidRPr="00AB6D87">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00AB6D87" w:rsidRPr="00AB6D87">
              <w:rPr>
                <w:rFonts w:ascii="Arial" w:hAnsi="Arial" w:cs="Arial"/>
                <w:color w:val="auto"/>
                <w:szCs w:val="24"/>
              </w:rPr>
              <w:t>.</w:t>
            </w:r>
          </w:p>
          <w:p w14:paraId="0FF152E9" w14:textId="77777777" w:rsidR="00FB30B4" w:rsidRPr="00AB6D87"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AB6D87">
        <w:trPr>
          <w:gridAfter w:val="1"/>
          <w:wAfter w:w="13" w:type="dxa"/>
        </w:trPr>
        <w:tc>
          <w:tcPr>
            <w:tcW w:w="1555" w:type="dxa"/>
          </w:tcPr>
          <w:p w14:paraId="0FF152EC" w14:textId="77777777" w:rsidR="007820C3" w:rsidRPr="00AB6D87" w:rsidRDefault="007820C3" w:rsidP="00792CEE">
            <w:pPr>
              <w:rPr>
                <w:rFonts w:ascii="Arial" w:hAnsi="Arial" w:cs="Arial"/>
                <w:szCs w:val="24"/>
              </w:rPr>
            </w:pPr>
            <w:r w:rsidRPr="00AB6D87">
              <w:rPr>
                <w:rFonts w:ascii="Arial" w:hAnsi="Arial" w:cs="Arial"/>
                <w:szCs w:val="24"/>
              </w:rPr>
              <w:t>Operating techniques</w:t>
            </w:r>
          </w:p>
        </w:tc>
        <w:tc>
          <w:tcPr>
            <w:tcW w:w="6662" w:type="dxa"/>
          </w:tcPr>
          <w:p w14:paraId="0FF152ED" w14:textId="77777777" w:rsidR="007820C3" w:rsidRPr="00AB6D87" w:rsidRDefault="007820C3" w:rsidP="00792CEE">
            <w:pPr>
              <w:pStyle w:val="BodyText"/>
              <w:rPr>
                <w:rFonts w:ascii="Arial" w:hAnsi="Arial" w:cs="Arial"/>
                <w:color w:val="auto"/>
                <w:szCs w:val="24"/>
              </w:rPr>
            </w:pPr>
            <w:r w:rsidRPr="00AB6D87">
              <w:rPr>
                <w:rFonts w:ascii="Arial" w:hAnsi="Arial" w:cs="Arial"/>
                <w:color w:val="auto"/>
                <w:szCs w:val="24"/>
              </w:rPr>
              <w:t xml:space="preserve">We have reviewed the techniques used by the operator and compared these with the relevant guidance notes. </w:t>
            </w:r>
          </w:p>
          <w:p w14:paraId="0FF152EE" w14:textId="181A0F9A" w:rsidR="007820C3" w:rsidRPr="00AB6D87" w:rsidRDefault="007820C3" w:rsidP="00792CEE">
            <w:pPr>
              <w:pStyle w:val="BodyText"/>
              <w:rPr>
                <w:rFonts w:ascii="Arial" w:hAnsi="Arial" w:cs="Arial"/>
                <w:color w:val="auto"/>
                <w:szCs w:val="24"/>
              </w:rPr>
            </w:pPr>
          </w:p>
          <w:p w14:paraId="0FF152EF" w14:textId="77777777" w:rsidR="007820C3" w:rsidRPr="00AB6D87" w:rsidRDefault="007820C3" w:rsidP="00792CEE">
            <w:pPr>
              <w:pStyle w:val="BodyText"/>
              <w:rPr>
                <w:rFonts w:ascii="Arial" w:hAnsi="Arial" w:cs="Arial"/>
                <w:color w:val="auto"/>
                <w:szCs w:val="24"/>
              </w:rPr>
            </w:pPr>
            <w:r w:rsidRPr="00AB6D8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AB6D87" w:rsidRDefault="00FB30B4" w:rsidP="00AB6D87">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AB6D87">
        <w:trPr>
          <w:gridAfter w:val="1"/>
          <w:wAfter w:w="13" w:type="dxa"/>
        </w:trPr>
        <w:tc>
          <w:tcPr>
            <w:tcW w:w="1555"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662"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AB6D87">
        <w:trPr>
          <w:gridAfter w:val="1"/>
          <w:wAfter w:w="13" w:type="dxa"/>
        </w:trPr>
        <w:tc>
          <w:tcPr>
            <w:tcW w:w="1555"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662"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AB6D87">
        <w:trPr>
          <w:gridAfter w:val="1"/>
          <w:wAfter w:w="13" w:type="dxa"/>
        </w:trPr>
        <w:tc>
          <w:tcPr>
            <w:tcW w:w="1555"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662"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B6D8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77777777" w:rsidR="00FB30B4" w:rsidRPr="00F42026" w:rsidRDefault="006765AE" w:rsidP="00FB30B4">
      <w:pPr>
        <w:pStyle w:val="Heading1"/>
        <w:jc w:val="left"/>
        <w:rPr>
          <w:color w:val="FF0000"/>
          <w:sz w:val="24"/>
        </w:rPr>
      </w:pPr>
      <w:r>
        <w:br w:type="page"/>
      </w:r>
      <w:r w:rsidR="00FB30B4" w:rsidRPr="00F42026">
        <w:rPr>
          <w:color w:val="FF0000"/>
          <w:sz w:val="24"/>
        </w:rPr>
        <w:t>Annex 2: Consultation, web pub</w:t>
      </w:r>
      <w:r w:rsidR="00FB30B4">
        <w:rPr>
          <w:color w:val="FF0000"/>
          <w:sz w:val="24"/>
        </w:rPr>
        <w:t>licising</w:t>
      </w:r>
      <w:r w:rsidR="00FB30B4" w:rsidRPr="00F42026">
        <w:rPr>
          <w:color w:val="FF0000"/>
          <w:sz w:val="24"/>
        </w:rPr>
        <w:t xml:space="preserve"> and newspaper advertising responses</w:t>
      </w:r>
      <w:r w:rsidR="00FB30B4" w:rsidRPr="00DD5600">
        <w:rPr>
          <w:b w:val="0"/>
          <w:color w:val="FF00FF"/>
          <w:sz w:val="24"/>
        </w:rPr>
        <w:t>(delete as appropriate)</w:t>
      </w:r>
      <w:r w:rsidR="00FB30B4" w:rsidRPr="00F42026">
        <w:rPr>
          <w:color w:val="FF0000"/>
          <w:sz w:val="24"/>
        </w:rPr>
        <w:t xml:space="preserve">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1" w14:textId="77777777" w:rsidR="00FB30B4" w:rsidRPr="00F42026" w:rsidRDefault="00FB30B4" w:rsidP="00FB30B4">
      <w:pPr>
        <w:rPr>
          <w:rFonts w:ascii="Arial" w:hAnsi="Arial"/>
          <w:color w:val="FF0000"/>
        </w:rPr>
      </w:pPr>
      <w:r w:rsidRPr="00F42026">
        <w:rPr>
          <w:rFonts w:ascii="Arial" w:hAnsi="Arial"/>
          <w:color w:val="FF0000"/>
        </w:rPr>
        <w:t>Summary of responses to consultation, web publication and newspaper advertising</w:t>
      </w:r>
      <w:r w:rsidRPr="00ED451B">
        <w:rPr>
          <w:rFonts w:ascii="Arial" w:hAnsi="Arial" w:cs="Arial"/>
          <w:color w:val="FF00FF"/>
        </w:rPr>
        <w:t>(delete as appropriate)</w:t>
      </w:r>
      <w:r w:rsidRPr="00F42026">
        <w:rPr>
          <w:rFonts w:ascii="Arial" w:hAnsi="Arial"/>
          <w:color w:val="FF0000"/>
        </w:rPr>
        <w:t xml:space="preserve">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77777777" w:rsidR="00FB30B4" w:rsidRPr="00136717" w:rsidRDefault="00FB30B4" w:rsidP="00FB30B4">
            <w:pPr>
              <w:jc w:val="both"/>
              <w:rPr>
                <w:rFonts w:ascii="Arial" w:hAnsi="Arial" w:cs="Arial"/>
                <w:b/>
                <w:color w:val="FFFFFF" w:themeColor="background1"/>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77777777" w:rsidR="00FB30B4" w:rsidRPr="004243F4" w:rsidRDefault="00FB30B4" w:rsidP="00FB30B4">
            <w:pPr>
              <w:jc w:val="both"/>
              <w:rPr>
                <w:rFonts w:ascii="Arial" w:hAnsi="Arial" w:cs="Arial"/>
              </w:rPr>
            </w:pPr>
          </w:p>
        </w:tc>
      </w:tr>
    </w:tbl>
    <w:p w14:paraId="0FF1535F" w14:textId="77777777" w:rsidR="00FB30B4" w:rsidRPr="004243F4" w:rsidRDefault="00FB30B4" w:rsidP="00FB30B4">
      <w:pPr>
        <w:jc w:val="both"/>
        <w:rPr>
          <w:rFonts w:ascii="Arial" w:hAnsi="Arial" w:cs="Arial"/>
          <w:color w:val="FF00FF"/>
          <w:szCs w:val="24"/>
        </w:rPr>
      </w:pPr>
      <w:r w:rsidRPr="004243F4">
        <w:rPr>
          <w:rFonts w:ascii="Arial" w:hAnsi="Arial" w:cs="Arial"/>
          <w:color w:val="FF00FF"/>
          <w:szCs w:val="24"/>
        </w:rPr>
        <w:t>[Repeat Table for each response]</w:t>
      </w:r>
    </w:p>
    <w:p w14:paraId="0FF15360" w14:textId="77777777" w:rsidR="00FB30B4" w:rsidRPr="004243F4" w:rsidRDefault="00FB30B4" w:rsidP="00FB30B4">
      <w:pPr>
        <w:jc w:val="both"/>
        <w:rPr>
          <w:rFonts w:ascii="Arial" w:hAnsi="Arial" w:cs="Arial"/>
        </w:rPr>
      </w:pPr>
    </w:p>
    <w:p w14:paraId="0FF15361" w14:textId="77777777" w:rsidR="00FB30B4" w:rsidRPr="004243F4" w:rsidRDefault="00FB30B4" w:rsidP="00FB30B4">
      <w:pPr>
        <w:pStyle w:val="Heading1"/>
        <w:jc w:val="left"/>
        <w:rPr>
          <w:rFonts w:cs="Arial"/>
          <w:color w:val="FF0000"/>
          <w:sz w:val="24"/>
        </w:rPr>
      </w:pPr>
      <w:r w:rsidRPr="004243F4">
        <w:rPr>
          <w:rFonts w:cs="Arial"/>
          <w:color w:val="FF0000"/>
          <w:sz w:val="24"/>
        </w:rPr>
        <w:t>Conditions where the consent of another person is required</w:t>
      </w:r>
    </w:p>
    <w:p w14:paraId="0FF15362" w14:textId="77777777" w:rsidR="00FB30B4" w:rsidRPr="004243F4" w:rsidRDefault="00FB30B4" w:rsidP="00FB30B4">
      <w:pPr>
        <w:rPr>
          <w:rFonts w:ascii="Arial" w:hAnsi="Arial" w:cs="Arial"/>
          <w:color w:val="FF0000"/>
        </w:rPr>
      </w:pPr>
      <w:r w:rsidRPr="004243F4">
        <w:rPr>
          <w:rFonts w:ascii="Arial" w:hAnsi="Arial" w:cs="Arial"/>
          <w:color w:val="FF0000"/>
        </w:rPr>
        <w:t>Summary of responses received on proposed conditions and the way in which we have been taken these into account in the determination process:</w:t>
      </w:r>
    </w:p>
    <w:p w14:paraId="0FF15363" w14:textId="77777777" w:rsidR="00FB30B4" w:rsidRPr="004243F4" w:rsidRDefault="00FB30B4" w:rsidP="00FB30B4">
      <w:pPr>
        <w:rPr>
          <w:rFonts w:ascii="Arial" w:hAnsi="Arial" w:cs="Arial"/>
          <w:color w:val="FF0000"/>
        </w:rPr>
      </w:pPr>
    </w:p>
    <w:tbl>
      <w:tblPr>
        <w:tblStyle w:val="TableGrid"/>
        <w:tblW w:w="0" w:type="auto"/>
        <w:tblLook w:val="01E0" w:firstRow="1" w:lastRow="1" w:firstColumn="1" w:lastColumn="1" w:noHBand="0" w:noVBand="0"/>
      </w:tblPr>
      <w:tblGrid>
        <w:gridCol w:w="8296"/>
      </w:tblGrid>
      <w:tr w:rsidR="00FB30B4" w:rsidRPr="004243F4" w14:paraId="0FF15365" w14:textId="77777777" w:rsidTr="00136717">
        <w:tc>
          <w:tcPr>
            <w:tcW w:w="8522" w:type="dxa"/>
            <w:shd w:val="clear" w:color="auto" w:fill="0070C0"/>
          </w:tcPr>
          <w:p w14:paraId="0FF15364"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Response received from</w:t>
            </w:r>
          </w:p>
        </w:tc>
      </w:tr>
      <w:tr w:rsidR="00FB30B4" w:rsidRPr="004243F4" w14:paraId="0FF15367" w14:textId="77777777" w:rsidTr="00FB30B4">
        <w:tc>
          <w:tcPr>
            <w:tcW w:w="8522" w:type="dxa"/>
            <w:tcBorders>
              <w:bottom w:val="single" w:sz="4" w:space="0" w:color="auto"/>
            </w:tcBorders>
          </w:tcPr>
          <w:p w14:paraId="0FF15366" w14:textId="77777777" w:rsidR="00FB30B4" w:rsidRPr="004243F4" w:rsidRDefault="00FB30B4" w:rsidP="00FB30B4">
            <w:pPr>
              <w:jc w:val="both"/>
              <w:rPr>
                <w:rFonts w:ascii="Arial" w:hAnsi="Arial" w:cs="Arial"/>
                <w:color w:val="FF0000"/>
              </w:rPr>
            </w:pPr>
          </w:p>
        </w:tc>
      </w:tr>
      <w:tr w:rsidR="00FB30B4" w:rsidRPr="004243F4" w14:paraId="0FF15369" w14:textId="77777777" w:rsidTr="00136717">
        <w:tc>
          <w:tcPr>
            <w:tcW w:w="8522" w:type="dxa"/>
            <w:shd w:val="clear" w:color="auto" w:fill="0070C0"/>
          </w:tcPr>
          <w:p w14:paraId="0FF15368"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Brief summary of issues raised</w:t>
            </w:r>
          </w:p>
        </w:tc>
      </w:tr>
      <w:tr w:rsidR="00FB30B4" w:rsidRPr="004243F4" w14:paraId="0FF1536B" w14:textId="77777777" w:rsidTr="00FB30B4">
        <w:tc>
          <w:tcPr>
            <w:tcW w:w="8522" w:type="dxa"/>
            <w:tcBorders>
              <w:bottom w:val="single" w:sz="4" w:space="0" w:color="auto"/>
            </w:tcBorders>
          </w:tcPr>
          <w:p w14:paraId="0FF1536A" w14:textId="77777777" w:rsidR="00FB30B4" w:rsidRPr="004243F4" w:rsidRDefault="00FB30B4" w:rsidP="00FB30B4">
            <w:pPr>
              <w:jc w:val="both"/>
              <w:rPr>
                <w:rFonts w:ascii="Arial" w:hAnsi="Arial" w:cs="Arial"/>
                <w:color w:val="FF0000"/>
              </w:rPr>
            </w:pPr>
          </w:p>
        </w:tc>
      </w:tr>
      <w:tr w:rsidR="00FB30B4" w:rsidRPr="004243F4" w14:paraId="0FF1536D" w14:textId="77777777" w:rsidTr="00136717">
        <w:tc>
          <w:tcPr>
            <w:tcW w:w="8522" w:type="dxa"/>
            <w:shd w:val="clear" w:color="auto" w:fill="0070C0"/>
          </w:tcPr>
          <w:p w14:paraId="0FF1536C"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6F" w14:textId="77777777" w:rsidTr="00FB30B4">
        <w:tc>
          <w:tcPr>
            <w:tcW w:w="8522" w:type="dxa"/>
          </w:tcPr>
          <w:p w14:paraId="0FF1536E" w14:textId="77777777" w:rsidR="00FB30B4" w:rsidRPr="004243F4" w:rsidRDefault="00FB30B4" w:rsidP="00FB30B4">
            <w:pPr>
              <w:jc w:val="both"/>
              <w:rPr>
                <w:rFonts w:ascii="Arial" w:hAnsi="Arial" w:cs="Arial"/>
              </w:rPr>
            </w:pPr>
          </w:p>
        </w:tc>
      </w:tr>
    </w:tbl>
    <w:p w14:paraId="0FF15370" w14:textId="77777777" w:rsidR="00FB30B4" w:rsidRPr="000D41D1" w:rsidRDefault="00FB30B4" w:rsidP="00FB30B4">
      <w:pPr>
        <w:jc w:val="both"/>
        <w:rPr>
          <w:rFonts w:ascii="Arial" w:hAnsi="Arial"/>
          <w:color w:val="FF00FF"/>
          <w:szCs w:val="24"/>
        </w:rPr>
      </w:pPr>
      <w:r w:rsidRPr="000D41D1">
        <w:rPr>
          <w:rFonts w:ascii="Arial" w:hAnsi="Arial"/>
          <w:color w:val="FF00FF"/>
          <w:szCs w:val="24"/>
        </w:rPr>
        <w:t>[Repeat Table for each response]</w:t>
      </w: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0100F7"/>
    <w:multiLevelType w:val="hybridMultilevel"/>
    <w:tmpl w:val="61A43020"/>
    <w:lvl w:ilvl="0" w:tplc="012424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9"/>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37E45"/>
    <w:rsid w:val="00564C6D"/>
    <w:rsid w:val="005761B2"/>
    <w:rsid w:val="005910D1"/>
    <w:rsid w:val="00591847"/>
    <w:rsid w:val="00591E64"/>
    <w:rsid w:val="005B36D9"/>
    <w:rsid w:val="005B6A95"/>
    <w:rsid w:val="005D0E13"/>
    <w:rsid w:val="005E1031"/>
    <w:rsid w:val="005E4F0B"/>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D87"/>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AB6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21" ma:contentTypeDescription="Permitting &amp; Compliance Word Document" ma:contentTypeScope="" ma:versionID="96f1037dc7c29fdbc05ca712e6a18ba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Talybont on Usk Livestock Market</Site_x0020_Name>
    <Internal_x002f_External xmlns="859f7ad6-93f6-4205-b62b-a17f28acbbac">Internal document</Internal_x002f_External>
    <Post_x0020_code xmlns="859f7ad6-93f6-4205-b62b-a17f28acbbac">LD3 7JE or NP7 5NT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3 Kings Rd, Llandovery, SA20 0AW</Addressee>
    <Process_x0020_Type xmlns="859f7ad6-93f6-4205-b62b-a17f28acbbac">Permit</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2020-03-10T00:00:00+00:00</Document_x0020_Date>
    <Facility_x0020_Address xmlns="859f7ad6-93f6-4205-b62b-a17f28acbbac">Station Rd, Talybont on Usk, Brecon</Facility_x0020_Address>
    <Environment_x0020_Sub_x0020_Folder xmlns="859f7ad6-93f6-4205-b62b-a17f28acbbac">Licences applications</Environment_x0020_Sub_x0020_Folder>
    <Customer_x0020_Name xmlns="859f7ad6-93f6-4205-b62b-a17f28acbbac">N J Castell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2D8042-49FC-49A4-9FBE-0D65920E2BD6}">
  <ds:schemaRefs>
    <ds:schemaRef ds:uri="http://schemas.microsoft.com/sharepoint/events"/>
  </ds:schemaRefs>
</ds:datastoreItem>
</file>

<file path=customXml/itemProps2.xml><?xml version="1.0" encoding="utf-8"?>
<ds:datastoreItem xmlns:ds="http://schemas.openxmlformats.org/officeDocument/2006/customXml" ds:itemID="{2E191CA2-4DDE-407B-8BB6-BD62DD25B9EC}">
  <ds:schemaRefs>
    <ds:schemaRef ds:uri="Microsoft.SharePoint.Taxonomy.ContentTypeSync"/>
  </ds:schemaRefs>
</ds:datastoreItem>
</file>

<file path=customXml/itemProps3.xml><?xml version="1.0" encoding="utf-8"?>
<ds:datastoreItem xmlns:ds="http://schemas.openxmlformats.org/officeDocument/2006/customXml" ds:itemID="{38FB77C7-658A-43C7-B50B-3316DF5E1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1111</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Burge, Elliot</cp:lastModifiedBy>
  <cp:revision>4</cp:revision>
  <cp:lastPrinted>2008-01-30T13:54:00Z</cp:lastPrinted>
  <dcterms:created xsi:type="dcterms:W3CDTF">2021-01-08T08:33:00Z</dcterms:created>
  <dcterms:modified xsi:type="dcterms:W3CDTF">2021-01-08T10:19:00Z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92cc3269-6b4f-4d2e-ad04-cae4395e017b</vt:lpwstr>
  </property>
  <property fmtid="{D5CDD505-2E9C-101B-9397-08002B2CF9AE}" pid="11" name="SharedWithUsers">
    <vt:lpwstr/>
  </property>
  <property fmtid="{D5CDD505-2E9C-101B-9397-08002B2CF9AE}" pid="12" name="_dlc_DocId">
    <vt:lpwstr>REGU-212-399759</vt:lpwstr>
  </property>
  <property fmtid="{D5CDD505-2E9C-101B-9397-08002B2CF9AE}" pid="13" name="_dlc_DocIdUrl">
    <vt:lpwstr>https://cyfoethnaturiolcymru.sharepoint.com/teams/Regulatory/Permitting/_layouts/15/DocIdRedir.aspx?ID=REGU-212-399759, REGU-212-399759</vt:lpwstr>
  </property>
</Properties>
</file>