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1A5D0A" w:rsidRDefault="00A26EA6" w:rsidP="00D04424">
      <w:pPr>
        <w:pStyle w:val="Heading1"/>
        <w:jc w:val="left"/>
        <w:rPr>
          <w:color w:val="auto"/>
          <w:sz w:val="32"/>
          <w:szCs w:val="32"/>
        </w:rPr>
      </w:pPr>
      <w:r w:rsidRPr="001A5D0A">
        <w:rPr>
          <w:color w:val="auto"/>
          <w:sz w:val="32"/>
          <w:szCs w:val="32"/>
        </w:rPr>
        <w:t>Nat</w:t>
      </w:r>
      <w:r w:rsidR="00352859" w:rsidRPr="001A5D0A">
        <w:rPr>
          <w:color w:val="auto"/>
          <w:sz w:val="32"/>
          <w:szCs w:val="32"/>
        </w:rPr>
        <w:t>ur</w:t>
      </w:r>
      <w:r w:rsidRPr="001A5D0A">
        <w:rPr>
          <w:color w:val="auto"/>
          <w:sz w:val="32"/>
          <w:szCs w:val="32"/>
        </w:rPr>
        <w:t>al Resources Wales</w:t>
      </w:r>
      <w:r w:rsidR="0014332B" w:rsidRPr="001A5D0A">
        <w:rPr>
          <w:bCs/>
          <w:color w:val="auto"/>
          <w:sz w:val="32"/>
          <w:szCs w:val="32"/>
        </w:rPr>
        <w:t xml:space="preserve"> p</w:t>
      </w:r>
      <w:r w:rsidR="00D04424" w:rsidRPr="001A5D0A">
        <w:rPr>
          <w:bCs/>
          <w:color w:val="auto"/>
          <w:sz w:val="32"/>
          <w:szCs w:val="32"/>
        </w:rPr>
        <w:t>ermitting</w:t>
      </w:r>
      <w:r w:rsidR="00D04424" w:rsidRPr="001A5D0A">
        <w:rPr>
          <w:color w:val="auto"/>
          <w:sz w:val="32"/>
          <w:szCs w:val="32"/>
        </w:rPr>
        <w:t xml:space="preserve"> decisions</w:t>
      </w:r>
    </w:p>
    <w:p w14:paraId="0FF15248" w14:textId="77777777" w:rsidR="003719AD" w:rsidRPr="001A5D0A" w:rsidRDefault="003719AD" w:rsidP="003719AD">
      <w:pPr>
        <w:pStyle w:val="Heading1"/>
        <w:spacing w:before="0" w:after="0"/>
        <w:jc w:val="left"/>
        <w:rPr>
          <w:bCs/>
          <w:color w:val="auto"/>
          <w:sz w:val="24"/>
          <w:szCs w:val="24"/>
        </w:rPr>
      </w:pPr>
    </w:p>
    <w:p w14:paraId="0FF15249" w14:textId="6DDC2BEC" w:rsidR="00D04424" w:rsidRPr="001A5D0A" w:rsidRDefault="0014332B" w:rsidP="003719AD">
      <w:pPr>
        <w:pStyle w:val="Heading1"/>
        <w:spacing w:before="0" w:after="0"/>
        <w:jc w:val="left"/>
        <w:rPr>
          <w:bCs/>
          <w:color w:val="auto"/>
          <w:sz w:val="32"/>
        </w:rPr>
      </w:pPr>
      <w:r w:rsidRPr="001A5D0A">
        <w:rPr>
          <w:bCs/>
          <w:color w:val="auto"/>
          <w:sz w:val="32"/>
        </w:rPr>
        <w:t>Bespoke p</w:t>
      </w:r>
      <w:r w:rsidR="00D04424" w:rsidRPr="001A5D0A">
        <w:rPr>
          <w:bCs/>
          <w:color w:val="auto"/>
          <w:sz w:val="32"/>
        </w:rPr>
        <w:t>ermit</w:t>
      </w:r>
      <w:r w:rsidR="00B73ECB" w:rsidRPr="001A5D0A">
        <w:rPr>
          <w:bCs/>
          <w:color w:val="auto"/>
          <w:sz w:val="32"/>
        </w:rPr>
        <w:t xml:space="preserve"> </w:t>
      </w:r>
    </w:p>
    <w:p w14:paraId="41AC372F" w14:textId="77777777" w:rsidR="00136717" w:rsidRPr="001A5D0A" w:rsidRDefault="00136717" w:rsidP="00136717"/>
    <w:p w14:paraId="0FF1524F" w14:textId="77777777" w:rsidR="007820C3" w:rsidRPr="001A5D0A" w:rsidRDefault="007820C3" w:rsidP="00D04424">
      <w:pPr>
        <w:rPr>
          <w:rFonts w:ascii="Arial" w:hAnsi="Arial" w:cs="Arial"/>
          <w:szCs w:val="24"/>
        </w:rPr>
      </w:pPr>
    </w:p>
    <w:p w14:paraId="0FF15250" w14:textId="75952EB0" w:rsidR="00D04424" w:rsidRPr="001A5D0A" w:rsidRDefault="0060457F" w:rsidP="006B0BFB">
      <w:pPr>
        <w:spacing w:after="120"/>
        <w:rPr>
          <w:rFonts w:ascii="Arial" w:hAnsi="Arial" w:cs="Arial"/>
          <w:szCs w:val="24"/>
        </w:rPr>
      </w:pPr>
      <w:r w:rsidRPr="001A5D0A">
        <w:rPr>
          <w:rFonts w:ascii="Arial" w:hAnsi="Arial" w:cs="Arial"/>
          <w:szCs w:val="24"/>
        </w:rPr>
        <w:t xml:space="preserve">We have decided to </w:t>
      </w:r>
      <w:r w:rsidR="00D2020E" w:rsidRPr="001A5D0A">
        <w:rPr>
          <w:rFonts w:ascii="Arial" w:hAnsi="Arial" w:cs="Arial"/>
          <w:szCs w:val="24"/>
        </w:rPr>
        <w:t xml:space="preserve">grant </w:t>
      </w:r>
      <w:r w:rsidRPr="001A5D0A">
        <w:rPr>
          <w:rFonts w:ascii="Arial" w:hAnsi="Arial" w:cs="Arial"/>
          <w:szCs w:val="24"/>
        </w:rPr>
        <w:t xml:space="preserve">the </w:t>
      </w:r>
      <w:r w:rsidR="009E6DCF" w:rsidRPr="001A5D0A">
        <w:rPr>
          <w:rFonts w:ascii="Arial" w:hAnsi="Arial" w:cs="Arial"/>
          <w:szCs w:val="24"/>
        </w:rPr>
        <w:t>permit</w:t>
      </w:r>
      <w:r w:rsidRPr="001A5D0A">
        <w:rPr>
          <w:rFonts w:ascii="Arial" w:hAnsi="Arial" w:cs="Arial"/>
          <w:szCs w:val="24"/>
        </w:rPr>
        <w:t xml:space="preserve"> </w:t>
      </w:r>
      <w:proofErr w:type="gramStart"/>
      <w:r w:rsidRPr="001A5D0A">
        <w:rPr>
          <w:rFonts w:ascii="Arial" w:hAnsi="Arial" w:cs="Arial"/>
          <w:szCs w:val="24"/>
        </w:rPr>
        <w:t>for</w:t>
      </w:r>
      <w:r w:rsidR="009E6DCF" w:rsidRPr="001A5D0A">
        <w:rPr>
          <w:rFonts w:ascii="Arial" w:hAnsi="Arial" w:cs="Arial"/>
          <w:szCs w:val="24"/>
        </w:rPr>
        <w:t xml:space="preserve"> </w:t>
      </w:r>
      <w:r w:rsidRPr="001A5D0A">
        <w:rPr>
          <w:rFonts w:ascii="Arial" w:hAnsi="Arial" w:cs="Arial"/>
          <w:szCs w:val="24"/>
        </w:rPr>
        <w:t xml:space="preserve"> operated</w:t>
      </w:r>
      <w:proofErr w:type="gramEnd"/>
      <w:r w:rsidRPr="001A5D0A">
        <w:rPr>
          <w:rFonts w:ascii="Arial" w:hAnsi="Arial" w:cs="Arial"/>
          <w:szCs w:val="24"/>
        </w:rPr>
        <w:t xml:space="preserve"> by </w:t>
      </w:r>
      <w:r w:rsidR="001A5D0A" w:rsidRPr="001A5D0A">
        <w:rPr>
          <w:rFonts w:ascii="Arial" w:hAnsi="Arial" w:cs="Arial"/>
          <w:szCs w:val="24"/>
        </w:rPr>
        <w:t>Mr Richard Gould</w:t>
      </w:r>
    </w:p>
    <w:p w14:paraId="178F17B4" w14:textId="528F881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9E6DCF">
        <w:rPr>
          <w:rFonts w:ascii="Arial" w:hAnsi="Arial"/>
          <w:color w:val="000000"/>
          <w:kern w:val="28"/>
          <w:szCs w:val="24"/>
        </w:rPr>
        <w:t xml:space="preserve"> </w:t>
      </w:r>
      <w:r w:rsidR="00F27285">
        <w:rPr>
          <w:rFonts w:ascii="Arial" w:hAnsi="Arial"/>
          <w:color w:val="000000"/>
          <w:kern w:val="28"/>
          <w:szCs w:val="24"/>
        </w:rPr>
        <w:t>PAN-002925</w:t>
      </w:r>
    </w:p>
    <w:p w14:paraId="0FF15251" w14:textId="6A02559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Start w:id="2" w:name="_GoBack"/>
      <w:r w:rsidR="003674BD" w:rsidRPr="003674BD">
        <w:rPr>
          <w:rFonts w:ascii="Arial" w:hAnsi="Arial"/>
          <w:szCs w:val="24"/>
        </w:rPr>
        <w:t>EPR-AB3995CV</w:t>
      </w:r>
      <w:bookmarkEnd w:id="2"/>
    </w:p>
    <w:bookmarkEnd w:id="0"/>
    <w:bookmarkEnd w:id="1"/>
    <w:p w14:paraId="38FD0B94" w14:textId="77777777" w:rsidR="001A5D0A" w:rsidRDefault="001A5D0A" w:rsidP="006B0BFB">
      <w:pPr>
        <w:spacing w:after="120"/>
        <w:rPr>
          <w:rFonts w:ascii="Arial" w:hAnsi="Arial"/>
        </w:rPr>
      </w:pPr>
    </w:p>
    <w:p w14:paraId="519CABE1" w14:textId="77777777" w:rsidR="00F27285" w:rsidRPr="00F50CB1" w:rsidRDefault="00F27285" w:rsidP="00F27285">
      <w:pPr>
        <w:pStyle w:val="Heading3nonum"/>
        <w:rPr>
          <w:sz w:val="22"/>
          <w:szCs w:val="22"/>
        </w:rPr>
      </w:pPr>
      <w:r>
        <w:rPr>
          <w:sz w:val="22"/>
          <w:szCs w:val="22"/>
        </w:rPr>
        <w:t>The permit regulates a new discharge of secondary treated sewage effluent; a maximum of 1m</w:t>
      </w:r>
      <w:r w:rsidRPr="00E362FC">
        <w:rPr>
          <w:sz w:val="22"/>
          <w:szCs w:val="22"/>
          <w:vertAlign w:val="superscript"/>
        </w:rPr>
        <w:t>3</w:t>
      </w:r>
      <w:r>
        <w:rPr>
          <w:sz w:val="22"/>
          <w:szCs w:val="22"/>
        </w:rPr>
        <w:t xml:space="preserve">/day treated by British Standard package treatment plant and discharged into the </w:t>
      </w:r>
      <w:proofErr w:type="spellStart"/>
      <w:r>
        <w:rPr>
          <w:sz w:val="22"/>
          <w:szCs w:val="22"/>
        </w:rPr>
        <w:t>Afon</w:t>
      </w:r>
      <w:proofErr w:type="spellEnd"/>
      <w:r>
        <w:rPr>
          <w:sz w:val="22"/>
          <w:szCs w:val="22"/>
        </w:rPr>
        <w:t xml:space="preserve"> </w:t>
      </w:r>
      <w:proofErr w:type="spellStart"/>
      <w:r>
        <w:rPr>
          <w:sz w:val="22"/>
          <w:szCs w:val="22"/>
        </w:rPr>
        <w:t>Mydr</w:t>
      </w:r>
      <w:proofErr w:type="spellEnd"/>
      <w:r>
        <w:rPr>
          <w:sz w:val="22"/>
          <w:szCs w:val="22"/>
        </w:rPr>
        <w:t>. The system serves a single domestic dwelling and replaces a historic septic tank discharge.</w:t>
      </w:r>
    </w:p>
    <w:p w14:paraId="6D752855" w14:textId="77777777" w:rsidR="001A5D0A" w:rsidRDefault="001A5D0A" w:rsidP="006B0BFB">
      <w:pPr>
        <w:spacing w:after="120"/>
        <w:rPr>
          <w:rFonts w:ascii="Arial" w:hAnsi="Arial"/>
        </w:rPr>
      </w:pPr>
    </w:p>
    <w:p w14:paraId="0FF15253" w14:textId="5EB1FE4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BB76223" w14:textId="77777777" w:rsidR="001A5D0A" w:rsidRPr="001A5D0A" w:rsidRDefault="001A5D0A" w:rsidP="001A5D0A">
      <w:pPr>
        <w:spacing w:after="60"/>
        <w:ind w:left="1134"/>
        <w:rPr>
          <w:rFonts w:ascii="Arial" w:hAnsi="Arial"/>
        </w:rPr>
      </w:pPr>
    </w:p>
    <w:p w14:paraId="0FF15263" w14:textId="7FD0E392"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25F6260" w14:textId="77777777" w:rsidR="001A5D0A" w:rsidRDefault="001A5D0A">
      <w:pPr>
        <w:rPr>
          <w:rFonts w:ascii="Arial" w:hAnsi="Arial"/>
          <w:b/>
          <w:bCs/>
          <w:color w:val="000000"/>
          <w:kern w:val="28"/>
        </w:rPr>
      </w:pPr>
      <w:r>
        <w:rPr>
          <w:bCs/>
        </w:rPr>
        <w:br w:type="page"/>
      </w:r>
    </w:p>
    <w:p w14:paraId="0FF15271" w14:textId="498E47A5"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D3146B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A5D0A">
              <w:rPr>
                <w:rFonts w:ascii="Arial" w:hAnsi="Arial" w:cs="Arial"/>
                <w:b w:val="0"/>
                <w:szCs w:val="24"/>
              </w:rPr>
              <w:t>web publicising</w:t>
            </w:r>
            <w:r w:rsidR="001A5D0A">
              <w:rPr>
                <w:rFonts w:ascii="Arial" w:hAnsi="Arial" w:cs="Arial"/>
                <w:b w:val="0"/>
                <w:szCs w:val="24"/>
              </w:rPr>
              <w:t xml:space="preserve"> and consultation</w:t>
            </w:r>
            <w:r w:rsidRPr="001A5D0A">
              <w:rPr>
                <w:rFonts w:ascii="Arial" w:hAnsi="Arial" w:cs="Arial"/>
                <w:b w:val="0"/>
                <w:szCs w:val="24"/>
              </w:rPr>
              <w:t xml:space="preserve"> </w:t>
            </w:r>
          </w:p>
        </w:tc>
        <w:tc>
          <w:tcPr>
            <w:tcW w:w="6266" w:type="dxa"/>
            <w:tcBorders>
              <w:bottom w:val="single" w:sz="4" w:space="0" w:color="auto"/>
            </w:tcBorders>
          </w:tcPr>
          <w:p w14:paraId="4E1D69DC" w14:textId="027AAB69" w:rsidR="00933CBF" w:rsidRPr="00DA70FE" w:rsidRDefault="007820C3" w:rsidP="00933CBF">
            <w:pPr>
              <w:spacing w:before="60"/>
              <w:rPr>
                <w:rFonts w:ascii="Arial" w:hAnsi="Arial" w:cs="Arial"/>
                <w:szCs w:val="24"/>
              </w:rPr>
            </w:pPr>
            <w:r w:rsidRPr="00DA70FE">
              <w:rPr>
                <w:rFonts w:ascii="Arial" w:hAnsi="Arial" w:cs="Arial"/>
                <w:szCs w:val="24"/>
              </w:rPr>
              <w:t>The</w:t>
            </w:r>
            <w:r w:rsidR="001A5D0A">
              <w:rPr>
                <w:rFonts w:ascii="Arial" w:hAnsi="Arial" w:cs="Arial"/>
                <w:szCs w:val="24"/>
              </w:rPr>
              <w:t xml:space="preserve">re were no responses to web publicising.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8391541"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w:t>
            </w:r>
            <w:r w:rsidR="001A5D0A">
              <w:rPr>
                <w:rFonts w:ascii="Arial" w:hAnsi="Arial" w:cs="Arial"/>
                <w:szCs w:val="24"/>
              </w:rPr>
              <w:t xml:space="preserve"> </w:t>
            </w:r>
            <w:r w:rsidRPr="007820C3">
              <w:rPr>
                <w:rFonts w:ascii="Arial" w:hAnsi="Arial" w:cs="Arial"/>
                <w:szCs w:val="24"/>
              </w:rPr>
              <w:t>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8" w14:textId="77777777" w:rsidTr="0013671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00136717">
        <w:trPr>
          <w:gridAfter w:val="1"/>
          <w:wAfter w:w="13" w:type="dxa"/>
        </w:trPr>
        <w:tc>
          <w:tcPr>
            <w:tcW w:w="1951" w:type="dxa"/>
            <w:tcBorders>
              <w:bottom w:val="single" w:sz="4" w:space="0" w:color="auto"/>
            </w:tcBorders>
          </w:tcPr>
          <w:p w14:paraId="0FF152A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The regulated  facility </w:t>
            </w:r>
          </w:p>
          <w:p w14:paraId="0FF152AA" w14:textId="40F14989" w:rsidR="007820C3" w:rsidRPr="007820C3" w:rsidRDefault="007820C3" w:rsidP="00792CEE">
            <w:pPr>
              <w:rPr>
                <w:rFonts w:ascii="Arial" w:hAnsi="Arial" w:cs="Arial"/>
                <w:color w:val="FF00FF"/>
                <w:szCs w:val="24"/>
                <w:highlight w:val="yellow"/>
              </w:rPr>
            </w:pP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C" w14:textId="6B22292F" w:rsidR="007820C3" w:rsidRPr="001A5D0A" w:rsidRDefault="007820C3" w:rsidP="0017110E">
            <w:pPr>
              <w:rPr>
                <w:rFonts w:ascii="Arial" w:hAnsi="Arial" w:cs="Arial"/>
                <w:b/>
                <w:szCs w:val="24"/>
              </w:rPr>
            </w:pPr>
            <w:r w:rsidRPr="001A5D0A">
              <w:rPr>
                <w:rFonts w:ascii="Arial" w:hAnsi="Arial" w:cs="Arial"/>
                <w:szCs w:val="24"/>
              </w:rPr>
              <w:t>Th</w:t>
            </w:r>
            <w:r w:rsidR="009A3F85" w:rsidRPr="001A5D0A">
              <w:rPr>
                <w:rFonts w:ascii="Arial" w:hAnsi="Arial" w:cs="Arial"/>
                <w:szCs w:val="24"/>
              </w:rPr>
              <w:t>e regulated facility is a stand</w:t>
            </w:r>
            <w:r w:rsidRPr="001A5D0A">
              <w:rPr>
                <w:rFonts w:ascii="Arial" w:hAnsi="Arial" w:cs="Arial"/>
                <w:szCs w:val="24"/>
              </w:rPr>
              <w:t>alone water discharge activity in accordance with EPR RGN 2 Understanding the meaning of regulated facility.</w:t>
            </w:r>
          </w:p>
          <w:p w14:paraId="460631BD" w14:textId="77777777" w:rsidR="001A5D0A" w:rsidRPr="001A5D0A" w:rsidRDefault="001A5D0A" w:rsidP="0017110E">
            <w:pPr>
              <w:rPr>
                <w:rFonts w:ascii="Arial" w:hAnsi="Arial" w:cs="Arial"/>
                <w:szCs w:val="24"/>
              </w:rPr>
            </w:pPr>
          </w:p>
          <w:p w14:paraId="0FF152AE" w14:textId="64D7CDFC" w:rsidR="007820C3" w:rsidRPr="001A5D0A" w:rsidRDefault="007820C3" w:rsidP="0017110E">
            <w:pPr>
              <w:rPr>
                <w:rFonts w:ascii="Arial" w:hAnsi="Arial" w:cs="Arial"/>
                <w:szCs w:val="24"/>
              </w:rPr>
            </w:pPr>
            <w:r w:rsidRPr="001A5D0A">
              <w:rPr>
                <w:rFonts w:ascii="Arial" w:hAnsi="Arial" w:cs="Arial"/>
                <w:szCs w:val="24"/>
              </w:rPr>
              <w:t>The regulated facility is a standalone groundwater activity in accordance with EPR RGN 2 Understanding the meaning of regulated facility.</w:t>
            </w:r>
          </w:p>
          <w:p w14:paraId="0FF152AF" w14:textId="77777777" w:rsidR="007820C3" w:rsidRPr="007820C3" w:rsidRDefault="007820C3" w:rsidP="0017110E">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FA15A0C" w:rsidR="007820C3" w:rsidRPr="007820C3" w:rsidRDefault="007820C3" w:rsidP="001A5D0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E75B4A1" w:rsidR="00FB30B4" w:rsidRPr="007820C3" w:rsidRDefault="00FB30B4" w:rsidP="001A5D0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lastRenderedPageBreak/>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B510D9" w:rsidRDefault="007820C3" w:rsidP="00EF499E">
            <w:pPr>
              <w:rPr>
                <w:rFonts w:ascii="Arial" w:hAnsi="Arial" w:cs="Arial"/>
                <w:szCs w:val="24"/>
              </w:rPr>
            </w:pPr>
            <w:r w:rsidRPr="00B510D9">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B510D9" w:rsidRDefault="007820C3" w:rsidP="00EF499E">
            <w:pPr>
              <w:rPr>
                <w:rFonts w:ascii="Arial" w:hAnsi="Arial" w:cs="Arial"/>
                <w:szCs w:val="24"/>
              </w:rPr>
            </w:pPr>
          </w:p>
          <w:p w14:paraId="0FF152C8" w14:textId="4D128304" w:rsidR="007820C3" w:rsidRPr="00B510D9" w:rsidRDefault="007820C3" w:rsidP="00EF499E">
            <w:pPr>
              <w:rPr>
                <w:rFonts w:ascii="Arial" w:hAnsi="Arial" w:cs="Arial"/>
                <w:szCs w:val="24"/>
              </w:rPr>
            </w:pPr>
            <w:r w:rsidRPr="00B510D9">
              <w:rPr>
                <w:rFonts w:ascii="Arial" w:hAnsi="Arial" w:cs="Arial"/>
                <w:szCs w:val="24"/>
              </w:rPr>
              <w:t>A full assessment of the application a</w:t>
            </w:r>
            <w:r w:rsidR="00B510D9" w:rsidRPr="00B510D9">
              <w:rPr>
                <w:rFonts w:ascii="Arial" w:hAnsi="Arial" w:cs="Arial"/>
                <w:szCs w:val="24"/>
              </w:rPr>
              <w:t xml:space="preserve">nd its potential to affect the </w:t>
            </w:r>
            <w:r w:rsidRPr="00B510D9">
              <w:rPr>
                <w:rFonts w:ascii="Arial" w:hAnsi="Arial" w:cs="Arial"/>
                <w:szCs w:val="24"/>
              </w:rPr>
              <w:t>site</w:t>
            </w:r>
            <w:r w:rsidR="00B510D9" w:rsidRPr="00B510D9">
              <w:rPr>
                <w:rFonts w:ascii="Arial" w:hAnsi="Arial" w:cs="Arial"/>
                <w:szCs w:val="24"/>
              </w:rPr>
              <w:t xml:space="preserve"> </w:t>
            </w:r>
            <w:r w:rsidRPr="00B510D9">
              <w:rPr>
                <w:rFonts w:ascii="Arial" w:hAnsi="Arial" w:cs="Arial"/>
                <w:szCs w:val="24"/>
              </w:rPr>
              <w:t>has been carried out as part of the permitting process. We consider that the a</w:t>
            </w:r>
            <w:r w:rsidR="00B510D9" w:rsidRPr="00B510D9">
              <w:rPr>
                <w:rFonts w:ascii="Arial" w:hAnsi="Arial" w:cs="Arial"/>
                <w:szCs w:val="24"/>
              </w:rPr>
              <w:t xml:space="preserve">pplication will not affect the </w:t>
            </w:r>
            <w:r w:rsidRPr="00B510D9">
              <w:rPr>
                <w:rFonts w:ascii="Arial" w:hAnsi="Arial" w:cs="Arial"/>
                <w:szCs w:val="24"/>
              </w:rPr>
              <w:t>features of the site</w:t>
            </w:r>
            <w:r w:rsidR="00B510D9" w:rsidRPr="00B510D9">
              <w:rPr>
                <w:rFonts w:ascii="Arial" w:hAnsi="Arial" w:cs="Arial"/>
                <w:szCs w:val="24"/>
              </w:rPr>
              <w:t>.</w:t>
            </w:r>
          </w:p>
          <w:p w14:paraId="6F8800FB" w14:textId="77777777" w:rsidR="00B510D9" w:rsidRPr="00B510D9" w:rsidRDefault="00B510D9" w:rsidP="00EF499E">
            <w:pPr>
              <w:rPr>
                <w:rFonts w:ascii="Arial" w:hAnsi="Arial" w:cs="Arial"/>
                <w:szCs w:val="24"/>
              </w:rPr>
            </w:pPr>
          </w:p>
          <w:p w14:paraId="0FF152CE" w14:textId="64280D02" w:rsidR="007820C3" w:rsidRPr="00B510D9" w:rsidRDefault="007820C3" w:rsidP="00EF499E">
            <w:pPr>
              <w:rPr>
                <w:rFonts w:ascii="Arial" w:hAnsi="Arial" w:cs="Arial"/>
                <w:szCs w:val="24"/>
              </w:rPr>
            </w:pPr>
            <w:r w:rsidRPr="00B510D9">
              <w:rPr>
                <w:rFonts w:ascii="Arial" w:hAnsi="Arial" w:cs="Arial"/>
                <w:szCs w:val="24"/>
              </w:rPr>
              <w:t xml:space="preserve">We have not formally </w:t>
            </w:r>
            <w:proofErr w:type="gramStart"/>
            <w:r w:rsidRPr="00B510D9">
              <w:rPr>
                <w:rFonts w:ascii="Arial" w:hAnsi="Arial" w:cs="Arial"/>
                <w:szCs w:val="24"/>
              </w:rPr>
              <w:t xml:space="preserve">consulted </w:t>
            </w:r>
            <w:r w:rsidR="009A3F85" w:rsidRPr="00B510D9">
              <w:rPr>
                <w:rFonts w:ascii="Arial" w:hAnsi="Arial" w:cs="Arial"/>
                <w:szCs w:val="24"/>
              </w:rPr>
              <w:t xml:space="preserve"> </w:t>
            </w:r>
            <w:r w:rsidRPr="00B510D9">
              <w:rPr>
                <w:rFonts w:ascii="Arial" w:hAnsi="Arial" w:cs="Arial"/>
                <w:szCs w:val="24"/>
              </w:rPr>
              <w:t>on</w:t>
            </w:r>
            <w:proofErr w:type="gramEnd"/>
            <w:r w:rsidRPr="00B510D9">
              <w:rPr>
                <w:rFonts w:ascii="Arial" w:hAnsi="Arial" w:cs="Arial"/>
                <w:szCs w:val="24"/>
              </w:rPr>
              <w:t xml:space="preserve"> the application.  The decision was taken in accordance with our guidance. </w:t>
            </w:r>
          </w:p>
          <w:p w14:paraId="0FF152CF" w14:textId="79F49BDD" w:rsidR="00FB30B4" w:rsidRPr="00B510D9" w:rsidRDefault="00FB30B4" w:rsidP="00B510D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B510D9" w:rsidRDefault="007820C3" w:rsidP="00A60F17">
            <w:pPr>
              <w:rPr>
                <w:rFonts w:ascii="Arial" w:hAnsi="Arial" w:cs="Arial"/>
                <w:szCs w:val="24"/>
              </w:rPr>
            </w:pPr>
            <w:r w:rsidRPr="00B510D9">
              <w:rPr>
                <w:rFonts w:ascii="Arial" w:hAnsi="Arial" w:cs="Arial"/>
                <w:szCs w:val="24"/>
              </w:rPr>
              <w:t>Environmental risk</w:t>
            </w:r>
          </w:p>
          <w:p w14:paraId="0FF152E1" w14:textId="13DA35B3" w:rsidR="007820C3" w:rsidRPr="00B510D9" w:rsidRDefault="007820C3" w:rsidP="00A26EA6">
            <w:pPr>
              <w:rPr>
                <w:rFonts w:ascii="Arial" w:hAnsi="Arial" w:cs="Arial"/>
                <w:szCs w:val="24"/>
              </w:rPr>
            </w:pPr>
          </w:p>
        </w:tc>
        <w:tc>
          <w:tcPr>
            <w:tcW w:w="6266" w:type="dxa"/>
          </w:tcPr>
          <w:p w14:paraId="0FF152E2" w14:textId="77777777" w:rsidR="007820C3" w:rsidRPr="00B510D9" w:rsidRDefault="007820C3" w:rsidP="00A60F17">
            <w:pPr>
              <w:rPr>
                <w:rFonts w:ascii="Arial" w:hAnsi="Arial" w:cs="Arial"/>
                <w:szCs w:val="24"/>
              </w:rPr>
            </w:pPr>
            <w:r w:rsidRPr="00B510D9">
              <w:rPr>
                <w:rFonts w:ascii="Arial" w:hAnsi="Arial" w:cs="Arial"/>
                <w:szCs w:val="24"/>
              </w:rPr>
              <w:t xml:space="preserve">We have carried out a risk assessment on behalf of the operator.  </w:t>
            </w:r>
          </w:p>
          <w:p w14:paraId="0FF152E3" w14:textId="77777777" w:rsidR="00FB30B4" w:rsidRPr="00B510D9" w:rsidRDefault="00FB30B4" w:rsidP="00A60F17">
            <w:pPr>
              <w:rPr>
                <w:rFonts w:ascii="Arial" w:hAnsi="Arial" w:cs="Arial"/>
                <w:szCs w:val="24"/>
              </w:rPr>
            </w:pPr>
          </w:p>
          <w:p w14:paraId="0FF152E4" w14:textId="77777777" w:rsidR="007820C3" w:rsidRPr="00B510D9" w:rsidRDefault="007820C3" w:rsidP="00A60F17">
            <w:pPr>
              <w:rPr>
                <w:rFonts w:ascii="Arial" w:hAnsi="Arial" w:cs="Arial"/>
                <w:szCs w:val="24"/>
              </w:rPr>
            </w:pPr>
            <w:r w:rsidRPr="00B510D9">
              <w:rPr>
                <w:rFonts w:ascii="Arial" w:hAnsi="Arial" w:cs="Arial"/>
                <w:szCs w:val="24"/>
              </w:rPr>
              <w:t xml:space="preserve">The operator considers this risk assessment is satisfactory. </w:t>
            </w:r>
          </w:p>
          <w:p w14:paraId="0FF152E7" w14:textId="1A341132" w:rsidR="007820C3" w:rsidRPr="00B510D9" w:rsidRDefault="007820C3" w:rsidP="00A60F17">
            <w:pPr>
              <w:rPr>
                <w:rFonts w:ascii="Arial" w:hAnsi="Arial" w:cs="Arial"/>
                <w:szCs w:val="24"/>
              </w:rPr>
            </w:pPr>
          </w:p>
          <w:p w14:paraId="7CFBC307" w14:textId="77777777" w:rsidR="00FB30B4" w:rsidRPr="00B510D9" w:rsidRDefault="007820C3" w:rsidP="00B510D9">
            <w:pPr>
              <w:pStyle w:val="BodyText"/>
              <w:rPr>
                <w:rFonts w:ascii="Arial" w:hAnsi="Arial" w:cs="Arial"/>
                <w:color w:val="auto"/>
                <w:szCs w:val="24"/>
              </w:rPr>
            </w:pPr>
            <w:r w:rsidRPr="00B510D9">
              <w:rPr>
                <w:rFonts w:ascii="Arial" w:hAnsi="Arial" w:cs="Arial"/>
                <w:color w:val="auto"/>
                <w:szCs w:val="24"/>
              </w:rPr>
              <w:t>The assessment shows that, applying the conservative criteria in our guidance on Environmental Risk Assessment, all emissions may be categorised a</w:t>
            </w:r>
            <w:r w:rsidR="00B510D9" w:rsidRPr="00B510D9">
              <w:rPr>
                <w:rFonts w:ascii="Arial" w:hAnsi="Arial" w:cs="Arial"/>
                <w:color w:val="auto"/>
                <w:szCs w:val="24"/>
              </w:rPr>
              <w:t>s environmentally insignificant.</w:t>
            </w:r>
          </w:p>
          <w:p w14:paraId="0FF152E9" w14:textId="76141F25" w:rsidR="00B510D9" w:rsidRPr="00B510D9" w:rsidRDefault="00B510D9" w:rsidP="00B510D9">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B510D9" w:rsidRDefault="007820C3" w:rsidP="00792CEE">
            <w:pPr>
              <w:rPr>
                <w:rFonts w:ascii="Arial" w:hAnsi="Arial" w:cs="Arial"/>
                <w:szCs w:val="24"/>
              </w:rPr>
            </w:pPr>
            <w:r w:rsidRPr="00B510D9">
              <w:rPr>
                <w:rFonts w:ascii="Arial" w:hAnsi="Arial" w:cs="Arial"/>
                <w:szCs w:val="24"/>
              </w:rPr>
              <w:t>Operating techniques</w:t>
            </w:r>
          </w:p>
        </w:tc>
        <w:tc>
          <w:tcPr>
            <w:tcW w:w="6266" w:type="dxa"/>
          </w:tcPr>
          <w:p w14:paraId="0FF152ED" w14:textId="77777777" w:rsidR="007820C3" w:rsidRPr="00B510D9" w:rsidRDefault="007820C3" w:rsidP="00792CEE">
            <w:pPr>
              <w:pStyle w:val="BodyText"/>
              <w:rPr>
                <w:rFonts w:ascii="Arial" w:hAnsi="Arial" w:cs="Arial"/>
                <w:color w:val="auto"/>
                <w:szCs w:val="24"/>
              </w:rPr>
            </w:pPr>
            <w:r w:rsidRPr="00B510D9">
              <w:rPr>
                <w:rFonts w:ascii="Arial" w:hAnsi="Arial" w:cs="Arial"/>
                <w:color w:val="auto"/>
                <w:szCs w:val="24"/>
              </w:rPr>
              <w:t xml:space="preserve">We have reviewed the techniques used by the operator and compared these with the relevant guidance notes. </w:t>
            </w:r>
          </w:p>
          <w:p w14:paraId="0FF152EE" w14:textId="0F567D45" w:rsidR="007820C3" w:rsidRPr="00B510D9" w:rsidRDefault="007820C3" w:rsidP="00792CEE">
            <w:pPr>
              <w:pStyle w:val="BodyText"/>
              <w:rPr>
                <w:rFonts w:ascii="Arial" w:hAnsi="Arial" w:cs="Arial"/>
                <w:color w:val="auto"/>
                <w:szCs w:val="24"/>
              </w:rPr>
            </w:pPr>
          </w:p>
          <w:p w14:paraId="0FF152EF" w14:textId="77777777" w:rsidR="007820C3" w:rsidRPr="00B510D9" w:rsidRDefault="007820C3" w:rsidP="00792CEE">
            <w:pPr>
              <w:pStyle w:val="BodyText"/>
              <w:rPr>
                <w:rFonts w:ascii="Arial" w:hAnsi="Arial" w:cs="Arial"/>
                <w:color w:val="auto"/>
                <w:szCs w:val="24"/>
              </w:rPr>
            </w:pPr>
            <w:r w:rsidRPr="00B510D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1F5E1ED" w14:textId="77777777" w:rsidR="00FB30B4" w:rsidRPr="00B510D9" w:rsidRDefault="00FB30B4" w:rsidP="00B510D9">
            <w:pPr>
              <w:pStyle w:val="BodyText"/>
              <w:rPr>
                <w:rFonts w:ascii="Arial" w:hAnsi="Arial" w:cs="Arial"/>
                <w:color w:val="auto"/>
                <w:szCs w:val="24"/>
              </w:rPr>
            </w:pPr>
          </w:p>
          <w:p w14:paraId="1318674C" w14:textId="77777777" w:rsidR="00B510D9" w:rsidRPr="00B510D9" w:rsidRDefault="00B510D9" w:rsidP="00B510D9">
            <w:pPr>
              <w:pStyle w:val="BodyText"/>
              <w:rPr>
                <w:rFonts w:ascii="Arial" w:hAnsi="Arial" w:cs="Arial"/>
                <w:color w:val="auto"/>
                <w:szCs w:val="24"/>
              </w:rPr>
            </w:pPr>
          </w:p>
          <w:p w14:paraId="0FF152F4" w14:textId="50E8EEA7" w:rsidR="00B510D9" w:rsidRPr="00B510D9" w:rsidRDefault="00B510D9" w:rsidP="00B510D9">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510D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60" w14:textId="2F0B6106" w:rsidR="00FB30B4" w:rsidRPr="004243F4" w:rsidRDefault="00FB30B4" w:rsidP="00F27285">
      <w:pPr>
        <w:pStyle w:val="Heading1"/>
        <w:jc w:val="left"/>
        <w:rPr>
          <w:rFonts w:cs="Arial"/>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5A34E0"/>
    <w:multiLevelType w:val="hybridMultilevel"/>
    <w:tmpl w:val="816CA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6"/>
  </w:num>
  <w:num w:numId="2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5D0A"/>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74BD"/>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3CBF"/>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9E6DCF"/>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10D9"/>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285"/>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1A5D0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1A5D0A"/>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6832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 Yr Afon</Site_x0020_Name>
    <Internal_x002f_External xmlns="859f7ad6-93f6-4205-b62b-a17f28acbbac">Internal document</Internal_x002f_External>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2018-09-04T23:00:00+00:00</Document_x0020_Date>
    <Facility_x0020_Address xmlns="859f7ad6-93f6-4205-b62b-a17f28acbbac">Cileau Aeron</Facility_x0020_Address>
    <Environment_x0020_Sub_x0020_Folder xmlns="859f7ad6-93f6-4205-b62b-a17f28acbbac">Licences applications</Environment_x0020_Sub_x0020_Folder>
    <Customer_x0020_Name xmlns="859f7ad6-93f6-4205-b62b-a17f28acbbac">Mr David Gobert-Jones</Customer_x0020_Name>
    <Post_x0020_code xmlns="859f7ad6-93f6-4205-b62b-a17f28acbbac">SA48 8DQ</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AD543356-B4C3-4DEA-ADCC-EEC16F019560}"/>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4145aa9-ae2a-4b81-96bf-da2258b9f1c9"/>
    <ds:schemaRef ds:uri="6e121689-de5b-41b9-a751-bfeda7fa2b07"/>
    <ds:schemaRef ds:uri="859f7ad6-93f6-4205-b62b-a17f28acbbac"/>
    <ds:schemaRef ds:uri="http://www.w3.org/XML/1998/namespace"/>
    <ds:schemaRef ds:uri="http://purl.org/dc/dcmitype/"/>
  </ds:schemaRefs>
</ds:datastoreItem>
</file>

<file path=customXml/itemProps6.xml><?xml version="1.0" encoding="utf-8"?>
<ds:datastoreItem xmlns:ds="http://schemas.openxmlformats.org/officeDocument/2006/customXml" ds:itemID="{B86AAB95-90BC-48A0-8C30-BBD42F04C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739</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2018-09-05T12:40:00Z</dcterms:created>
  <dcterms:modified xsi:type="dcterms:W3CDTF">2018-09-05T14:19:00Z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ca21526b-664c-496d-b23d-cd9261cb77d4</vt:lpwstr>
  </property>
  <property fmtid="{D5CDD505-2E9C-101B-9397-08002B2CF9AE}" pid="11" name="SharedWithUsers">
    <vt:lpwstr/>
  </property>
  <property fmtid="{D5CDD505-2E9C-101B-9397-08002B2CF9AE}" pid="12" name="_dlc_DocId">
    <vt:lpwstr>REGU-212-23725</vt:lpwstr>
  </property>
  <property fmtid="{D5CDD505-2E9C-101B-9397-08002B2CF9AE}" pid="13" name="_dlc_DocIdUrl">
    <vt:lpwstr>https://cyfoethnaturiolcymru.sharepoint.com/teams/Regulatory/Permitting/_layouts/15/DocIdRedir.aspx?ID=REGU-212-23725, REGU-212-23725</vt:lpwstr>
  </property>
  <property fmtid="{D5CDD505-2E9C-101B-9397-08002B2CF9AE}" pid="14" name="_docset_NoMedatataSyncRequired">
    <vt:lpwstr>False</vt:lpwstr>
  </property>
</Properties>
</file>