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CAC29B9" w:rsidR="00D04424" w:rsidRPr="00D83117" w:rsidRDefault="0014332B" w:rsidP="003719AD">
      <w:pPr>
        <w:pStyle w:val="Heading1"/>
        <w:spacing w:before="0" w:after="0"/>
        <w:jc w:val="left"/>
        <w:rPr>
          <w:bCs/>
          <w:color w:val="000000" w:themeColor="text1"/>
          <w:sz w:val="32"/>
        </w:rPr>
      </w:pPr>
      <w:r w:rsidRPr="00D83117">
        <w:rPr>
          <w:bCs/>
          <w:color w:val="000000" w:themeColor="text1"/>
          <w:sz w:val="32"/>
        </w:rPr>
        <w:t>Bespoke p</w:t>
      </w:r>
      <w:r w:rsidR="00D04424" w:rsidRPr="00D83117">
        <w:rPr>
          <w:bCs/>
          <w:color w:val="000000" w:themeColor="text1"/>
          <w:sz w:val="32"/>
        </w:rPr>
        <w:t>ermit</w:t>
      </w:r>
      <w:r w:rsidR="00B73ECB" w:rsidRPr="00D83117">
        <w:rPr>
          <w:bCs/>
          <w:color w:val="000000" w:themeColor="text1"/>
          <w:sz w:val="32"/>
        </w:rPr>
        <w:t xml:space="preserve"> </w:t>
      </w:r>
    </w:p>
    <w:p w14:paraId="41AC372F" w14:textId="77777777" w:rsidR="00136717" w:rsidRPr="00D83117" w:rsidRDefault="00136717" w:rsidP="00136717">
      <w:pPr>
        <w:rPr>
          <w:color w:val="000000" w:themeColor="text1"/>
        </w:rPr>
      </w:pPr>
    </w:p>
    <w:p w14:paraId="0FF15250" w14:textId="12493C38" w:rsidR="00D04424" w:rsidRPr="00D83117" w:rsidRDefault="0060457F" w:rsidP="006B0BFB">
      <w:pPr>
        <w:spacing w:after="120"/>
        <w:rPr>
          <w:rFonts w:ascii="Arial" w:hAnsi="Arial" w:cs="Arial"/>
          <w:color w:val="000000" w:themeColor="text1"/>
          <w:szCs w:val="24"/>
        </w:rPr>
      </w:pPr>
      <w:r w:rsidRPr="00D83117">
        <w:rPr>
          <w:rFonts w:ascii="Arial" w:hAnsi="Arial" w:cs="Arial"/>
          <w:color w:val="000000" w:themeColor="text1"/>
          <w:szCs w:val="24"/>
        </w:rPr>
        <w:t xml:space="preserve">We have decided to </w:t>
      </w:r>
      <w:r w:rsidR="00D2020E" w:rsidRPr="00D83117">
        <w:rPr>
          <w:rFonts w:ascii="Arial" w:hAnsi="Arial" w:cs="Arial"/>
          <w:color w:val="000000" w:themeColor="text1"/>
          <w:szCs w:val="24"/>
        </w:rPr>
        <w:t xml:space="preserve">grant </w:t>
      </w:r>
      <w:r w:rsidRPr="00D83117">
        <w:rPr>
          <w:rFonts w:ascii="Arial" w:hAnsi="Arial" w:cs="Arial"/>
          <w:color w:val="000000" w:themeColor="text1"/>
          <w:szCs w:val="24"/>
        </w:rPr>
        <w:t xml:space="preserve">the </w:t>
      </w:r>
      <w:proofErr w:type="gramStart"/>
      <w:r w:rsidRPr="00D83117">
        <w:rPr>
          <w:rFonts w:ascii="Arial" w:hAnsi="Arial" w:cs="Arial"/>
          <w:color w:val="000000" w:themeColor="text1"/>
          <w:szCs w:val="24"/>
        </w:rPr>
        <w:t>permit  for</w:t>
      </w:r>
      <w:proofErr w:type="gramEnd"/>
      <w:r w:rsidRPr="00D83117">
        <w:rPr>
          <w:rFonts w:ascii="Arial" w:hAnsi="Arial" w:cs="Arial"/>
          <w:color w:val="000000" w:themeColor="text1"/>
          <w:szCs w:val="24"/>
        </w:rPr>
        <w:t xml:space="preserve"> </w:t>
      </w:r>
      <w:r w:rsidR="00D83117" w:rsidRPr="00D83117">
        <w:rPr>
          <w:rFonts w:ascii="Arial" w:hAnsi="Arial" w:cs="Arial"/>
          <w:color w:val="000000" w:themeColor="text1"/>
          <w:szCs w:val="24"/>
        </w:rPr>
        <w:t>Tyn y Ffordd</w:t>
      </w:r>
      <w:r w:rsidRPr="00D83117">
        <w:rPr>
          <w:rFonts w:ascii="Arial" w:hAnsi="Arial" w:cs="Arial"/>
          <w:color w:val="000000" w:themeColor="text1"/>
          <w:szCs w:val="24"/>
        </w:rPr>
        <w:t xml:space="preserve"> operated by </w:t>
      </w:r>
      <w:r w:rsidR="00D83117" w:rsidRPr="00D83117">
        <w:rPr>
          <w:rFonts w:ascii="Arial" w:hAnsi="Arial" w:cs="Arial"/>
          <w:color w:val="000000" w:themeColor="text1"/>
          <w:szCs w:val="24"/>
        </w:rPr>
        <w:t>Mr John Briggs.</w:t>
      </w:r>
    </w:p>
    <w:p w14:paraId="178F17B4" w14:textId="77C67A08" w:rsidR="00E907C6" w:rsidRPr="00D83117"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D83117">
        <w:rPr>
          <w:rFonts w:ascii="Arial" w:hAnsi="Arial"/>
          <w:color w:val="000000" w:themeColor="text1"/>
          <w:kern w:val="28"/>
          <w:szCs w:val="24"/>
        </w:rPr>
        <w:t xml:space="preserve">The application number is </w:t>
      </w:r>
      <w:r w:rsidR="00D83117" w:rsidRPr="00D83117">
        <w:rPr>
          <w:rFonts w:ascii="Arial" w:hAnsi="Arial"/>
          <w:color w:val="000000" w:themeColor="text1"/>
          <w:szCs w:val="24"/>
        </w:rPr>
        <w:t>PAN-014182</w:t>
      </w:r>
    </w:p>
    <w:p w14:paraId="0FF15251" w14:textId="200FEC28" w:rsidR="00D04424" w:rsidRPr="00D83117" w:rsidRDefault="00D04424" w:rsidP="006B0BFB">
      <w:pPr>
        <w:tabs>
          <w:tab w:val="left" w:pos="4253"/>
          <w:tab w:val="left" w:pos="6804"/>
        </w:tabs>
        <w:spacing w:after="120"/>
        <w:rPr>
          <w:rFonts w:ascii="Arial" w:hAnsi="Arial"/>
          <w:color w:val="000000" w:themeColor="text1"/>
          <w:szCs w:val="24"/>
        </w:rPr>
      </w:pPr>
      <w:r w:rsidRPr="00D83117">
        <w:rPr>
          <w:rFonts w:ascii="Arial" w:hAnsi="Arial"/>
          <w:color w:val="000000" w:themeColor="text1"/>
          <w:kern w:val="28"/>
          <w:szCs w:val="24"/>
        </w:rPr>
        <w:t>The</w:t>
      </w:r>
      <w:r w:rsidRPr="00D83117">
        <w:rPr>
          <w:rFonts w:ascii="Arial" w:hAnsi="Arial"/>
          <w:b/>
          <w:color w:val="000000" w:themeColor="text1"/>
          <w:kern w:val="28"/>
          <w:szCs w:val="24"/>
        </w:rPr>
        <w:t xml:space="preserve"> </w:t>
      </w:r>
      <w:r w:rsidRPr="00D83117">
        <w:rPr>
          <w:rFonts w:ascii="Arial" w:hAnsi="Arial"/>
          <w:color w:val="000000" w:themeColor="text1"/>
          <w:szCs w:val="24"/>
        </w:rPr>
        <w:t xml:space="preserve">permit number is </w:t>
      </w:r>
      <w:r w:rsidR="002E359B" w:rsidRPr="002E359B">
        <w:rPr>
          <w:rFonts w:ascii="Arial" w:hAnsi="Arial"/>
          <w:color w:val="000000" w:themeColor="text1"/>
          <w:szCs w:val="24"/>
        </w:rPr>
        <w:t>EPR-CB3197FT</w:t>
      </w:r>
      <w:bookmarkStart w:id="2" w:name="_GoBack"/>
      <w:bookmarkEnd w:id="2"/>
    </w:p>
    <w:p w14:paraId="3BAB4FD0" w14:textId="5A64678C" w:rsidR="00D83117" w:rsidRPr="00D83117" w:rsidRDefault="000225DA" w:rsidP="00D83117">
      <w:pPr>
        <w:tabs>
          <w:tab w:val="left" w:pos="4253"/>
          <w:tab w:val="left" w:pos="6804"/>
        </w:tabs>
        <w:rPr>
          <w:rFonts w:ascii="Arial" w:hAnsi="Arial"/>
          <w:color w:val="000000" w:themeColor="text1"/>
        </w:rPr>
      </w:pPr>
      <w:r w:rsidRPr="00D83117">
        <w:rPr>
          <w:rFonts w:ascii="Arial" w:hAnsi="Arial"/>
          <w:color w:val="000000" w:themeColor="text1"/>
        </w:rPr>
        <w:t xml:space="preserve">The </w:t>
      </w:r>
      <w:r w:rsidR="00E244F7" w:rsidRPr="00D83117">
        <w:rPr>
          <w:rFonts w:ascii="Arial" w:hAnsi="Arial"/>
          <w:color w:val="000000" w:themeColor="text1"/>
        </w:rPr>
        <w:t xml:space="preserve">discharge is for </w:t>
      </w:r>
      <w:bookmarkEnd w:id="0"/>
      <w:bookmarkEnd w:id="1"/>
      <w:r w:rsidR="00D83117" w:rsidRPr="00D83117">
        <w:rPr>
          <w:rFonts w:ascii="Arial" w:hAnsi="Arial"/>
          <w:color w:val="000000" w:themeColor="text1"/>
        </w:rPr>
        <w:t>the permit regulates a discharge from a new package treatment plant at Tyn y Ffordd.  The discharge is into an unnamed tributary of the Afon Clwyd.</w:t>
      </w:r>
    </w:p>
    <w:p w14:paraId="3621C225" w14:textId="77777777" w:rsidR="00D83117" w:rsidRPr="00D83117" w:rsidRDefault="00D83117" w:rsidP="00D83117">
      <w:pPr>
        <w:tabs>
          <w:tab w:val="left" w:pos="4253"/>
          <w:tab w:val="left" w:pos="6804"/>
        </w:tabs>
        <w:rPr>
          <w:rFonts w:ascii="Arial" w:hAnsi="Arial"/>
          <w:color w:val="000000" w:themeColor="text1"/>
        </w:rPr>
      </w:pPr>
    </w:p>
    <w:p w14:paraId="2BA859CB" w14:textId="738A256C" w:rsidR="00D83117" w:rsidRDefault="00D83117" w:rsidP="00D83117">
      <w:pPr>
        <w:tabs>
          <w:tab w:val="left" w:pos="4253"/>
          <w:tab w:val="left" w:pos="6804"/>
        </w:tabs>
        <w:rPr>
          <w:rFonts w:ascii="Arial" w:hAnsi="Arial"/>
          <w:color w:val="000000" w:themeColor="text1"/>
        </w:rPr>
      </w:pPr>
      <w:r w:rsidRPr="00D83117">
        <w:rPr>
          <w:rFonts w:ascii="Arial" w:hAnsi="Arial"/>
          <w:color w:val="000000" w:themeColor="text1"/>
        </w:rPr>
        <w:t>The British Standard system treats sewage effluent originating from two residential properties. The maximum daily discharge volume is 2 cubic metres per day and the effluent is domestic in nature.</w:t>
      </w:r>
    </w:p>
    <w:p w14:paraId="15CAA72F" w14:textId="77777777" w:rsidR="00D83117" w:rsidRPr="00D83117" w:rsidRDefault="00D83117" w:rsidP="00D83117">
      <w:pPr>
        <w:tabs>
          <w:tab w:val="left" w:pos="4253"/>
          <w:tab w:val="left" w:pos="6804"/>
        </w:tabs>
        <w:rPr>
          <w:rFonts w:ascii="Arial" w:hAnsi="Arial"/>
          <w:color w:val="000000" w:themeColor="text1"/>
        </w:rPr>
      </w:pPr>
    </w:p>
    <w:p w14:paraId="0FF15253" w14:textId="3829838C" w:rsidR="00D04424" w:rsidRPr="00D83117" w:rsidRDefault="00D04424" w:rsidP="00D83117">
      <w:pPr>
        <w:tabs>
          <w:tab w:val="left" w:pos="4253"/>
          <w:tab w:val="left" w:pos="6804"/>
        </w:tabs>
        <w:rPr>
          <w:rFonts w:ascii="Arial" w:hAnsi="Arial"/>
          <w:color w:val="000000" w:themeColor="text1"/>
        </w:rPr>
      </w:pPr>
      <w:r w:rsidRPr="00D83117">
        <w:rPr>
          <w:rFonts w:ascii="Arial" w:hAnsi="Arial"/>
          <w:color w:val="000000" w:themeColor="text1"/>
        </w:rPr>
        <w:t>We consider in reaching that decision we have taken into account all relevant considerations and legal requirements and that the permit will ensure that the appropriate level of environment</w:t>
      </w:r>
      <w:r w:rsidR="007820C3" w:rsidRPr="00D83117">
        <w:rPr>
          <w:rFonts w:ascii="Arial" w:hAnsi="Arial"/>
          <w:color w:val="000000" w:themeColor="text1"/>
        </w:rPr>
        <w:t>al</w:t>
      </w:r>
      <w:r w:rsidRPr="00D83117">
        <w:rPr>
          <w:rFonts w:ascii="Arial" w:hAnsi="Arial"/>
          <w:color w:val="000000" w:themeColor="text1"/>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79DD9F2A"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2206CC70" w:rsidR="00817616" w:rsidRPr="007820C3" w:rsidRDefault="00817616"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1A971D4" w:rsidR="007820C3" w:rsidRPr="00D83117" w:rsidRDefault="007820C3" w:rsidP="007820C3">
            <w:pPr>
              <w:pStyle w:val="Heading3"/>
              <w:spacing w:before="60"/>
              <w:rPr>
                <w:rFonts w:ascii="Arial" w:hAnsi="Arial" w:cs="Arial"/>
                <w:b w:val="0"/>
                <w:color w:val="000000" w:themeColor="text1"/>
                <w:szCs w:val="24"/>
                <w:highlight w:val="red"/>
              </w:rPr>
            </w:pPr>
            <w:r w:rsidRPr="00D83117">
              <w:rPr>
                <w:rFonts w:ascii="Arial" w:hAnsi="Arial" w:cs="Arial"/>
                <w:b w:val="0"/>
                <w:color w:val="000000" w:themeColor="text1"/>
                <w:szCs w:val="24"/>
              </w:rPr>
              <w:t xml:space="preserve">Responses to web publicising </w:t>
            </w:r>
          </w:p>
        </w:tc>
        <w:tc>
          <w:tcPr>
            <w:tcW w:w="6266" w:type="dxa"/>
            <w:tcBorders>
              <w:bottom w:val="single" w:sz="4" w:space="0" w:color="auto"/>
            </w:tcBorders>
          </w:tcPr>
          <w:p w14:paraId="0FF1529A" w14:textId="7DC3F3F2" w:rsidR="007820C3" w:rsidRPr="00D83117" w:rsidRDefault="007820C3" w:rsidP="007820C3">
            <w:pPr>
              <w:spacing w:before="60"/>
              <w:rPr>
                <w:rFonts w:ascii="Arial" w:hAnsi="Arial" w:cs="Arial"/>
                <w:color w:val="000000" w:themeColor="text1"/>
                <w:szCs w:val="24"/>
              </w:rPr>
            </w:pPr>
            <w:r w:rsidRPr="00D83117">
              <w:rPr>
                <w:rFonts w:ascii="Arial" w:hAnsi="Arial" w:cs="Arial"/>
                <w:color w:val="000000" w:themeColor="text1"/>
                <w:szCs w:val="24"/>
              </w:rPr>
              <w:t xml:space="preserve">The web publicising responses (Annex 2) were taken into account in the decision.  </w:t>
            </w:r>
          </w:p>
          <w:p w14:paraId="0FF1529B" w14:textId="77777777" w:rsidR="007820C3" w:rsidRPr="00D83117" w:rsidRDefault="007820C3" w:rsidP="007820C3">
            <w:pPr>
              <w:spacing w:before="60"/>
              <w:rPr>
                <w:rFonts w:ascii="Arial" w:hAnsi="Arial" w:cs="Arial"/>
                <w:color w:val="000000" w:themeColor="text1"/>
                <w:szCs w:val="24"/>
              </w:rPr>
            </w:pPr>
          </w:p>
          <w:p w14:paraId="0FF1529C" w14:textId="77777777" w:rsidR="007820C3" w:rsidRPr="00D83117" w:rsidRDefault="007820C3" w:rsidP="007820C3">
            <w:pPr>
              <w:spacing w:before="60"/>
              <w:rPr>
                <w:rFonts w:ascii="Arial" w:hAnsi="Arial" w:cs="Arial"/>
                <w:color w:val="000000" w:themeColor="text1"/>
                <w:szCs w:val="24"/>
              </w:rPr>
            </w:pPr>
            <w:r w:rsidRPr="00D83117">
              <w:rPr>
                <w:rFonts w:ascii="Arial" w:hAnsi="Arial" w:cs="Arial"/>
                <w:color w:val="000000" w:themeColor="text1"/>
                <w:szCs w:val="24"/>
              </w:rPr>
              <w:t xml:space="preserve">The decision was taken in accordance with our guidance. </w:t>
            </w:r>
          </w:p>
          <w:p w14:paraId="0FF1529D" w14:textId="77777777" w:rsidR="007820C3" w:rsidRPr="00D83117" w:rsidRDefault="007820C3" w:rsidP="007820C3">
            <w:pPr>
              <w:spacing w:before="60"/>
              <w:rPr>
                <w:rFonts w:ascii="Arial" w:hAnsi="Arial" w:cs="Arial"/>
                <w:color w:val="000000" w:themeColor="text1"/>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C08EAB4" w:rsidR="007820C3" w:rsidRDefault="007820C3" w:rsidP="00792CEE">
            <w:pPr>
              <w:rPr>
                <w:rFonts w:ascii="Arial" w:hAnsi="Arial" w:cs="Arial"/>
                <w:szCs w:val="24"/>
              </w:rPr>
            </w:pPr>
            <w:r w:rsidRPr="00C052C4">
              <w:rPr>
                <w:rFonts w:ascii="Arial" w:hAnsi="Arial" w:cs="Arial"/>
                <w:szCs w:val="24"/>
              </w:rPr>
              <w:t>We are satisfied that the applicant (now the operator) is the person who will have control over the operation of</w:t>
            </w:r>
            <w:r w:rsidRPr="00D83117">
              <w:rPr>
                <w:rFonts w:ascii="Arial" w:hAnsi="Arial" w:cs="Arial"/>
                <w:color w:val="000000" w:themeColor="text1"/>
                <w:szCs w:val="24"/>
              </w:rPr>
              <w:t xml:space="preserve"> </w:t>
            </w:r>
            <w:r w:rsidRPr="00C052C4">
              <w:rPr>
                <w:rFonts w:ascii="Arial" w:hAnsi="Arial" w:cs="Arial"/>
                <w:szCs w:val="24"/>
              </w:rPr>
              <w:t xml:space="preserve">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D83117">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E44438">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40EBCB81" w14:textId="77777777" w:rsidR="00E44438" w:rsidRPr="00E44438" w:rsidRDefault="00E44438" w:rsidP="00E44438">
            <w:pPr>
              <w:rPr>
                <w:rFonts w:ascii="Arial" w:hAnsi="Arial" w:cs="Arial"/>
                <w:color w:val="000000"/>
                <w:szCs w:val="24"/>
              </w:rPr>
            </w:pPr>
            <w:r w:rsidRPr="00E44438">
              <w:rPr>
                <w:rFonts w:ascii="Arial" w:hAnsi="Arial" w:cs="Arial"/>
                <w:color w:val="000000"/>
                <w:szCs w:val="24"/>
              </w:rPr>
              <w:t xml:space="preserve">No FORM 1 completed: </w:t>
            </w:r>
          </w:p>
          <w:p w14:paraId="30EAF9B1" w14:textId="77777777" w:rsidR="00E44438" w:rsidRPr="00E44438" w:rsidRDefault="00E44438" w:rsidP="00E44438">
            <w:pPr>
              <w:rPr>
                <w:rFonts w:ascii="Arial" w:hAnsi="Arial" w:cs="Arial"/>
                <w:color w:val="000000"/>
                <w:szCs w:val="24"/>
              </w:rPr>
            </w:pPr>
            <w:r w:rsidRPr="00E44438">
              <w:rPr>
                <w:rFonts w:ascii="Arial" w:hAnsi="Arial" w:cs="Arial"/>
                <w:color w:val="000000"/>
                <w:szCs w:val="24"/>
              </w:rPr>
              <w:t xml:space="preserve"> </w:t>
            </w:r>
          </w:p>
          <w:p w14:paraId="4179CF5F" w14:textId="77777777" w:rsidR="00E44438" w:rsidRPr="00E44438" w:rsidRDefault="00E44438" w:rsidP="00E44438">
            <w:pPr>
              <w:rPr>
                <w:rFonts w:ascii="Arial" w:hAnsi="Arial" w:cs="Arial"/>
                <w:color w:val="000000"/>
                <w:szCs w:val="24"/>
              </w:rPr>
            </w:pPr>
            <w:r w:rsidRPr="00E44438">
              <w:rPr>
                <w:rFonts w:ascii="Arial" w:hAnsi="Arial" w:cs="Arial"/>
                <w:color w:val="000000"/>
                <w:szCs w:val="24"/>
              </w:rPr>
              <w:t xml:space="preserve">HRA is not required because there is no conceivable impact pathway to any Natura 2000/Ramsar site  </w:t>
            </w:r>
          </w:p>
          <w:p w14:paraId="791541B4" w14:textId="77777777" w:rsidR="00E44438" w:rsidRPr="00E44438" w:rsidRDefault="00E44438" w:rsidP="00E44438">
            <w:pPr>
              <w:rPr>
                <w:rFonts w:ascii="Arial" w:hAnsi="Arial" w:cs="Arial"/>
                <w:color w:val="000000"/>
                <w:szCs w:val="24"/>
              </w:rPr>
            </w:pPr>
            <w:r w:rsidRPr="00E44438">
              <w:rPr>
                <w:rFonts w:ascii="Arial" w:hAnsi="Arial" w:cs="Arial"/>
                <w:color w:val="000000"/>
                <w:szCs w:val="24"/>
              </w:rPr>
              <w:t xml:space="preserve">Note: From OGN 200 - no conceivable impact on any Natura 2000 site, by virtue of the scale or location or nature of the </w:t>
            </w:r>
            <w:proofErr w:type="gramStart"/>
            <w:r w:rsidRPr="00E44438">
              <w:rPr>
                <w:rFonts w:ascii="Arial" w:hAnsi="Arial" w:cs="Arial"/>
                <w:color w:val="000000"/>
                <w:szCs w:val="24"/>
              </w:rPr>
              <w:t>project .</w:t>
            </w:r>
            <w:proofErr w:type="gramEnd"/>
            <w:r w:rsidRPr="00E44438">
              <w:rPr>
                <w:rFonts w:ascii="Arial" w:hAnsi="Arial" w:cs="Arial"/>
                <w:color w:val="000000"/>
                <w:szCs w:val="24"/>
              </w:rPr>
              <w:t xml:space="preserve"> </w:t>
            </w:r>
          </w:p>
          <w:p w14:paraId="3F86A08F" w14:textId="77777777" w:rsidR="00E44438" w:rsidRPr="00E44438" w:rsidRDefault="00E44438" w:rsidP="00E44438">
            <w:pPr>
              <w:rPr>
                <w:rFonts w:ascii="Arial" w:hAnsi="Arial" w:cs="Arial"/>
                <w:color w:val="000000"/>
                <w:szCs w:val="24"/>
              </w:rPr>
            </w:pPr>
          </w:p>
          <w:p w14:paraId="1DC31E98" w14:textId="33FCED1A" w:rsidR="00136717" w:rsidRDefault="00E44438" w:rsidP="00E44438">
            <w:pPr>
              <w:rPr>
                <w:rFonts w:ascii="Arial" w:hAnsi="Arial" w:cs="Arial"/>
                <w:color w:val="000000"/>
                <w:szCs w:val="24"/>
              </w:rPr>
            </w:pPr>
            <w:r w:rsidRPr="00E44438">
              <w:rPr>
                <w:rFonts w:ascii="Arial" w:hAnsi="Arial" w:cs="Arial"/>
                <w:color w:val="000000"/>
                <w:szCs w:val="24"/>
              </w:rPr>
              <w:t xml:space="preserve">A 1km radial screen was applied at the discharge point. </w:t>
            </w:r>
            <w:r>
              <w:rPr>
                <w:rFonts w:ascii="Arial" w:hAnsi="Arial" w:cs="Arial"/>
                <w:color w:val="000000"/>
                <w:szCs w:val="24"/>
              </w:rPr>
              <w:t xml:space="preserve">No SAC’s were deemed to be within the screening </w:t>
            </w:r>
            <w:r>
              <w:rPr>
                <w:rFonts w:ascii="Arial" w:hAnsi="Arial" w:cs="Arial"/>
                <w:color w:val="000000"/>
                <w:szCs w:val="24"/>
              </w:rPr>
              <w:lastRenderedPageBreak/>
              <w:t>distance</w:t>
            </w:r>
            <w:r w:rsidR="00AB25E5">
              <w:rPr>
                <w:rFonts w:ascii="Arial" w:hAnsi="Arial" w:cs="Arial"/>
                <w:color w:val="000000"/>
                <w:szCs w:val="24"/>
              </w:rPr>
              <w:t xml:space="preserve"> </w:t>
            </w:r>
            <w:r w:rsidRPr="00E44438">
              <w:rPr>
                <w:rFonts w:ascii="Arial" w:hAnsi="Arial" w:cs="Arial"/>
                <w:color w:val="000000"/>
                <w:szCs w:val="24"/>
              </w:rPr>
              <w:t>an</w:t>
            </w:r>
            <w:r w:rsidR="00AB25E5">
              <w:rPr>
                <w:rFonts w:ascii="Arial" w:hAnsi="Arial" w:cs="Arial"/>
                <w:color w:val="000000"/>
                <w:szCs w:val="24"/>
              </w:rPr>
              <w:t xml:space="preserve">d accordingly no </w:t>
            </w:r>
            <w:r w:rsidRPr="00E44438">
              <w:rPr>
                <w:rFonts w:ascii="Arial" w:hAnsi="Arial" w:cs="Arial"/>
                <w:color w:val="000000"/>
                <w:szCs w:val="24"/>
              </w:rPr>
              <w:t xml:space="preserve">HRA was deemed necessary to </w:t>
            </w:r>
            <w:r w:rsidR="00AB25E5">
              <w:rPr>
                <w:rFonts w:ascii="Arial" w:hAnsi="Arial" w:cs="Arial"/>
                <w:color w:val="000000"/>
                <w:szCs w:val="24"/>
              </w:rPr>
              <w:t xml:space="preserve">be </w:t>
            </w:r>
            <w:r w:rsidRPr="00E44438">
              <w:rPr>
                <w:rFonts w:ascii="Arial" w:hAnsi="Arial" w:cs="Arial"/>
                <w:color w:val="000000"/>
                <w:szCs w:val="24"/>
              </w:rPr>
              <w:t>c</w:t>
            </w:r>
            <w:r w:rsidR="00AB25E5">
              <w:rPr>
                <w:rFonts w:ascii="Arial" w:hAnsi="Arial" w:cs="Arial"/>
                <w:color w:val="000000"/>
                <w:szCs w:val="24"/>
              </w:rPr>
              <w:t>onducted.</w:t>
            </w:r>
          </w:p>
          <w:p w14:paraId="67AFC2B0" w14:textId="116D00C4" w:rsidR="00AB25E5" w:rsidRPr="007820C3" w:rsidRDefault="00AB25E5" w:rsidP="00E44438">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AB25E5" w:rsidRDefault="007820C3" w:rsidP="00A60F17">
            <w:pPr>
              <w:rPr>
                <w:rFonts w:ascii="Arial" w:hAnsi="Arial" w:cs="Arial"/>
                <w:color w:val="000000" w:themeColor="text1"/>
                <w:szCs w:val="24"/>
              </w:rPr>
            </w:pPr>
            <w:r w:rsidRPr="00AB25E5">
              <w:rPr>
                <w:rFonts w:ascii="Arial" w:hAnsi="Arial" w:cs="Arial"/>
                <w:color w:val="000000" w:themeColor="text1"/>
                <w:szCs w:val="24"/>
              </w:rPr>
              <w:t>Environmental risk</w:t>
            </w:r>
          </w:p>
          <w:p w14:paraId="0FF152E1" w14:textId="4FE1FD29" w:rsidR="007820C3" w:rsidRPr="00AB25E5" w:rsidRDefault="007820C3" w:rsidP="00A26EA6">
            <w:pPr>
              <w:rPr>
                <w:rFonts w:ascii="Arial" w:hAnsi="Arial" w:cs="Arial"/>
                <w:color w:val="000000" w:themeColor="text1"/>
                <w:szCs w:val="24"/>
              </w:rPr>
            </w:pPr>
          </w:p>
        </w:tc>
        <w:tc>
          <w:tcPr>
            <w:tcW w:w="6266" w:type="dxa"/>
          </w:tcPr>
          <w:p w14:paraId="0FF152E2" w14:textId="77777777" w:rsidR="007820C3" w:rsidRPr="00AB25E5" w:rsidRDefault="007820C3" w:rsidP="00A60F17">
            <w:pPr>
              <w:rPr>
                <w:rFonts w:ascii="Arial" w:hAnsi="Arial" w:cs="Arial"/>
                <w:color w:val="000000" w:themeColor="text1"/>
                <w:szCs w:val="24"/>
              </w:rPr>
            </w:pPr>
            <w:r w:rsidRPr="00AB25E5">
              <w:rPr>
                <w:rFonts w:ascii="Arial" w:hAnsi="Arial" w:cs="Arial"/>
                <w:color w:val="000000" w:themeColor="text1"/>
                <w:szCs w:val="24"/>
              </w:rPr>
              <w:t xml:space="preserve">We have carried out a risk assessment on behalf of the operator.  </w:t>
            </w:r>
          </w:p>
          <w:p w14:paraId="0FF152E3" w14:textId="77777777" w:rsidR="00FB30B4" w:rsidRPr="00AB25E5" w:rsidRDefault="00FB30B4" w:rsidP="00A60F17">
            <w:pPr>
              <w:rPr>
                <w:rFonts w:ascii="Arial" w:hAnsi="Arial" w:cs="Arial"/>
                <w:color w:val="000000" w:themeColor="text1"/>
                <w:szCs w:val="24"/>
              </w:rPr>
            </w:pPr>
          </w:p>
          <w:p w14:paraId="0FF152E4" w14:textId="12757B9B" w:rsidR="007820C3" w:rsidRDefault="007820C3" w:rsidP="00A60F17">
            <w:pPr>
              <w:rPr>
                <w:rFonts w:ascii="Arial" w:hAnsi="Arial" w:cs="Arial"/>
                <w:color w:val="000000" w:themeColor="text1"/>
                <w:szCs w:val="24"/>
              </w:rPr>
            </w:pPr>
            <w:r w:rsidRPr="00AB25E5">
              <w:rPr>
                <w:rFonts w:ascii="Arial" w:hAnsi="Arial" w:cs="Arial"/>
                <w:color w:val="000000" w:themeColor="text1"/>
                <w:szCs w:val="24"/>
              </w:rPr>
              <w:t xml:space="preserve">The operator considers this risk assessment is satisfactory. </w:t>
            </w:r>
          </w:p>
          <w:p w14:paraId="4013B117" w14:textId="4E7D99A5" w:rsidR="002D221E" w:rsidRDefault="002D221E" w:rsidP="00A60F17">
            <w:pPr>
              <w:rPr>
                <w:rFonts w:ascii="Arial" w:hAnsi="Arial" w:cs="Arial"/>
                <w:color w:val="000000" w:themeColor="text1"/>
                <w:szCs w:val="24"/>
              </w:rPr>
            </w:pPr>
          </w:p>
          <w:p w14:paraId="0C803A7B" w14:textId="77777777" w:rsidR="002D221E" w:rsidRPr="007C72E0" w:rsidRDefault="002D221E" w:rsidP="002D221E">
            <w:pPr>
              <w:rPr>
                <w:rFonts w:ascii="Arial" w:hAnsi="Arial" w:cs="Arial"/>
                <w:color w:val="000000" w:themeColor="text1"/>
                <w:szCs w:val="24"/>
              </w:rPr>
            </w:pPr>
            <w:r w:rsidRPr="00F87857">
              <w:rPr>
                <w:rFonts w:ascii="Arial" w:hAnsi="Arial" w:cs="Arial"/>
                <w:color w:val="000000" w:themeColor="text1"/>
                <w:szCs w:val="24"/>
              </w:rPr>
              <w:t>The assessment shows that, applying the conservative criteria in our guidance on Environmental Risk Assessment all emissions may be categorised as environmentally insignificant</w:t>
            </w:r>
            <w:r>
              <w:rPr>
                <w:rFonts w:ascii="Arial" w:hAnsi="Arial" w:cs="Arial"/>
                <w:color w:val="000000" w:themeColor="text1"/>
                <w:szCs w:val="24"/>
              </w:rPr>
              <w:t>.</w:t>
            </w:r>
          </w:p>
          <w:p w14:paraId="0FF152E9" w14:textId="77777777" w:rsidR="00FB30B4" w:rsidRPr="00AB25E5" w:rsidRDefault="00FB30B4" w:rsidP="00AB25E5">
            <w:pPr>
              <w:pStyle w:val="BodyText"/>
              <w:rPr>
                <w:rFonts w:ascii="Arial" w:hAnsi="Arial" w:cs="Arial"/>
                <w:color w:val="000000" w:themeColor="text1"/>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1E529D1A" w14:textId="77777777" w:rsidR="00FB30B4" w:rsidRDefault="00AB25E5" w:rsidP="00AB25E5">
            <w:pPr>
              <w:pStyle w:val="BodyText"/>
              <w:rPr>
                <w:rFonts w:ascii="Arial" w:hAnsi="Arial" w:cs="Arial"/>
                <w:szCs w:val="24"/>
              </w:rPr>
            </w:pPr>
            <w:r w:rsidRPr="00AB25E5">
              <w:rPr>
                <w:rFonts w:ascii="Arial" w:hAnsi="Arial" w:cs="Arial"/>
                <w:szCs w:val="24"/>
              </w:rPr>
              <w:t xml:space="preserve">We have reviewed the techniques used by the operator and compared these with the relevant guidance notes according to TGN </w:t>
            </w:r>
            <w:proofErr w:type="gramStart"/>
            <w:r w:rsidRPr="00AB25E5">
              <w:rPr>
                <w:rFonts w:ascii="Arial" w:hAnsi="Arial" w:cs="Arial"/>
                <w:szCs w:val="24"/>
              </w:rPr>
              <w:t>7.01 .</w:t>
            </w:r>
            <w:proofErr w:type="gramEnd"/>
            <w:r w:rsidRPr="00AB25E5">
              <w:rPr>
                <w:rFonts w:ascii="Arial" w:hAnsi="Arial" w:cs="Arial"/>
                <w:szCs w:val="24"/>
              </w:rPr>
              <w:t xml:space="preserve"> The proposed techniques / emission levels for priorities for control are in line with the benchmark levels contained in the TGN and we consider them to represent appropriate techniques for the facility.</w:t>
            </w:r>
          </w:p>
          <w:p w14:paraId="0FF152F4" w14:textId="775F4E7A" w:rsidR="00AB25E5" w:rsidRPr="007820C3" w:rsidRDefault="00AB25E5" w:rsidP="00AB25E5">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AB25E5">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2E418136" w:rsidR="00C44B7E" w:rsidRPr="00817616" w:rsidRDefault="00C44B7E" w:rsidP="00817616">
      <w:pPr>
        <w:pStyle w:val="Heading1"/>
        <w:jc w:val="left"/>
        <w:rPr>
          <w:color w:val="FF0000"/>
        </w:rPr>
      </w:pPr>
    </w:p>
    <w:sectPr w:rsidR="00C44B7E" w:rsidRPr="00817616"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82C"/>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D1B28"/>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D221E"/>
    <w:rsid w:val="002E359B"/>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17616"/>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25E5"/>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83117"/>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4438"/>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3BC7"/>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Tyn y FFordd</Site_x0020_Name>
    <Internal_x002f_External xmlns="859f7ad6-93f6-4205-b62b-a17f28acbbac">Internal document</Internal_x002f_External>
    <Post_x0020_code xmlns="859f7ad6-93f6-4205-b62b-a17f28acbbac">LL16 4DB</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Tyn y FFordd, Bodfari, Denbigh, LL16 4DB</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2021-07-12T23:00:00+00:00</Document_x0020_Date>
    <Facility_x0020_Address xmlns="859f7ad6-93f6-4205-b62b-a17f28acbbac">Bodfari, Denbigh</Facility_x0020_Address>
    <Environment_x0020_Sub_x0020_Folder xmlns="859f7ad6-93f6-4205-b62b-a17f28acbbac">Licences applications</Environment_x0020_Sub_x0020_Folder>
    <Customer_x0020_Name xmlns="859f7ad6-93f6-4205-b62b-a17f28acbbac">Mr John Briggs</Customer_x0020_Name>
    <Surrendered_x002f_Expired_x0020_Date xmlns="859f7ad6-93f6-4205-b62b-a17f28acbbac" xsi:nil="true"/>
    <_dlc_DocId xmlns="9be56660-2c31-41ef-bc00-23e72f632f2a">REGU-369-1390700</_dlc_DocId>
    <_dlc_DocIdUrl xmlns="9be56660-2c31-41ef-bc00-23e72f632f2a">
      <Url>https://cyfoethnaturiolcymru.sharepoint.com/teams/Regulatory/Permitting/_layouts/15/DocIdRedir.aspx?ID=REGU-369-1390700</Url>
      <Description>REGU-369-1390700</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55" ma:contentTypeDescription="Permitting &amp; Compliance Word Document" ma:contentTypeScope="" ma:versionID="ee84f8f7208af6dcad01c8d6c2ddcb8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288ee365f2e29b198d815d40ba5c677"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58C00-7464-409B-9F05-E719EA22DD2E}">
  <ds:schemaRefs>
    <ds:schemaRef ds:uri="6e121689-de5b-41b9-a751-bfeda7fa2b07"/>
    <ds:schemaRef ds:uri="http://purl.org/dc/dcmitype/"/>
    <ds:schemaRef ds:uri="9be56660-2c31-41ef-bc00-23e72f632f2a"/>
    <ds:schemaRef ds:uri="cd6faf52-b12f-444c-a3fc-1f0e7a71d996"/>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purl.org/dc/terms/"/>
    <ds:schemaRef ds:uri="859f7ad6-93f6-4205-b62b-a17f28acbbac"/>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E2F0D70C-5560-4A2B-BFC3-3474950A65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1DFBAA-A7B4-4FD5-B601-7B89534BC092}">
  <ds:schemaRefs>
    <ds:schemaRef ds:uri="Microsoft.SharePoint.Taxonomy.ContentTypeSync"/>
  </ds:schemaRefs>
</ds:datastoreItem>
</file>

<file path=customXml/itemProps4.xml><?xml version="1.0" encoding="utf-8"?>
<ds:datastoreItem xmlns:ds="http://schemas.openxmlformats.org/officeDocument/2006/customXml" ds:itemID="{521B8E76-7840-4B93-8267-E29440E21ED1}">
  <ds:schemaRefs>
    <ds:schemaRef ds:uri="http://schemas.microsoft.com/sharepoint/events"/>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3</Pages>
  <Words>707</Words>
  <Characters>3903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
  <cp:keywords>23308SD92, 233 08 SD92, 233-08-SD92</cp:keywords>
  <dc:description>233_08_SD92, Version 3_x000d_
Issue date: 19/07/2011</dc:description>
  <cp:lastModifiedBy>Simmons, Michael</cp:lastModifiedBy>
  <cp:revision>9</cp:revision>
  <cp:lastPrinted>2008-01-30T13:54:00Z</cp:lastPrinted>
  <dcterms:created xsi:type="dcterms:W3CDTF">2021-05-26T09:22:00Z</dcterms:created>
  <dcterms:modified xsi:type="dcterms:W3CDTF">2021-07-13T10:16:00Z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e005ef5a-dc9c-48cf-bf79-a7be57b54f7d</vt:lpwstr>
  </property>
  <property fmtid="{D5CDD505-2E9C-101B-9397-08002B2CF9AE}" pid="11" name="SharedWithUsers">
    <vt:lpwstr/>
  </property>
</Properties>
</file>