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4238CC80" w:rsidR="00D04424" w:rsidRPr="000F0F31" w:rsidRDefault="0014332B" w:rsidP="003719AD">
      <w:pPr>
        <w:pStyle w:val="Heading1"/>
        <w:spacing w:before="0" w:after="0"/>
        <w:jc w:val="left"/>
        <w:rPr>
          <w:bCs/>
          <w:color w:val="auto"/>
          <w:sz w:val="32"/>
        </w:rPr>
      </w:pPr>
      <w:r w:rsidRPr="000F0F31">
        <w:rPr>
          <w:bCs/>
          <w:color w:val="auto"/>
          <w:sz w:val="32"/>
        </w:rPr>
        <w:t>Bespoke p</w:t>
      </w:r>
      <w:r w:rsidR="00D04424" w:rsidRPr="000F0F31">
        <w:rPr>
          <w:bCs/>
          <w:color w:val="auto"/>
          <w:sz w:val="32"/>
        </w:rPr>
        <w:t>ermit</w:t>
      </w:r>
      <w:r w:rsidR="00B73ECB" w:rsidRPr="000F0F31">
        <w:rPr>
          <w:bCs/>
          <w:color w:val="auto"/>
          <w:sz w:val="32"/>
        </w:rPr>
        <w:t xml:space="preserve"> </w:t>
      </w:r>
    </w:p>
    <w:p w14:paraId="41AC372F" w14:textId="77777777" w:rsidR="00136717" w:rsidRPr="000F0F31" w:rsidRDefault="00136717" w:rsidP="00136717"/>
    <w:p w14:paraId="0FF1524F" w14:textId="77777777" w:rsidR="007820C3" w:rsidRPr="000F0F31" w:rsidRDefault="007820C3" w:rsidP="00D04424">
      <w:pPr>
        <w:rPr>
          <w:rFonts w:ascii="Arial" w:hAnsi="Arial" w:cs="Arial"/>
          <w:szCs w:val="24"/>
        </w:rPr>
      </w:pPr>
    </w:p>
    <w:p w14:paraId="0FF15250" w14:textId="7C017CB8" w:rsidR="00D04424" w:rsidRPr="000F0F31" w:rsidRDefault="0060457F" w:rsidP="006B0BFB">
      <w:pPr>
        <w:spacing w:after="120"/>
        <w:rPr>
          <w:rFonts w:ascii="Arial" w:hAnsi="Arial" w:cs="Arial"/>
          <w:szCs w:val="24"/>
        </w:rPr>
      </w:pPr>
      <w:r w:rsidRPr="000F0F31">
        <w:rPr>
          <w:rFonts w:ascii="Arial" w:hAnsi="Arial" w:cs="Arial"/>
          <w:szCs w:val="24"/>
        </w:rPr>
        <w:t xml:space="preserve">We have decided to </w:t>
      </w:r>
      <w:r w:rsidR="00D2020E" w:rsidRPr="000F0F31">
        <w:rPr>
          <w:rFonts w:ascii="Arial" w:hAnsi="Arial" w:cs="Arial"/>
          <w:szCs w:val="24"/>
        </w:rPr>
        <w:t>grant</w:t>
      </w:r>
      <w:r w:rsidR="000F0F31" w:rsidRPr="000F0F31">
        <w:rPr>
          <w:rFonts w:ascii="Arial" w:hAnsi="Arial" w:cs="Arial"/>
          <w:szCs w:val="24"/>
        </w:rPr>
        <w:t xml:space="preserve"> </w:t>
      </w:r>
      <w:r w:rsidRPr="000F0F31">
        <w:rPr>
          <w:rFonts w:ascii="Arial" w:hAnsi="Arial" w:cs="Arial"/>
          <w:szCs w:val="24"/>
        </w:rPr>
        <w:t xml:space="preserve">the permit for </w:t>
      </w:r>
      <w:r w:rsidR="000F0F31" w:rsidRPr="000F0F31">
        <w:rPr>
          <w:rFonts w:ascii="Arial" w:hAnsi="Arial" w:cs="Arial"/>
          <w:szCs w:val="24"/>
        </w:rPr>
        <w:t>1 -10 Channel View</w:t>
      </w:r>
      <w:r w:rsidRPr="000F0F31">
        <w:rPr>
          <w:rFonts w:ascii="Arial" w:hAnsi="Arial" w:cs="Arial"/>
          <w:szCs w:val="24"/>
        </w:rPr>
        <w:t xml:space="preserve"> operated by </w:t>
      </w:r>
      <w:r w:rsidR="000F0F31" w:rsidRPr="000F0F31">
        <w:rPr>
          <w:rFonts w:ascii="Arial" w:hAnsi="Arial" w:cs="Arial"/>
          <w:szCs w:val="24"/>
        </w:rPr>
        <w:t>Vale of Glamorgan Council.</w:t>
      </w:r>
    </w:p>
    <w:p w14:paraId="178F17B4" w14:textId="4E4C3DE1" w:rsidR="00E907C6" w:rsidRPr="002A7E8C" w:rsidRDefault="00E907C6" w:rsidP="006B0BFB">
      <w:pPr>
        <w:tabs>
          <w:tab w:val="left" w:pos="4253"/>
          <w:tab w:val="left" w:pos="6804"/>
        </w:tabs>
        <w:spacing w:after="120"/>
        <w:rPr>
          <w:rFonts w:ascii="Arial" w:hAnsi="Arial"/>
          <w:kern w:val="28"/>
          <w:szCs w:val="24"/>
        </w:rPr>
      </w:pPr>
      <w:bookmarkStart w:id="0" w:name="OLE_LINK1"/>
      <w:bookmarkStart w:id="1" w:name="OLE_LINK2"/>
      <w:r w:rsidRPr="000F0F31">
        <w:rPr>
          <w:rFonts w:ascii="Arial" w:hAnsi="Arial"/>
          <w:kern w:val="28"/>
          <w:szCs w:val="24"/>
        </w:rPr>
        <w:t>The applicat</w:t>
      </w:r>
      <w:r w:rsidRPr="002A7E8C">
        <w:rPr>
          <w:rFonts w:ascii="Arial" w:hAnsi="Arial"/>
          <w:kern w:val="28"/>
          <w:szCs w:val="24"/>
        </w:rPr>
        <w:t xml:space="preserve">ion number is </w:t>
      </w:r>
      <w:r w:rsidR="000F0F31" w:rsidRPr="002A7E8C">
        <w:rPr>
          <w:rFonts w:ascii="Arial" w:hAnsi="Arial"/>
          <w:szCs w:val="24"/>
        </w:rPr>
        <w:t>PAN-011865</w:t>
      </w:r>
    </w:p>
    <w:p w14:paraId="0FF15251" w14:textId="57EF061D" w:rsidR="00D04424" w:rsidRPr="002A7E8C" w:rsidRDefault="00D04424" w:rsidP="006B0BFB">
      <w:pPr>
        <w:tabs>
          <w:tab w:val="left" w:pos="4253"/>
          <w:tab w:val="left" w:pos="6804"/>
        </w:tabs>
        <w:spacing w:after="120"/>
        <w:rPr>
          <w:rFonts w:ascii="Arial" w:hAnsi="Arial"/>
          <w:szCs w:val="24"/>
        </w:rPr>
      </w:pPr>
      <w:r w:rsidRPr="002A7E8C">
        <w:rPr>
          <w:rFonts w:ascii="Arial" w:hAnsi="Arial"/>
          <w:kern w:val="28"/>
          <w:szCs w:val="24"/>
        </w:rPr>
        <w:t>The</w:t>
      </w:r>
      <w:r w:rsidRPr="002A7E8C">
        <w:rPr>
          <w:rFonts w:ascii="Arial" w:hAnsi="Arial"/>
          <w:b/>
          <w:kern w:val="28"/>
          <w:szCs w:val="24"/>
        </w:rPr>
        <w:t xml:space="preserve"> </w:t>
      </w:r>
      <w:r w:rsidRPr="002A7E8C">
        <w:rPr>
          <w:rFonts w:ascii="Arial" w:hAnsi="Arial"/>
          <w:szCs w:val="24"/>
        </w:rPr>
        <w:t xml:space="preserve">permit number is </w:t>
      </w:r>
      <w:r w:rsidR="002A7E8C" w:rsidRPr="002A7E8C">
        <w:rPr>
          <w:rFonts w:ascii="Arial" w:hAnsi="Arial"/>
          <w:szCs w:val="24"/>
        </w:rPr>
        <w:t>EPR/CB3294FU</w:t>
      </w:r>
    </w:p>
    <w:p w14:paraId="7C0EB635" w14:textId="77777777" w:rsidR="000F0F31" w:rsidRPr="0014332B" w:rsidRDefault="000F0F31" w:rsidP="006B0BFB">
      <w:pPr>
        <w:tabs>
          <w:tab w:val="left" w:pos="4253"/>
          <w:tab w:val="left" w:pos="6804"/>
        </w:tabs>
        <w:spacing w:after="120"/>
        <w:rPr>
          <w:rFonts w:ascii="Arial" w:hAnsi="Arial"/>
          <w:szCs w:val="24"/>
        </w:rPr>
      </w:pPr>
    </w:p>
    <w:bookmarkEnd w:id="0"/>
    <w:bookmarkEnd w:id="1"/>
    <w:p w14:paraId="72F66DE4" w14:textId="77777777" w:rsidR="000F0F31" w:rsidRPr="000F0F31" w:rsidRDefault="000F0F31" w:rsidP="000F0F31">
      <w:pPr>
        <w:spacing w:after="120"/>
        <w:rPr>
          <w:rFonts w:ascii="Arial" w:hAnsi="Arial"/>
        </w:rPr>
      </w:pPr>
      <w:r w:rsidRPr="000F0F31">
        <w:rPr>
          <w:rFonts w:ascii="Arial" w:hAnsi="Arial"/>
        </w:rPr>
        <w:t xml:space="preserve">The permit regulates a new discharge of secondary treated sewage effluent from a residential estate comprised of ten 3-bedroommed properties. A maximum of 6 m3/day of sewage effluent will be treated in a British Standard certified package treatment plant connected to a phosphate dosing chamber prior to its discharge into </w:t>
      </w:r>
      <w:proofErr w:type="spellStart"/>
      <w:r w:rsidRPr="000F0F31">
        <w:rPr>
          <w:rFonts w:ascii="Arial" w:hAnsi="Arial"/>
        </w:rPr>
        <w:t>Marcross</w:t>
      </w:r>
      <w:proofErr w:type="spellEnd"/>
      <w:r w:rsidRPr="000F0F31">
        <w:rPr>
          <w:rFonts w:ascii="Arial" w:hAnsi="Arial"/>
        </w:rPr>
        <w:t xml:space="preserve"> Brook via a surface water drain. Sewage effluent at the site was previously being discharge to a failing cesspit and the new activity will therefore offer an improvement to the current system. The permit has numeric limits in place for ammonia and phosphate. </w:t>
      </w:r>
    </w:p>
    <w:p w14:paraId="0BC00CCD" w14:textId="77777777" w:rsidR="000F0F31" w:rsidRDefault="000F0F31" w:rsidP="006B0BFB">
      <w:pPr>
        <w:spacing w:after="120"/>
        <w:rPr>
          <w:rFonts w:ascii="Arial" w:hAnsi="Arial"/>
        </w:rPr>
      </w:pPr>
    </w:p>
    <w:p w14:paraId="0FF15253" w14:textId="70C33473"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0F0F31" w:rsidRDefault="00D04424" w:rsidP="00D04424">
      <w:pPr>
        <w:rPr>
          <w:rFonts w:ascii="Arial" w:hAnsi="Arial"/>
          <w:b/>
          <w:caps/>
          <w:sz w:val="28"/>
          <w:szCs w:val="28"/>
        </w:rPr>
      </w:pPr>
      <w:r w:rsidRPr="000F0F31">
        <w:rPr>
          <w:rFonts w:ascii="Arial" w:hAnsi="Arial"/>
          <w:b/>
          <w:sz w:val="28"/>
          <w:szCs w:val="28"/>
        </w:rPr>
        <w:t>Structure of this document</w:t>
      </w:r>
    </w:p>
    <w:p w14:paraId="0FF15263" w14:textId="77777777" w:rsidR="006420BA" w:rsidRPr="000F0F31" w:rsidRDefault="006420BA" w:rsidP="006420BA">
      <w:pPr>
        <w:numPr>
          <w:ilvl w:val="0"/>
          <w:numId w:val="17"/>
        </w:numPr>
        <w:tabs>
          <w:tab w:val="clear" w:pos="1440"/>
          <w:tab w:val="num" w:pos="1134"/>
        </w:tabs>
        <w:spacing w:after="60"/>
        <w:ind w:left="1134" w:hanging="567"/>
        <w:rPr>
          <w:rFonts w:ascii="Arial" w:hAnsi="Arial"/>
        </w:rPr>
      </w:pPr>
      <w:r w:rsidRPr="000F0F31">
        <w:rPr>
          <w:rFonts w:ascii="Arial" w:hAnsi="Arial"/>
          <w:szCs w:val="24"/>
        </w:rPr>
        <w:t>Annex 1 the decision checklist</w:t>
      </w:r>
    </w:p>
    <w:p w14:paraId="0FF15264" w14:textId="36625B86" w:rsidR="006420BA" w:rsidRPr="000F0F31" w:rsidRDefault="006420BA" w:rsidP="006420BA">
      <w:pPr>
        <w:numPr>
          <w:ilvl w:val="0"/>
          <w:numId w:val="17"/>
        </w:numPr>
        <w:tabs>
          <w:tab w:val="clear" w:pos="1440"/>
          <w:tab w:val="num" w:pos="1134"/>
        </w:tabs>
        <w:spacing w:after="120"/>
        <w:ind w:left="1134" w:hanging="567"/>
        <w:rPr>
          <w:rFonts w:ascii="Arial" w:hAnsi="Arial"/>
        </w:rPr>
      </w:pPr>
      <w:r w:rsidRPr="000F0F31">
        <w:rPr>
          <w:rFonts w:ascii="Arial" w:hAnsi="Arial"/>
          <w:szCs w:val="24"/>
        </w:rPr>
        <w:t>Annex 2 web publicising responses</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19151436" w:rsidR="007820C3" w:rsidRPr="00FE10C7" w:rsidRDefault="007820C3" w:rsidP="007820C3">
            <w:pPr>
              <w:pStyle w:val="Heading3"/>
              <w:spacing w:before="60"/>
              <w:rPr>
                <w:rFonts w:ascii="Arial" w:hAnsi="Arial" w:cs="Arial"/>
                <w:b w:val="0"/>
                <w:szCs w:val="24"/>
                <w:highlight w:val="red"/>
              </w:rPr>
            </w:pPr>
            <w:r w:rsidRPr="00FE10C7">
              <w:rPr>
                <w:rFonts w:ascii="Arial" w:hAnsi="Arial" w:cs="Arial"/>
                <w:b w:val="0"/>
                <w:szCs w:val="24"/>
              </w:rPr>
              <w:t>Responses to consultation</w:t>
            </w:r>
            <w:r w:rsidR="00FE10C7">
              <w:rPr>
                <w:rFonts w:ascii="Arial" w:hAnsi="Arial" w:cs="Arial"/>
                <w:b w:val="0"/>
                <w:szCs w:val="24"/>
              </w:rPr>
              <w:t xml:space="preserve"> and</w:t>
            </w:r>
            <w:r w:rsidRPr="00FE10C7">
              <w:rPr>
                <w:rFonts w:ascii="Arial" w:hAnsi="Arial" w:cs="Arial"/>
                <w:b w:val="0"/>
                <w:szCs w:val="24"/>
              </w:rPr>
              <w:t xml:space="preserve"> web publicising </w:t>
            </w:r>
          </w:p>
        </w:tc>
        <w:tc>
          <w:tcPr>
            <w:tcW w:w="6266" w:type="dxa"/>
            <w:tcBorders>
              <w:bottom w:val="single" w:sz="4" w:space="0" w:color="auto"/>
            </w:tcBorders>
          </w:tcPr>
          <w:p w14:paraId="0FF1529A" w14:textId="582659B6" w:rsidR="007820C3" w:rsidRPr="00FE10C7" w:rsidRDefault="007820C3" w:rsidP="007820C3">
            <w:pPr>
              <w:spacing w:before="60"/>
              <w:rPr>
                <w:rFonts w:ascii="Arial" w:hAnsi="Arial" w:cs="Arial"/>
                <w:szCs w:val="24"/>
              </w:rPr>
            </w:pPr>
            <w:r w:rsidRPr="00FE10C7">
              <w:rPr>
                <w:rFonts w:ascii="Arial" w:hAnsi="Arial" w:cs="Arial"/>
                <w:szCs w:val="24"/>
              </w:rPr>
              <w:t>The web publicising</w:t>
            </w:r>
            <w:r w:rsidR="00FE10C7" w:rsidRPr="00FE10C7">
              <w:rPr>
                <w:rFonts w:ascii="Arial" w:hAnsi="Arial" w:cs="Arial"/>
                <w:szCs w:val="24"/>
              </w:rPr>
              <w:t xml:space="preserve"> and</w:t>
            </w:r>
            <w:r w:rsidRPr="00FE10C7">
              <w:rPr>
                <w:rFonts w:ascii="Arial" w:hAnsi="Arial" w:cs="Arial"/>
                <w:szCs w:val="24"/>
              </w:rPr>
              <w:t xml:space="preserve"> consultation responses (Annex 2) were </w:t>
            </w:r>
            <w:proofErr w:type="gramStart"/>
            <w:r w:rsidRPr="00FE10C7">
              <w:rPr>
                <w:rFonts w:ascii="Arial" w:hAnsi="Arial" w:cs="Arial"/>
                <w:szCs w:val="24"/>
              </w:rPr>
              <w:t>taken into account</w:t>
            </w:r>
            <w:proofErr w:type="gramEnd"/>
            <w:r w:rsidRPr="00FE10C7">
              <w:rPr>
                <w:rFonts w:ascii="Arial" w:hAnsi="Arial" w:cs="Arial"/>
                <w:szCs w:val="24"/>
              </w:rPr>
              <w:t xml:space="preserve"> in the decision.  </w:t>
            </w:r>
          </w:p>
          <w:p w14:paraId="0FF1529B" w14:textId="77777777" w:rsidR="007820C3" w:rsidRPr="00FE10C7" w:rsidRDefault="007820C3" w:rsidP="007820C3">
            <w:pPr>
              <w:spacing w:before="60"/>
              <w:rPr>
                <w:rFonts w:ascii="Arial" w:hAnsi="Arial" w:cs="Arial"/>
                <w:szCs w:val="24"/>
              </w:rPr>
            </w:pPr>
          </w:p>
          <w:p w14:paraId="0FF1529C" w14:textId="77777777" w:rsidR="007820C3" w:rsidRPr="00FE10C7" w:rsidRDefault="007820C3" w:rsidP="007820C3">
            <w:pPr>
              <w:spacing w:before="60"/>
              <w:rPr>
                <w:rFonts w:ascii="Arial" w:hAnsi="Arial" w:cs="Arial"/>
                <w:szCs w:val="24"/>
              </w:rPr>
            </w:pPr>
            <w:r w:rsidRPr="00FE10C7">
              <w:rPr>
                <w:rFonts w:ascii="Arial" w:hAnsi="Arial" w:cs="Arial"/>
                <w:szCs w:val="24"/>
              </w:rPr>
              <w:t xml:space="preserve">The decision was taken in accordance with our guidance. </w:t>
            </w:r>
          </w:p>
          <w:p w14:paraId="0FF1529D" w14:textId="77777777" w:rsidR="007820C3" w:rsidRPr="00FE10C7"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58B51E9A"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FD7045">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1" w14:textId="27C18233" w:rsidR="007820C3" w:rsidRPr="00FD7045"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A" w14:textId="73CC4090" w:rsidR="007820C3" w:rsidRPr="00FD7045" w:rsidRDefault="007820C3" w:rsidP="00EF499E">
            <w:pPr>
              <w:rPr>
                <w:rFonts w:ascii="Arial" w:hAnsi="Arial" w:cs="Arial"/>
                <w:szCs w:val="24"/>
              </w:rPr>
            </w:pPr>
            <w:r w:rsidRPr="00FD7045">
              <w:rPr>
                <w:rFonts w:ascii="Arial" w:hAnsi="Arial" w:cs="Arial"/>
                <w:szCs w:val="24"/>
              </w:rPr>
              <w:t>A full assessment of the application and its potential to affect the site</w:t>
            </w:r>
            <w:r w:rsidR="009A3F85" w:rsidRPr="00FD7045">
              <w:rPr>
                <w:rFonts w:ascii="Arial" w:hAnsi="Arial" w:cs="Arial"/>
                <w:szCs w:val="24"/>
              </w:rPr>
              <w:t xml:space="preserve"> </w:t>
            </w:r>
            <w:r w:rsidRPr="00FD7045">
              <w:rPr>
                <w:rFonts w:ascii="Arial" w:hAnsi="Arial" w:cs="Arial"/>
                <w:szCs w:val="24"/>
              </w:rPr>
              <w:t>has been carried out as part of the permitting process. We consider that the application will affect the features of the site</w:t>
            </w:r>
            <w:r w:rsidR="00FD7045" w:rsidRPr="00FD7045">
              <w:rPr>
                <w:rFonts w:ascii="Arial" w:hAnsi="Arial" w:cs="Arial"/>
                <w:szCs w:val="24"/>
              </w:rPr>
              <w:t>. E</w:t>
            </w:r>
            <w:r w:rsidRPr="00FD7045">
              <w:rPr>
                <w:rFonts w:ascii="Arial" w:hAnsi="Arial" w:cs="Arial"/>
                <w:szCs w:val="24"/>
              </w:rPr>
              <w:t xml:space="preserve">mission limits have been placed on the permit to mitigate against these effects. </w:t>
            </w:r>
          </w:p>
          <w:p w14:paraId="0FF152CB" w14:textId="77777777" w:rsidR="007820C3" w:rsidRPr="007820C3" w:rsidRDefault="007820C3" w:rsidP="00EF499E">
            <w:pPr>
              <w:rPr>
                <w:rFonts w:ascii="Arial" w:hAnsi="Arial" w:cs="Arial"/>
                <w:color w:val="FF0000"/>
                <w:szCs w:val="24"/>
              </w:rPr>
            </w:pPr>
          </w:p>
          <w:p w14:paraId="0FF152CE" w14:textId="4495203E" w:rsidR="007820C3" w:rsidRPr="00FD7045" w:rsidRDefault="007820C3" w:rsidP="00EF499E">
            <w:pPr>
              <w:rPr>
                <w:rFonts w:ascii="Arial" w:hAnsi="Arial" w:cs="Arial"/>
                <w:szCs w:val="24"/>
              </w:rPr>
            </w:pPr>
            <w:r w:rsidRPr="00FD7045">
              <w:rPr>
                <w:rFonts w:ascii="Arial" w:hAnsi="Arial" w:cs="Arial"/>
                <w:szCs w:val="24"/>
              </w:rPr>
              <w:lastRenderedPageBreak/>
              <w:t xml:space="preserve">We have not formally </w:t>
            </w:r>
            <w:proofErr w:type="gramStart"/>
            <w:r w:rsidRPr="00FD7045">
              <w:rPr>
                <w:rFonts w:ascii="Arial" w:hAnsi="Arial" w:cs="Arial"/>
                <w:szCs w:val="24"/>
              </w:rPr>
              <w:t xml:space="preserve">consulted </w:t>
            </w:r>
            <w:r w:rsidR="009A3F85" w:rsidRPr="00FD7045">
              <w:rPr>
                <w:rFonts w:ascii="Arial" w:hAnsi="Arial" w:cs="Arial"/>
                <w:szCs w:val="24"/>
              </w:rPr>
              <w:t xml:space="preserve"> </w:t>
            </w:r>
            <w:r w:rsidRPr="00FD7045">
              <w:rPr>
                <w:rFonts w:ascii="Arial" w:hAnsi="Arial" w:cs="Arial"/>
                <w:szCs w:val="24"/>
              </w:rPr>
              <w:t>on</w:t>
            </w:r>
            <w:proofErr w:type="gramEnd"/>
            <w:r w:rsidRPr="00FD7045">
              <w:rPr>
                <w:rFonts w:ascii="Arial" w:hAnsi="Arial" w:cs="Arial"/>
                <w:szCs w:val="24"/>
              </w:rPr>
              <w:t xml:space="preserve"> the application.  The decision was taken in accordance with our guidance. </w:t>
            </w:r>
          </w:p>
          <w:p w14:paraId="0FF152CF" w14:textId="77777777" w:rsidR="00FB30B4" w:rsidRPr="007820C3" w:rsidRDefault="00FB30B4" w:rsidP="00FD7045">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136717" w:rsidRPr="00FD7045" w:rsidRDefault="00136717" w:rsidP="00136717">
            <w:pPr>
              <w:spacing w:before="60"/>
              <w:rPr>
                <w:rFonts w:ascii="Arial" w:hAnsi="Arial" w:cs="Arial"/>
                <w:szCs w:val="24"/>
              </w:rPr>
            </w:pPr>
            <w:r w:rsidRPr="00FD7045">
              <w:rPr>
                <w:rFonts w:ascii="Arial" w:hAnsi="Arial" w:cs="Arial"/>
                <w:szCs w:val="24"/>
              </w:rPr>
              <w:t>No FORM 1 completed:</w:t>
            </w:r>
          </w:p>
          <w:p w14:paraId="5CBD4E4C" w14:textId="77777777" w:rsidR="00136717" w:rsidRPr="00FD7045" w:rsidRDefault="00136717" w:rsidP="00136717">
            <w:pPr>
              <w:spacing w:before="60"/>
              <w:rPr>
                <w:rFonts w:ascii="Arial" w:hAnsi="Arial" w:cs="Arial"/>
                <w:szCs w:val="24"/>
              </w:rPr>
            </w:pPr>
          </w:p>
          <w:p w14:paraId="65718F40" w14:textId="77777777" w:rsidR="00136717" w:rsidRPr="00FD7045" w:rsidRDefault="00136717" w:rsidP="00136717">
            <w:pPr>
              <w:spacing w:before="60"/>
              <w:rPr>
                <w:rFonts w:ascii="Arial" w:hAnsi="Arial" w:cs="Arial"/>
                <w:szCs w:val="24"/>
              </w:rPr>
            </w:pPr>
            <w:r w:rsidRPr="00FD7045">
              <w:rPr>
                <w:rFonts w:ascii="Arial" w:hAnsi="Arial" w:cs="Arial"/>
                <w:szCs w:val="24"/>
              </w:rPr>
              <w:t xml:space="preserve">HRA is not required because there is no conceivable impact pathway to any Natura 2000/Ramsar site </w:t>
            </w:r>
          </w:p>
          <w:p w14:paraId="50917BB1" w14:textId="71BB08B7" w:rsidR="00136717" w:rsidRPr="00FD7045" w:rsidRDefault="00136717" w:rsidP="7126189C">
            <w:pPr>
              <w:spacing w:before="60"/>
              <w:rPr>
                <w:rFonts w:ascii="Arial" w:hAnsi="Arial" w:cs="Arial"/>
              </w:rPr>
            </w:pPr>
            <w:r w:rsidRPr="00FD7045">
              <w:rPr>
                <w:rFonts w:ascii="Arial" w:hAnsi="Arial" w:cs="Arial"/>
              </w:rPr>
              <w:t>Note: From OGN 200 - no conceivable impact on any Natura 2000 site, by virtue of the scale or location or nature of the project.</w:t>
            </w:r>
            <w:r w:rsidR="00FD7045" w:rsidRPr="00FD7045">
              <w:rPr>
                <w:rFonts w:ascii="Arial" w:hAnsi="Arial" w:cs="Arial"/>
              </w:rPr>
              <w:t xml:space="preserve"> This has been ascertained at a screening distance of 1000m from the discharge point. </w:t>
            </w:r>
          </w:p>
          <w:p w14:paraId="67AFC2B0" w14:textId="77777777" w:rsidR="00136717" w:rsidRPr="007820C3" w:rsidRDefault="00136717" w:rsidP="00FD7045">
            <w:pPr>
              <w:rPr>
                <w:rFonts w:ascii="Arial" w:hAnsi="Arial" w:cs="Arial"/>
                <w:color w:val="000000"/>
                <w:szCs w:val="24"/>
              </w:rPr>
            </w:pPr>
          </w:p>
        </w:tc>
        <w:tc>
          <w:tcPr>
            <w:tcW w:w="1072" w:type="dxa"/>
          </w:tcPr>
          <w:p w14:paraId="5CCCC72E" w14:textId="652277F5" w:rsidR="00136717" w:rsidRPr="00FB30B4" w:rsidRDefault="00FD7045"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7A7EC5E2"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Pr="00FD7045" w:rsidRDefault="00FB30B4" w:rsidP="00A60F17">
            <w:pPr>
              <w:rPr>
                <w:rFonts w:ascii="Arial" w:hAnsi="Arial" w:cs="Arial"/>
                <w:szCs w:val="24"/>
              </w:rPr>
            </w:pPr>
          </w:p>
          <w:p w14:paraId="0FF152E4" w14:textId="77777777" w:rsidR="007820C3" w:rsidRPr="00FD7045" w:rsidRDefault="007820C3" w:rsidP="00A60F17">
            <w:pPr>
              <w:rPr>
                <w:rFonts w:ascii="Arial" w:hAnsi="Arial" w:cs="Arial"/>
                <w:szCs w:val="24"/>
              </w:rPr>
            </w:pPr>
            <w:r w:rsidRPr="00FD7045">
              <w:rPr>
                <w:rFonts w:ascii="Arial" w:hAnsi="Arial" w:cs="Arial"/>
                <w:szCs w:val="24"/>
              </w:rPr>
              <w:t xml:space="preserve">The operator considers this risk assessment is satisfactory. </w:t>
            </w:r>
          </w:p>
          <w:p w14:paraId="0FF152E7" w14:textId="77777777" w:rsidR="007820C3" w:rsidRPr="00FD7045" w:rsidRDefault="007820C3" w:rsidP="00A60F17">
            <w:pPr>
              <w:rPr>
                <w:rFonts w:ascii="Arial" w:hAnsi="Arial" w:cs="Arial"/>
                <w:szCs w:val="24"/>
              </w:rPr>
            </w:pPr>
          </w:p>
          <w:p w14:paraId="0FF152E8" w14:textId="11A33CB1" w:rsidR="007820C3" w:rsidRPr="00FD7045" w:rsidRDefault="007820C3" w:rsidP="00A60F17">
            <w:pPr>
              <w:pStyle w:val="BodyText"/>
              <w:rPr>
                <w:rFonts w:ascii="Arial" w:hAnsi="Arial" w:cs="Arial"/>
                <w:color w:val="auto"/>
                <w:szCs w:val="24"/>
              </w:rPr>
            </w:pPr>
            <w:r w:rsidRPr="00FD7045">
              <w:rPr>
                <w:rFonts w:ascii="Arial" w:hAnsi="Arial" w:cs="Arial"/>
                <w:color w:val="auto"/>
                <w:szCs w:val="24"/>
              </w:rPr>
              <w:t>The assessment shows that, applying the conservative criteria in our guidance on Environmental Risk Assessment, all emissions may be categorised as environmentally insignificant</w:t>
            </w:r>
            <w:r w:rsidR="00FD7045" w:rsidRPr="00FD7045">
              <w:rPr>
                <w:rFonts w:ascii="Arial" w:hAnsi="Arial" w:cs="Arial"/>
                <w:color w:val="auto"/>
                <w:szCs w:val="24"/>
              </w:rPr>
              <w:t>.</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F" w14:textId="77777777" w:rsidR="007820C3" w:rsidRPr="00A87C78" w:rsidRDefault="007820C3" w:rsidP="00792CEE">
            <w:pPr>
              <w:pStyle w:val="BodyText"/>
              <w:rPr>
                <w:rFonts w:ascii="Arial" w:hAnsi="Arial" w:cs="Arial"/>
                <w:color w:val="auto"/>
                <w:szCs w:val="24"/>
              </w:rPr>
            </w:pPr>
            <w:r w:rsidRPr="00A87C78">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A87C78">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396B50C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A87C78" w:rsidRDefault="007820C3" w:rsidP="00792CEE">
            <w:pPr>
              <w:rPr>
                <w:rFonts w:ascii="Arial" w:hAnsi="Arial" w:cs="Arial"/>
                <w:szCs w:val="24"/>
              </w:rPr>
            </w:pPr>
          </w:p>
          <w:p w14:paraId="0FF1532E" w14:textId="55BC323D" w:rsidR="007820C3" w:rsidRPr="00A87C78" w:rsidRDefault="007820C3" w:rsidP="00C07952">
            <w:pPr>
              <w:rPr>
                <w:rFonts w:ascii="Arial" w:hAnsi="Arial" w:cs="Arial"/>
                <w:szCs w:val="24"/>
              </w:rPr>
            </w:pPr>
            <w:r w:rsidRPr="00A87C78">
              <w:rPr>
                <w:rFonts w:ascii="Arial" w:hAnsi="Arial" w:cs="Arial"/>
                <w:szCs w:val="24"/>
              </w:rPr>
              <w:t xml:space="preserve">It is considered that the numeric limits described below will prevent significant deterioration of receiving waters.  We have imposed numeric limits because either a relevant environmental quality or operational standard requires this. </w:t>
            </w:r>
          </w:p>
          <w:p w14:paraId="2FE020A8" w14:textId="4451A659" w:rsidR="00FD7045" w:rsidRPr="00A87C78" w:rsidRDefault="00FD7045" w:rsidP="00C07952">
            <w:pPr>
              <w:rPr>
                <w:rFonts w:ascii="Arial" w:hAnsi="Arial" w:cs="Arial"/>
                <w:szCs w:val="24"/>
              </w:rPr>
            </w:pPr>
          </w:p>
          <w:p w14:paraId="0B676B98" w14:textId="2990F445" w:rsidR="00FD7045" w:rsidRPr="00A87C78" w:rsidRDefault="00FD7045" w:rsidP="00C07952">
            <w:pPr>
              <w:rPr>
                <w:rFonts w:ascii="Arial" w:hAnsi="Arial" w:cs="Arial"/>
                <w:szCs w:val="24"/>
              </w:rPr>
            </w:pPr>
            <w:r w:rsidRPr="00A87C78">
              <w:rPr>
                <w:rFonts w:ascii="Arial" w:hAnsi="Arial" w:cs="Arial"/>
                <w:szCs w:val="24"/>
              </w:rPr>
              <w:t xml:space="preserve">The proposed treatment efficiencies for sanitary </w:t>
            </w:r>
            <w:proofErr w:type="spellStart"/>
            <w:r w:rsidRPr="00A87C78">
              <w:rPr>
                <w:rFonts w:ascii="Arial" w:hAnsi="Arial" w:cs="Arial"/>
                <w:szCs w:val="24"/>
              </w:rPr>
              <w:t>determinands</w:t>
            </w:r>
            <w:proofErr w:type="spellEnd"/>
            <w:r w:rsidRPr="00A87C78">
              <w:rPr>
                <w:rFonts w:ascii="Arial" w:hAnsi="Arial" w:cs="Arial"/>
                <w:szCs w:val="24"/>
              </w:rPr>
              <w:t xml:space="preserve"> were assessed </w:t>
            </w:r>
            <w:r w:rsidR="00A87C78" w:rsidRPr="00A87C78">
              <w:rPr>
                <w:rFonts w:ascii="Arial" w:hAnsi="Arial" w:cs="Arial"/>
                <w:szCs w:val="24"/>
              </w:rPr>
              <w:t xml:space="preserve">using RQP software to establish potential deterioration </w:t>
            </w:r>
            <w:r w:rsidR="00A87C78">
              <w:rPr>
                <w:rFonts w:ascii="Arial" w:hAnsi="Arial" w:cs="Arial"/>
                <w:szCs w:val="24"/>
              </w:rPr>
              <w:t>in</w:t>
            </w:r>
            <w:r w:rsidR="00A87C78" w:rsidRPr="00A87C78">
              <w:rPr>
                <w:rFonts w:ascii="Arial" w:hAnsi="Arial" w:cs="Arial"/>
                <w:szCs w:val="24"/>
              </w:rPr>
              <w:t xml:space="preserve"> the receiving waterbody</w:t>
            </w:r>
            <w:r w:rsidR="00A87C78">
              <w:rPr>
                <w:rFonts w:ascii="Arial" w:hAnsi="Arial" w:cs="Arial"/>
                <w:szCs w:val="24"/>
              </w:rPr>
              <w:t xml:space="preserve"> </w:t>
            </w:r>
            <w:proofErr w:type="gramStart"/>
            <w:r w:rsidR="00A87C78">
              <w:rPr>
                <w:rFonts w:ascii="Arial" w:hAnsi="Arial" w:cs="Arial"/>
                <w:szCs w:val="24"/>
              </w:rPr>
              <w:t>as a result of</w:t>
            </w:r>
            <w:proofErr w:type="gramEnd"/>
            <w:r w:rsidR="00A87C78">
              <w:rPr>
                <w:rFonts w:ascii="Arial" w:hAnsi="Arial" w:cs="Arial"/>
                <w:szCs w:val="24"/>
              </w:rPr>
              <w:t xml:space="preserve"> the discharge</w:t>
            </w:r>
            <w:r w:rsidR="00A87C78" w:rsidRPr="00A87C78">
              <w:rPr>
                <w:rFonts w:ascii="Arial" w:hAnsi="Arial" w:cs="Arial"/>
                <w:szCs w:val="24"/>
              </w:rPr>
              <w:t>. Th</w:t>
            </w:r>
            <w:r w:rsidR="00A87C78">
              <w:rPr>
                <w:rFonts w:ascii="Arial" w:hAnsi="Arial" w:cs="Arial"/>
                <w:szCs w:val="24"/>
              </w:rPr>
              <w:t>is identified</w:t>
            </w:r>
            <w:r w:rsidRPr="00A87C78">
              <w:rPr>
                <w:rFonts w:ascii="Arial" w:hAnsi="Arial" w:cs="Arial"/>
                <w:szCs w:val="24"/>
              </w:rPr>
              <w:t xml:space="preserve"> potential deterioration and shift in the waterbodies’ WFD </w:t>
            </w:r>
            <w:r w:rsidRPr="00A87C78">
              <w:rPr>
                <w:rFonts w:ascii="Arial" w:hAnsi="Arial" w:cs="Arial"/>
                <w:szCs w:val="24"/>
              </w:rPr>
              <w:lastRenderedPageBreak/>
              <w:t xml:space="preserve">status class for ammonia and phosphate (British Standard treatment efficiencies). For the waterbody to remain within its </w:t>
            </w:r>
            <w:proofErr w:type="gramStart"/>
            <w:r w:rsidRPr="00A87C78">
              <w:rPr>
                <w:rFonts w:ascii="Arial" w:hAnsi="Arial" w:cs="Arial"/>
                <w:szCs w:val="24"/>
              </w:rPr>
              <w:t>current status</w:t>
            </w:r>
            <w:proofErr w:type="gramEnd"/>
            <w:r w:rsidRPr="00A87C78">
              <w:rPr>
                <w:rFonts w:ascii="Arial" w:hAnsi="Arial" w:cs="Arial"/>
                <w:szCs w:val="24"/>
              </w:rPr>
              <w:t xml:space="preserve"> class we </w:t>
            </w:r>
            <w:r w:rsidR="00A87C78">
              <w:rPr>
                <w:rFonts w:ascii="Arial" w:hAnsi="Arial" w:cs="Arial"/>
                <w:szCs w:val="24"/>
              </w:rPr>
              <w:t>set</w:t>
            </w:r>
            <w:r w:rsidRPr="00A87C78">
              <w:rPr>
                <w:rFonts w:ascii="Arial" w:hAnsi="Arial" w:cs="Arial"/>
                <w:szCs w:val="24"/>
              </w:rPr>
              <w:t xml:space="preserve"> new limits of 1.3 mg/l phosphate and 4.6 mg/l ammonia.</w:t>
            </w:r>
          </w:p>
          <w:p w14:paraId="0FF1532F" w14:textId="77777777" w:rsidR="00FB30B4" w:rsidRPr="007820C3" w:rsidRDefault="00FB30B4" w:rsidP="00C07952">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0464E702" w14:textId="7807E921" w:rsidR="00E96702" w:rsidRPr="00FE10C7"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E96702" w:rsidRPr="00E96702">
              <w:rPr>
                <w:rFonts w:ascii="Arial" w:eastAsia="Times New Roman" w:hAnsi="Arial" w:cs="Arial"/>
                <w:color w:val="FF00FF"/>
              </w:rPr>
              <w:t xml:space="preserve"> </w:t>
            </w:r>
          </w:p>
          <w:p w14:paraId="7C4FE69A" w14:textId="77777777" w:rsidR="00E96702" w:rsidRPr="00E96702" w:rsidRDefault="00E96702"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784DA781"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w:t>
            </w:r>
            <w:r w:rsidRPr="00FE10C7">
              <w:rPr>
                <w:rFonts w:ascii="Arial" w:eastAsia="Arial" w:hAnsi="Arial" w:cs="Arial"/>
              </w:rPr>
              <w:t xml:space="preserve">consistent with the function of determining an application for a  </w:t>
            </w:r>
            <w:proofErr w:type="spellStart"/>
            <w:r w:rsidRPr="00FE10C7">
              <w:rPr>
                <w:rFonts w:ascii="Arial" w:eastAsia="Arial" w:hAnsi="Arial" w:cs="Arial"/>
              </w:rPr>
              <w:t>stand alone</w:t>
            </w:r>
            <w:proofErr w:type="spellEnd"/>
            <w:r w:rsidRPr="00FE10C7">
              <w:rPr>
                <w:rFonts w:ascii="Arial" w:eastAsia="Arial" w:hAnsi="Arial" w:cs="Arial"/>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4F" w14:textId="12978988" w:rsidR="00FB30B4" w:rsidRPr="00F42026" w:rsidRDefault="006765AE" w:rsidP="00FB30B4">
      <w:pPr>
        <w:pStyle w:val="Heading1"/>
        <w:jc w:val="left"/>
        <w:rPr>
          <w:color w:val="FF0000"/>
          <w:sz w:val="24"/>
        </w:rPr>
      </w:pPr>
      <w:r>
        <w:br w:type="page"/>
      </w:r>
      <w:r w:rsidR="00FB30B4" w:rsidRPr="00FE10C7">
        <w:rPr>
          <w:color w:val="auto"/>
          <w:sz w:val="24"/>
        </w:rPr>
        <w:lastRenderedPageBreak/>
        <w:t xml:space="preserve">Annex 2: web publicising responses </w:t>
      </w:r>
    </w:p>
    <w:p w14:paraId="0FF15350" w14:textId="77777777" w:rsidR="00FB30B4" w:rsidRPr="00F42026" w:rsidRDefault="00FB30B4" w:rsidP="00FB30B4">
      <w:pPr>
        <w:pStyle w:val="Footer"/>
        <w:tabs>
          <w:tab w:val="clear" w:pos="4153"/>
          <w:tab w:val="clear" w:pos="8306"/>
        </w:tabs>
        <w:rPr>
          <w:rFonts w:ascii="Arial" w:hAnsi="Arial"/>
          <w:color w:val="FF0000"/>
        </w:rPr>
      </w:pP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0FF15355" w14:textId="450C4276" w:rsidR="00FB30B4" w:rsidRPr="00136717" w:rsidRDefault="00FD2DA0" w:rsidP="00FB30B4">
            <w:pPr>
              <w:jc w:val="both"/>
              <w:rPr>
                <w:rFonts w:ascii="Arial" w:hAnsi="Arial" w:cs="Arial"/>
                <w:b/>
                <w:color w:val="FFFFFF" w:themeColor="background1"/>
              </w:rPr>
            </w:pPr>
            <w:r>
              <w:rPr>
                <w:rFonts w:ascii="Arial" w:eastAsia="Calibri" w:hAnsi="Arial" w:cs="Arial"/>
                <w:sz w:val="22"/>
                <w:szCs w:val="22"/>
                <w:lang w:eastAsia="en-US"/>
              </w:rPr>
              <w:t>Public Representee</w:t>
            </w:r>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0FF15359" w14:textId="4600DDCC" w:rsidR="00FB30B4" w:rsidRPr="00FE10C7" w:rsidRDefault="00FE10C7" w:rsidP="00FE10C7">
            <w:pPr>
              <w:jc w:val="both"/>
              <w:rPr>
                <w:rFonts w:ascii="Arial" w:eastAsia="Calibri" w:hAnsi="Arial" w:cs="Arial"/>
                <w:sz w:val="22"/>
                <w:szCs w:val="22"/>
                <w:lang w:eastAsia="en-US"/>
              </w:rPr>
            </w:pPr>
            <w:r w:rsidRPr="00FE10C7">
              <w:rPr>
                <w:rFonts w:ascii="Arial" w:eastAsia="Calibri" w:hAnsi="Arial" w:cs="Arial"/>
                <w:sz w:val="22"/>
                <w:szCs w:val="22"/>
                <w:lang w:eastAsia="en-US"/>
              </w:rPr>
              <w:t>Concerns raised over limited flow in the receiving watercourse (</w:t>
            </w:r>
            <w:proofErr w:type="spellStart"/>
            <w:r w:rsidRPr="00FE10C7">
              <w:rPr>
                <w:rFonts w:ascii="Arial" w:eastAsia="Calibri" w:hAnsi="Arial" w:cs="Arial"/>
                <w:sz w:val="22"/>
                <w:szCs w:val="22"/>
                <w:lang w:eastAsia="en-US"/>
              </w:rPr>
              <w:t>Marcross</w:t>
            </w:r>
            <w:proofErr w:type="spellEnd"/>
            <w:r w:rsidRPr="00FE10C7">
              <w:rPr>
                <w:rFonts w:ascii="Arial" w:eastAsia="Calibri" w:hAnsi="Arial" w:cs="Arial"/>
                <w:sz w:val="22"/>
                <w:szCs w:val="22"/>
                <w:lang w:eastAsia="en-US"/>
              </w:rPr>
              <w:t xml:space="preserve"> brook) and impact of discharge to downstream SSSI.</w:t>
            </w: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1BFAC8C1" w14:textId="1B676DC8" w:rsidR="00FB30B4" w:rsidRPr="00FE10C7" w:rsidRDefault="000F0F31" w:rsidP="00FB30B4">
            <w:pPr>
              <w:jc w:val="both"/>
              <w:rPr>
                <w:rFonts w:ascii="Arial" w:eastAsia="Calibri" w:hAnsi="Arial" w:cs="Arial"/>
                <w:sz w:val="22"/>
                <w:szCs w:val="22"/>
                <w:lang w:eastAsia="en-US"/>
              </w:rPr>
            </w:pPr>
            <w:r w:rsidRPr="00FE10C7">
              <w:rPr>
                <w:rFonts w:ascii="Arial" w:eastAsia="Calibri" w:hAnsi="Arial" w:cs="Arial"/>
                <w:sz w:val="22"/>
                <w:szCs w:val="22"/>
                <w:lang w:eastAsia="en-US"/>
              </w:rPr>
              <w:t>Flow estimations using QUBE suggested an adequate mean flow of 1434 m</w:t>
            </w:r>
            <w:r w:rsidRPr="00FE10C7">
              <w:rPr>
                <w:rFonts w:ascii="Arial" w:eastAsia="Calibri" w:hAnsi="Arial" w:cs="Arial"/>
                <w:sz w:val="22"/>
                <w:szCs w:val="22"/>
                <w:vertAlign w:val="superscript"/>
                <w:lang w:eastAsia="en-US"/>
              </w:rPr>
              <w:t>3</w:t>
            </w:r>
            <w:r w:rsidRPr="00FE10C7">
              <w:rPr>
                <w:rFonts w:ascii="Arial" w:eastAsia="Calibri" w:hAnsi="Arial" w:cs="Arial"/>
                <w:sz w:val="22"/>
                <w:szCs w:val="22"/>
                <w:lang w:eastAsia="en-US"/>
              </w:rPr>
              <w:t>/day and Q95 flow of 346 m</w:t>
            </w:r>
            <w:r w:rsidRPr="00FE10C7">
              <w:rPr>
                <w:rFonts w:ascii="Arial" w:eastAsia="Calibri" w:hAnsi="Arial" w:cs="Arial"/>
                <w:sz w:val="22"/>
                <w:szCs w:val="22"/>
                <w:vertAlign w:val="superscript"/>
                <w:lang w:eastAsia="en-US"/>
              </w:rPr>
              <w:t>3</w:t>
            </w:r>
            <w:r w:rsidRPr="00FE10C7">
              <w:rPr>
                <w:rFonts w:ascii="Arial" w:eastAsia="Calibri" w:hAnsi="Arial" w:cs="Arial"/>
                <w:sz w:val="22"/>
                <w:szCs w:val="22"/>
                <w:lang w:eastAsia="en-US"/>
              </w:rPr>
              <w:t xml:space="preserve">/day. Due to lowered confidence in the flow estimates, NRW’s Hydrometry team went out to take flow gauging’s of </w:t>
            </w:r>
            <w:proofErr w:type="spellStart"/>
            <w:r w:rsidRPr="00FE10C7">
              <w:rPr>
                <w:rFonts w:ascii="Arial" w:eastAsia="Calibri" w:hAnsi="Arial" w:cs="Arial"/>
                <w:sz w:val="22"/>
                <w:szCs w:val="22"/>
                <w:lang w:eastAsia="en-US"/>
              </w:rPr>
              <w:t>Marcross</w:t>
            </w:r>
            <w:proofErr w:type="spellEnd"/>
            <w:r w:rsidRPr="00FE10C7">
              <w:rPr>
                <w:rFonts w:ascii="Arial" w:eastAsia="Calibri" w:hAnsi="Arial" w:cs="Arial"/>
                <w:sz w:val="22"/>
                <w:szCs w:val="22"/>
                <w:lang w:eastAsia="en-US"/>
              </w:rPr>
              <w:t xml:space="preserve"> Brook on 4 separate occasions between April and July 2021. This data showed a substantial reduction from the estimated flows with a mean flow of 130 m</w:t>
            </w:r>
            <w:r w:rsidRPr="00FE10C7">
              <w:rPr>
                <w:rFonts w:ascii="Arial" w:eastAsia="Calibri" w:hAnsi="Arial" w:cs="Arial"/>
                <w:sz w:val="22"/>
                <w:szCs w:val="22"/>
                <w:vertAlign w:val="superscript"/>
                <w:lang w:eastAsia="en-US"/>
              </w:rPr>
              <w:t>3</w:t>
            </w:r>
            <w:r w:rsidRPr="00FE10C7">
              <w:rPr>
                <w:rFonts w:ascii="Arial" w:eastAsia="Calibri" w:hAnsi="Arial" w:cs="Arial"/>
                <w:sz w:val="22"/>
                <w:szCs w:val="22"/>
                <w:lang w:eastAsia="en-US"/>
              </w:rPr>
              <w:t>/day and a Q95 flow of 17 m</w:t>
            </w:r>
            <w:r w:rsidRPr="00FE10C7">
              <w:rPr>
                <w:rFonts w:ascii="Arial" w:eastAsia="Calibri" w:hAnsi="Arial" w:cs="Arial"/>
                <w:sz w:val="22"/>
                <w:szCs w:val="22"/>
                <w:vertAlign w:val="superscript"/>
                <w:lang w:eastAsia="en-US"/>
              </w:rPr>
              <w:t>3</w:t>
            </w:r>
            <w:r w:rsidRPr="00FE10C7">
              <w:rPr>
                <w:rFonts w:ascii="Arial" w:eastAsia="Calibri" w:hAnsi="Arial" w:cs="Arial"/>
                <w:sz w:val="22"/>
                <w:szCs w:val="22"/>
                <w:lang w:eastAsia="en-US"/>
              </w:rPr>
              <w:t xml:space="preserve">/day. Consequently, sanitary parameters were re-modelled in RQP software to assess potential deterioration with the reduced flow rates. </w:t>
            </w:r>
          </w:p>
          <w:p w14:paraId="32B3A6BC" w14:textId="0A4385D1" w:rsidR="000F0F31" w:rsidRPr="00FE10C7" w:rsidRDefault="000F0F31" w:rsidP="00FB30B4">
            <w:pPr>
              <w:jc w:val="both"/>
              <w:rPr>
                <w:rFonts w:ascii="Arial" w:eastAsia="Calibri" w:hAnsi="Arial" w:cs="Arial"/>
                <w:sz w:val="22"/>
                <w:szCs w:val="22"/>
                <w:lang w:eastAsia="en-US"/>
              </w:rPr>
            </w:pPr>
            <w:r w:rsidRPr="00FE10C7">
              <w:rPr>
                <w:rFonts w:ascii="Arial" w:eastAsia="Calibri" w:hAnsi="Arial" w:cs="Arial"/>
                <w:sz w:val="22"/>
                <w:szCs w:val="22"/>
                <w:lang w:eastAsia="en-US"/>
              </w:rPr>
              <w:t xml:space="preserve">The results from modelling showed potential deterioration and shift in the waterbodies’ WFD status class at the operators proposed limits for ammonia and phosphate (British Standard treatment efficiencies). </w:t>
            </w:r>
            <w:r w:rsidR="00FE10C7" w:rsidRPr="00FE10C7">
              <w:rPr>
                <w:rFonts w:ascii="Arial" w:eastAsia="Calibri" w:hAnsi="Arial" w:cs="Arial"/>
                <w:sz w:val="22"/>
                <w:szCs w:val="22"/>
                <w:lang w:eastAsia="en-US"/>
              </w:rPr>
              <w:t>For the waterbody</w:t>
            </w:r>
            <w:r w:rsidRPr="00FE10C7">
              <w:rPr>
                <w:rFonts w:ascii="Arial" w:eastAsia="Calibri" w:hAnsi="Arial" w:cs="Arial"/>
                <w:sz w:val="22"/>
                <w:szCs w:val="22"/>
                <w:lang w:eastAsia="en-US"/>
              </w:rPr>
              <w:t xml:space="preserve"> to </w:t>
            </w:r>
            <w:r w:rsidR="00FE10C7" w:rsidRPr="00FE10C7">
              <w:rPr>
                <w:rFonts w:ascii="Arial" w:eastAsia="Calibri" w:hAnsi="Arial" w:cs="Arial"/>
                <w:sz w:val="22"/>
                <w:szCs w:val="22"/>
                <w:lang w:eastAsia="en-US"/>
              </w:rPr>
              <w:t xml:space="preserve">remain </w:t>
            </w:r>
            <w:r w:rsidRPr="00FE10C7">
              <w:rPr>
                <w:rFonts w:ascii="Arial" w:eastAsia="Calibri" w:hAnsi="Arial" w:cs="Arial"/>
                <w:sz w:val="22"/>
                <w:szCs w:val="22"/>
                <w:lang w:eastAsia="en-US"/>
              </w:rPr>
              <w:t xml:space="preserve">within </w:t>
            </w:r>
            <w:r w:rsidR="00FE10C7" w:rsidRPr="00FE10C7">
              <w:rPr>
                <w:rFonts w:ascii="Arial" w:eastAsia="Calibri" w:hAnsi="Arial" w:cs="Arial"/>
                <w:sz w:val="22"/>
                <w:szCs w:val="22"/>
                <w:lang w:eastAsia="en-US"/>
              </w:rPr>
              <w:t xml:space="preserve">its </w:t>
            </w:r>
            <w:proofErr w:type="gramStart"/>
            <w:r w:rsidR="00FE10C7" w:rsidRPr="00FE10C7">
              <w:rPr>
                <w:rFonts w:ascii="Arial" w:eastAsia="Calibri" w:hAnsi="Arial" w:cs="Arial"/>
                <w:sz w:val="22"/>
                <w:szCs w:val="22"/>
                <w:lang w:eastAsia="en-US"/>
              </w:rPr>
              <w:t>current</w:t>
            </w:r>
            <w:r w:rsidRPr="00FE10C7">
              <w:rPr>
                <w:rFonts w:ascii="Arial" w:eastAsia="Calibri" w:hAnsi="Arial" w:cs="Arial"/>
                <w:sz w:val="22"/>
                <w:szCs w:val="22"/>
                <w:lang w:eastAsia="en-US"/>
              </w:rPr>
              <w:t xml:space="preserve"> status</w:t>
            </w:r>
            <w:proofErr w:type="gramEnd"/>
            <w:r w:rsidRPr="00FE10C7">
              <w:rPr>
                <w:rFonts w:ascii="Arial" w:eastAsia="Calibri" w:hAnsi="Arial" w:cs="Arial"/>
                <w:sz w:val="22"/>
                <w:szCs w:val="22"/>
                <w:lang w:eastAsia="en-US"/>
              </w:rPr>
              <w:t xml:space="preserve"> </w:t>
            </w:r>
            <w:r w:rsidRPr="002A7E8C">
              <w:rPr>
                <w:rFonts w:ascii="Arial" w:eastAsia="Calibri" w:hAnsi="Arial" w:cs="Arial"/>
                <w:sz w:val="22"/>
                <w:szCs w:val="22"/>
                <w:lang w:eastAsia="en-US"/>
              </w:rPr>
              <w:t>class we have proposed new limits to the operator of 1.3 mg/l phosphate and 4.6 mg/l ammonia. The operator accepted these limit</w:t>
            </w:r>
            <w:r w:rsidR="00FE10C7" w:rsidRPr="002A7E8C">
              <w:rPr>
                <w:rFonts w:ascii="Arial" w:eastAsia="Calibri" w:hAnsi="Arial" w:cs="Arial"/>
                <w:sz w:val="22"/>
                <w:szCs w:val="22"/>
                <w:lang w:eastAsia="en-US"/>
              </w:rPr>
              <w:t xml:space="preserve">s during review of the draft permit and intends to install a suitable package treatment plant equipped with a phosphate dosing chamber </w:t>
            </w:r>
            <w:proofErr w:type="gramStart"/>
            <w:r w:rsidR="00FE10C7" w:rsidRPr="002A7E8C">
              <w:rPr>
                <w:rFonts w:ascii="Arial" w:eastAsia="Calibri" w:hAnsi="Arial" w:cs="Arial"/>
                <w:sz w:val="22"/>
                <w:szCs w:val="22"/>
                <w:lang w:eastAsia="en-US"/>
              </w:rPr>
              <w:t>in order to</w:t>
            </w:r>
            <w:proofErr w:type="gramEnd"/>
            <w:r w:rsidR="00FE10C7" w:rsidRPr="002A7E8C">
              <w:rPr>
                <w:rFonts w:ascii="Arial" w:eastAsia="Calibri" w:hAnsi="Arial" w:cs="Arial"/>
                <w:sz w:val="22"/>
                <w:szCs w:val="22"/>
                <w:lang w:eastAsia="en-US"/>
              </w:rPr>
              <w:t xml:space="preserve"> achieve the agreed standards.</w:t>
            </w:r>
          </w:p>
          <w:p w14:paraId="0FF1535D" w14:textId="2A97C8B0" w:rsidR="000F0F31" w:rsidRPr="004243F4" w:rsidRDefault="000F0F31" w:rsidP="00FB30B4">
            <w:pPr>
              <w:jc w:val="both"/>
              <w:rPr>
                <w:rFonts w:ascii="Arial" w:hAnsi="Arial" w:cs="Arial"/>
              </w:rPr>
            </w:pPr>
          </w:p>
        </w:tc>
      </w:tr>
    </w:tbl>
    <w:p w14:paraId="0FF15360" w14:textId="77777777" w:rsidR="00FB30B4" w:rsidRPr="004243F4" w:rsidRDefault="00FB30B4" w:rsidP="00FB30B4">
      <w:pPr>
        <w:jc w:val="both"/>
        <w:rPr>
          <w:rFonts w:ascii="Arial" w:hAnsi="Arial" w:cs="Arial"/>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0F3057" w14:textId="77777777" w:rsidR="00FD7045" w:rsidRDefault="00FD7045">
      <w:r>
        <w:separator/>
      </w:r>
    </w:p>
  </w:endnote>
  <w:endnote w:type="continuationSeparator" w:id="0">
    <w:p w14:paraId="314FBF3B" w14:textId="77777777" w:rsidR="00FD7045" w:rsidRDefault="00FD7045">
      <w:r>
        <w:continuationSeparator/>
      </w:r>
    </w:p>
  </w:endnote>
  <w:endnote w:type="continuationNotice" w:id="1">
    <w:p w14:paraId="56810FF3" w14:textId="77777777" w:rsidR="00FD7045" w:rsidRDefault="00FD70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FD7045" w:rsidRDefault="00FD704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FD7045" w:rsidRDefault="00FD70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FD7045" w:rsidRPr="002B61AE" w14:paraId="0FF15380" w14:textId="77777777" w:rsidTr="008632BF">
      <w:trPr>
        <w:trHeight w:val="286"/>
      </w:trPr>
      <w:tc>
        <w:tcPr>
          <w:tcW w:w="2659" w:type="dxa"/>
        </w:tcPr>
        <w:p w14:paraId="0FF1537C" w14:textId="7104BEDB" w:rsidR="00FD7045" w:rsidRPr="00E907C6" w:rsidRDefault="00FD7045"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FD7045" w:rsidRPr="00E907C6" w:rsidRDefault="00FD7045"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FD7045" w:rsidRPr="00E907C6" w:rsidRDefault="00FD7045"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FD7045" w:rsidRPr="00E907C6" w:rsidRDefault="00FD7045"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FD7045" w:rsidRPr="003F4346" w:rsidRDefault="00FD7045"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3350F8" w14:textId="77777777" w:rsidR="00FD7045" w:rsidRDefault="00FD7045">
      <w:r>
        <w:separator/>
      </w:r>
    </w:p>
  </w:footnote>
  <w:footnote w:type="continuationSeparator" w:id="0">
    <w:p w14:paraId="07FFA255" w14:textId="77777777" w:rsidR="00FD7045" w:rsidRDefault="00FD7045">
      <w:r>
        <w:continuationSeparator/>
      </w:r>
    </w:p>
  </w:footnote>
  <w:footnote w:type="continuationNotice" w:id="1">
    <w:p w14:paraId="144D4EEC" w14:textId="77777777" w:rsidR="00FD7045" w:rsidRDefault="00FD704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0F31"/>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A7E8C"/>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87C7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2DA0"/>
    <w:rsid w:val="00FD55E6"/>
    <w:rsid w:val="00FD7045"/>
    <w:rsid w:val="00FD759F"/>
    <w:rsid w:val="00FE10C7"/>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e0eb3e62ce8ec0363eb5ca5d5777cc2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88b795189d82ce163776055cb24ee1b1"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REGU-184-1794855</_dlc_DocId>
    <_dlc_DocIdUrl xmlns="9be56660-2c31-41ef-bc00-23e72f632f2a">
      <Url>https://cyfoethnaturiolcymru.sharepoint.com/teams/Regulatory/Permitting/_layouts/15/DocIdRedir.aspx?ID=REGU-184-1794855</Url>
      <Description>REGU-184-1794855</Description>
    </_dlc_DocIdUrl>
    <License_x002f_Activity_x0020_Type xmlns="859f7ad6-93f6-4205-b62b-a17f28acbbac">4. EPR Water Discharge</License_x002f_Activity_x0020_Type>
    <Site_x0020_Name xmlns="859f7ad6-93f6-4205-b62b-a17f28acbbac">Channel View</Site_x0020_Name>
    <Internal_x002f_External xmlns="859f7ad6-93f6-4205-b62b-a17f28acbbac">Outgoing document</Internal_x002f_External>
    <Post_x0020_code xmlns="859f7ad6-93f6-4205-b62b-a17f28acbbac">CF61 1ZE</Post_x0020_code>
    <Document_x0020_Type xmlns="859f7ad6-93f6-4205-b62b-a17f28acbbac">Report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Vale of Glamorgan Council, Holton Road, Barry, CF63 4RU</Addressee>
    <Process_x0020_Type xmlns="859f7ad6-93f6-4205-b62b-a17f28acbbac">Application</Process_x0020_Type>
    <Surrendered_x002f_Expired xmlns="859f7ad6-93f6-4205-b62b-a17f28acbbac" xsi:nil="true"/>
    <Document_x0020_Date xmlns="859f7ad6-93f6-4205-b62b-a17f28acbbac">2021-09-07T23:00:00+00:00</Document_x0020_Date>
    <Facility_x0020_Address xmlns="859f7ad6-93f6-4205-b62b-a17f28acbbac">Channel View, Marcross</Facility_x0020_Address>
    <Environment_x0020_Sub_x0020_Folder xmlns="859f7ad6-93f6-4205-b62b-a17f28acbbac">Licences applications</Environment_x0020_Sub_x0020_Folder>
    <Customer_x0020_Name xmlns="859f7ad6-93f6-4205-b62b-a17f28acbbac">Vale of Glamorgan CC - Mr Raymond Millichampe</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B7D682-3E6F-4B5D-9E00-F53D000622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BEB58C00-7464-409B-9F05-E719EA22DD2E}">
  <ds:schemaRefs>
    <ds:schemaRef ds:uri="859f7ad6-93f6-4205-b62b-a17f28acbbac"/>
    <ds:schemaRef ds:uri="http://purl.org/dc/terms/"/>
    <ds:schemaRef ds:uri="6e121689-de5b-41b9-a751-bfeda7fa2b07"/>
    <ds:schemaRef ds:uri="http://schemas.microsoft.com/office/2006/documentManagement/types"/>
    <ds:schemaRef ds:uri="http://schemas.microsoft.com/office/infopath/2007/PartnerControls"/>
    <ds:schemaRef ds:uri="http://purl.org/dc/elements/1.1/"/>
    <ds:schemaRef ds:uri="http://schemas.microsoft.com/office/2006/metadata/properties"/>
    <ds:schemaRef ds:uri="b67299c9-1600-4d20-976e-ea8f199d05b8"/>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1273</Words>
  <Characters>7016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8273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Al-Far, Tara</cp:lastModifiedBy>
  <cp:revision>4</cp:revision>
  <cp:lastPrinted>2008-01-30T13:54:00Z</cp:lastPrinted>
  <dcterms:created xsi:type="dcterms:W3CDTF">2021-09-08T11:10:00Z</dcterms:created>
  <dcterms:modified xsi:type="dcterms:W3CDTF">2021-09-27T15:27:00Z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b9489c6f-0f92-4e1a-a164-6e4ef319d823</vt:lpwstr>
  </property>
  <property fmtid="{D5CDD505-2E9C-101B-9397-08002B2CF9AE}" pid="11" name="SharedWithUsers">
    <vt:lpwstr/>
  </property>
  <property fmtid="{D5CDD505-2E9C-101B-9397-08002B2CF9AE}" pid="12" name="_docset_NoMedatataSyncRequired">
    <vt:lpwstr>False</vt:lpwstr>
  </property>
</Properties>
</file>