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38B287BF" w:rsidR="00D04424" w:rsidRPr="00C36381" w:rsidRDefault="001F0E23" w:rsidP="003719AD">
      <w:pPr>
        <w:pStyle w:val="Heading1"/>
        <w:spacing w:before="0" w:after="0"/>
        <w:jc w:val="left"/>
        <w:rPr>
          <w:bCs/>
          <w:color w:val="000000" w:themeColor="text1"/>
          <w:sz w:val="32"/>
        </w:rPr>
      </w:pPr>
      <w:r w:rsidRPr="00C36381">
        <w:rPr>
          <w:bCs/>
          <w:color w:val="000000" w:themeColor="text1"/>
          <w:sz w:val="32"/>
        </w:rPr>
        <w:t>Variation</w:t>
      </w:r>
      <w:r w:rsidR="00B73ECB" w:rsidRPr="00C36381">
        <w:rPr>
          <w:bCs/>
          <w:color w:val="000000" w:themeColor="text1"/>
          <w:sz w:val="32"/>
        </w:rPr>
        <w:t xml:space="preserve"> </w:t>
      </w:r>
    </w:p>
    <w:p w14:paraId="38DDE78D" w14:textId="0ED7F383" w:rsidR="00D04424" w:rsidRPr="00C36381" w:rsidRDefault="0060457F" w:rsidP="0067478B">
      <w:pPr>
        <w:spacing w:after="120"/>
        <w:rPr>
          <w:rFonts w:ascii="Arial" w:hAnsi="Arial" w:cs="Arial"/>
          <w:color w:val="000000" w:themeColor="text1"/>
          <w:szCs w:val="24"/>
        </w:rPr>
      </w:pPr>
      <w:r w:rsidRPr="00C36381">
        <w:rPr>
          <w:rFonts w:ascii="Arial" w:hAnsi="Arial" w:cs="Arial"/>
          <w:color w:val="000000" w:themeColor="text1"/>
          <w:szCs w:val="24"/>
        </w:rPr>
        <w:t xml:space="preserve">We have decided to </w:t>
      </w:r>
      <w:r w:rsidR="001500A3" w:rsidRPr="00C36381">
        <w:rPr>
          <w:rFonts w:ascii="Arial" w:hAnsi="Arial" w:cs="Arial"/>
          <w:color w:val="000000" w:themeColor="text1"/>
          <w:szCs w:val="24"/>
        </w:rPr>
        <w:t xml:space="preserve">issue </w:t>
      </w:r>
      <w:r w:rsidRPr="00C36381">
        <w:rPr>
          <w:rFonts w:ascii="Arial" w:hAnsi="Arial" w:cs="Arial"/>
          <w:color w:val="000000" w:themeColor="text1"/>
          <w:szCs w:val="24"/>
        </w:rPr>
        <w:t xml:space="preserve">the variation for </w:t>
      </w:r>
      <w:r w:rsidR="003B23BB" w:rsidRPr="00C36381">
        <w:rPr>
          <w:rFonts w:ascii="Arial" w:hAnsi="Arial" w:cs="Arial"/>
          <w:color w:val="000000" w:themeColor="text1"/>
          <w:szCs w:val="24"/>
        </w:rPr>
        <w:t xml:space="preserve">Clays Site </w:t>
      </w:r>
      <w:r w:rsidRPr="00C36381">
        <w:rPr>
          <w:rFonts w:ascii="Arial" w:hAnsi="Arial" w:cs="Arial"/>
          <w:color w:val="000000" w:themeColor="text1"/>
          <w:szCs w:val="24"/>
        </w:rPr>
        <w:t xml:space="preserve">operated by </w:t>
      </w:r>
      <w:r w:rsidR="003B23BB" w:rsidRPr="00C36381">
        <w:rPr>
          <w:rFonts w:ascii="Arial" w:hAnsi="Arial" w:cs="Arial"/>
          <w:color w:val="000000" w:themeColor="text1"/>
          <w:szCs w:val="24"/>
        </w:rPr>
        <w:t>Mr William Lewis</w:t>
      </w:r>
    </w:p>
    <w:p w14:paraId="38DDE78F" w14:textId="66B59006" w:rsidR="00E244F7" w:rsidRPr="00C36381" w:rsidRDefault="00D04424" w:rsidP="0067478B">
      <w:pPr>
        <w:tabs>
          <w:tab w:val="left" w:pos="4253"/>
          <w:tab w:val="left" w:pos="6804"/>
        </w:tabs>
        <w:spacing w:after="120"/>
        <w:rPr>
          <w:rFonts w:ascii="Arial" w:hAnsi="Arial"/>
          <w:color w:val="000000" w:themeColor="text1"/>
          <w:szCs w:val="24"/>
        </w:rPr>
      </w:pPr>
      <w:bookmarkStart w:id="0" w:name="OLE_LINK1"/>
      <w:bookmarkStart w:id="1" w:name="OLE_LINK2"/>
      <w:r w:rsidRPr="00C36381">
        <w:rPr>
          <w:rFonts w:ascii="Arial" w:hAnsi="Arial"/>
          <w:color w:val="000000" w:themeColor="text1"/>
          <w:kern w:val="28"/>
          <w:szCs w:val="24"/>
        </w:rPr>
        <w:t>The</w:t>
      </w:r>
      <w:r w:rsidRPr="00C36381">
        <w:rPr>
          <w:rFonts w:ascii="Arial" w:hAnsi="Arial"/>
          <w:b/>
          <w:color w:val="000000" w:themeColor="text1"/>
          <w:kern w:val="28"/>
          <w:szCs w:val="24"/>
        </w:rPr>
        <w:t xml:space="preserve"> </w:t>
      </w:r>
      <w:r w:rsidR="00857E69" w:rsidRPr="00C36381">
        <w:rPr>
          <w:rFonts w:ascii="Arial" w:hAnsi="Arial"/>
          <w:color w:val="000000" w:themeColor="text1"/>
          <w:szCs w:val="24"/>
        </w:rPr>
        <w:t>variation</w:t>
      </w:r>
      <w:r w:rsidR="00D2667F" w:rsidRPr="00C36381">
        <w:rPr>
          <w:rFonts w:ascii="Arial" w:hAnsi="Arial"/>
          <w:color w:val="000000" w:themeColor="text1"/>
          <w:szCs w:val="24"/>
        </w:rPr>
        <w:t xml:space="preserve"> </w:t>
      </w:r>
      <w:r w:rsidRPr="00C36381">
        <w:rPr>
          <w:rFonts w:ascii="Arial" w:hAnsi="Arial"/>
          <w:color w:val="000000" w:themeColor="text1"/>
          <w:szCs w:val="24"/>
        </w:rPr>
        <w:t xml:space="preserve">number is </w:t>
      </w:r>
      <w:r w:rsidR="003B23BB" w:rsidRPr="00C36381">
        <w:rPr>
          <w:rFonts w:ascii="Arial" w:hAnsi="Arial"/>
          <w:color w:val="000000" w:themeColor="text1"/>
          <w:szCs w:val="24"/>
        </w:rPr>
        <w:t>EPR/XP3691EG/V003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40D9E51B" w:rsidR="003546B3" w:rsidRPr="00482E7D" w:rsidRDefault="0067478B" w:rsidP="00B756D3">
      <w:pPr>
        <w:numPr>
          <w:ilvl w:val="0"/>
          <w:numId w:val="18"/>
        </w:numPr>
        <w:tabs>
          <w:tab w:val="clear" w:pos="1440"/>
          <w:tab w:val="num" w:pos="1134"/>
        </w:tabs>
        <w:spacing w:after="60"/>
        <w:ind w:left="1134" w:hanging="567"/>
        <w:rPr>
          <w:rFonts w:ascii="Arial" w:hAnsi="Arial" w:cs="Arial"/>
          <w:color w:val="000000" w:themeColor="text1"/>
          <w:szCs w:val="24"/>
        </w:rPr>
      </w:pPr>
      <w:r w:rsidRPr="00482E7D">
        <w:rPr>
          <w:rFonts w:ascii="Arial" w:hAnsi="Arial"/>
          <w:color w:val="000000" w:themeColor="text1"/>
        </w:rPr>
        <w:t xml:space="preserve">Key </w:t>
      </w:r>
      <w:r w:rsidR="00173FA0" w:rsidRPr="00482E7D">
        <w:rPr>
          <w:rFonts w:ascii="Arial" w:hAnsi="Arial"/>
          <w:color w:val="000000" w:themeColor="text1"/>
        </w:rPr>
        <w:t>i</w:t>
      </w:r>
      <w:r w:rsidRPr="00482E7D">
        <w:rPr>
          <w:rFonts w:ascii="Arial" w:hAnsi="Arial"/>
          <w:color w:val="000000" w:themeColor="text1"/>
        </w:rPr>
        <w:t xml:space="preserve">ssues </w:t>
      </w:r>
    </w:p>
    <w:p w14:paraId="38DDE79F" w14:textId="77777777" w:rsidR="0067478B" w:rsidRPr="00482E7D" w:rsidRDefault="0067478B" w:rsidP="00B756D3">
      <w:pPr>
        <w:numPr>
          <w:ilvl w:val="0"/>
          <w:numId w:val="18"/>
        </w:numPr>
        <w:tabs>
          <w:tab w:val="clear" w:pos="1440"/>
          <w:tab w:val="num" w:pos="1134"/>
        </w:tabs>
        <w:spacing w:after="60"/>
        <w:ind w:left="1134" w:hanging="567"/>
        <w:rPr>
          <w:rFonts w:ascii="Arial" w:hAnsi="Arial"/>
          <w:color w:val="000000" w:themeColor="text1"/>
        </w:rPr>
      </w:pPr>
      <w:r w:rsidRPr="00482E7D">
        <w:rPr>
          <w:rFonts w:ascii="Arial" w:hAnsi="Arial"/>
          <w:color w:val="000000" w:themeColor="text1"/>
          <w:szCs w:val="24"/>
        </w:rPr>
        <w:t>Annex 1 the decision checklist</w:t>
      </w:r>
    </w:p>
    <w:p w14:paraId="38DDE7A0" w14:textId="27AB15D5" w:rsidR="00C44B7E" w:rsidRPr="00482E7D" w:rsidRDefault="00D04424" w:rsidP="00B756D3">
      <w:pPr>
        <w:numPr>
          <w:ilvl w:val="0"/>
          <w:numId w:val="18"/>
        </w:numPr>
        <w:tabs>
          <w:tab w:val="clear" w:pos="1440"/>
          <w:tab w:val="num" w:pos="1134"/>
        </w:tabs>
        <w:spacing w:after="120"/>
        <w:ind w:left="1134" w:hanging="567"/>
        <w:rPr>
          <w:rFonts w:ascii="Arial" w:hAnsi="Arial"/>
          <w:color w:val="000000" w:themeColor="text1"/>
        </w:rPr>
      </w:pPr>
      <w:r w:rsidRPr="00482E7D">
        <w:rPr>
          <w:rFonts w:ascii="Arial" w:hAnsi="Arial"/>
          <w:color w:val="000000" w:themeColor="text1"/>
          <w:szCs w:val="24"/>
        </w:rPr>
        <w:t xml:space="preserve">Annex 2 the </w:t>
      </w:r>
      <w:r w:rsidR="005D09D0" w:rsidRPr="00482E7D">
        <w:rPr>
          <w:rFonts w:ascii="Arial" w:hAnsi="Arial"/>
          <w:color w:val="000000" w:themeColor="text1"/>
          <w:szCs w:val="24"/>
        </w:rPr>
        <w:t>consultation</w:t>
      </w:r>
      <w:r w:rsidR="00482E7D" w:rsidRPr="00482E7D">
        <w:rPr>
          <w:rFonts w:ascii="Arial" w:hAnsi="Arial"/>
          <w:color w:val="000000" w:themeColor="text1"/>
          <w:szCs w:val="24"/>
        </w:rPr>
        <w:t xml:space="preserve"> </w:t>
      </w:r>
      <w:r w:rsidR="009047F4" w:rsidRPr="00482E7D">
        <w:rPr>
          <w:rFonts w:ascii="Arial" w:hAnsi="Arial"/>
          <w:color w:val="000000" w:themeColor="text1"/>
          <w:szCs w:val="24"/>
        </w:rPr>
        <w:t>responses</w:t>
      </w:r>
    </w:p>
    <w:p w14:paraId="38DDE7A1" w14:textId="77777777" w:rsidR="003546B3" w:rsidRPr="00482E7D" w:rsidRDefault="003546B3" w:rsidP="003546B3">
      <w:pPr>
        <w:pStyle w:val="Heading1"/>
        <w:jc w:val="left"/>
        <w:rPr>
          <w:color w:val="000000" w:themeColor="text1"/>
          <w:szCs w:val="28"/>
        </w:rPr>
      </w:pPr>
      <w:r w:rsidRPr="00482E7D">
        <w:rPr>
          <w:color w:val="000000" w:themeColor="text1"/>
          <w:szCs w:val="28"/>
        </w:rPr>
        <w:t xml:space="preserve">Key issues of the decision </w:t>
      </w:r>
    </w:p>
    <w:p w14:paraId="03EB3795" w14:textId="7DE92B6C" w:rsidR="00482E7D" w:rsidRDefault="00482E7D" w:rsidP="00C17CF9">
      <w:pPr>
        <w:spacing w:after="120"/>
        <w:rPr>
          <w:rFonts w:ascii="Arial" w:hAnsi="Arial"/>
          <w:color w:val="000000" w:themeColor="text1"/>
        </w:rPr>
      </w:pPr>
      <w:r>
        <w:rPr>
          <w:rFonts w:ascii="Arial" w:hAnsi="Arial"/>
          <w:color w:val="000000" w:themeColor="text1"/>
        </w:rPr>
        <w:t xml:space="preserve">The operator amended their waste recovery plan to increase the total amount to be deposited. This </w:t>
      </w:r>
      <w:r w:rsidR="00161B57">
        <w:rPr>
          <w:rFonts w:ascii="Arial" w:hAnsi="Arial"/>
          <w:color w:val="000000" w:themeColor="text1"/>
        </w:rPr>
        <w:t>amendment</w:t>
      </w:r>
      <w:r>
        <w:rPr>
          <w:rFonts w:ascii="Arial" w:hAnsi="Arial"/>
          <w:color w:val="000000" w:themeColor="text1"/>
        </w:rPr>
        <w:t xml:space="preserve"> was due </w:t>
      </w:r>
      <w:r w:rsidRPr="00482E7D">
        <w:rPr>
          <w:rFonts w:ascii="Arial" w:hAnsi="Arial"/>
          <w:color w:val="000000" w:themeColor="text1"/>
        </w:rPr>
        <w:t xml:space="preserve">to a miscalculation in the conversion factor used </w:t>
      </w:r>
      <w:r w:rsidR="00161B57">
        <w:rPr>
          <w:rFonts w:ascii="Arial" w:hAnsi="Arial"/>
          <w:color w:val="000000" w:themeColor="text1"/>
        </w:rPr>
        <w:t xml:space="preserve">for calculating the amount of waste used in tonnages from the </w:t>
      </w:r>
      <w:r w:rsidR="00036E54">
        <w:rPr>
          <w:rFonts w:ascii="Arial" w:hAnsi="Arial"/>
          <w:color w:val="000000" w:themeColor="text1"/>
        </w:rPr>
        <w:t xml:space="preserve">volume </w:t>
      </w:r>
      <w:r w:rsidR="00161B57">
        <w:rPr>
          <w:rFonts w:ascii="Arial" w:hAnsi="Arial"/>
          <w:color w:val="000000" w:themeColor="text1"/>
        </w:rPr>
        <w:t xml:space="preserve">of waste required, </w:t>
      </w:r>
      <w:r>
        <w:rPr>
          <w:rFonts w:ascii="Arial" w:hAnsi="Arial"/>
          <w:color w:val="000000" w:themeColor="text1"/>
        </w:rPr>
        <w:t xml:space="preserve">at the original waste recovery plan assessment. This amendment was agreed </w:t>
      </w:r>
      <w:r w:rsidR="00161B57">
        <w:rPr>
          <w:rFonts w:ascii="Arial" w:hAnsi="Arial"/>
          <w:color w:val="000000" w:themeColor="text1"/>
        </w:rPr>
        <w:t xml:space="preserve">by us </w:t>
      </w:r>
      <w:r>
        <w:rPr>
          <w:rFonts w:ascii="Arial" w:hAnsi="Arial"/>
          <w:color w:val="000000" w:themeColor="text1"/>
        </w:rPr>
        <w:t>at pre-application.</w:t>
      </w:r>
    </w:p>
    <w:p w14:paraId="3D741F44" w14:textId="57563B0D" w:rsidR="00482E7D" w:rsidRDefault="00482E7D" w:rsidP="00C17CF9">
      <w:pPr>
        <w:spacing w:after="120"/>
        <w:rPr>
          <w:rFonts w:ascii="Arial" w:hAnsi="Arial"/>
          <w:color w:val="000000" w:themeColor="text1"/>
        </w:rPr>
      </w:pPr>
      <w:r>
        <w:rPr>
          <w:rFonts w:ascii="Arial" w:hAnsi="Arial"/>
          <w:color w:val="000000" w:themeColor="text1"/>
        </w:rPr>
        <w:t>As a result of the amendment, the total tonnage to be deposited increased from 100,000 tonnes</w:t>
      </w:r>
      <w:r w:rsidR="00161B57">
        <w:rPr>
          <w:rFonts w:ascii="Arial" w:hAnsi="Arial"/>
          <w:color w:val="000000" w:themeColor="text1"/>
        </w:rPr>
        <w:t xml:space="preserve"> to </w:t>
      </w:r>
      <w:r w:rsidR="00161B57" w:rsidRPr="00161B57">
        <w:rPr>
          <w:rFonts w:ascii="Arial" w:hAnsi="Arial"/>
          <w:color w:val="000000" w:themeColor="text1"/>
        </w:rPr>
        <w:t>152,683 tonnes in total</w:t>
      </w:r>
      <w:r>
        <w:rPr>
          <w:rFonts w:ascii="Arial" w:hAnsi="Arial"/>
          <w:color w:val="000000" w:themeColor="text1"/>
        </w:rPr>
        <w:t>. Therefore, the operator could no longer comply with the total amount of waste to be deposited limit of the standard rules permit they held (</w:t>
      </w:r>
      <w:r w:rsidRPr="00482E7D">
        <w:rPr>
          <w:rFonts w:ascii="Arial" w:hAnsi="Arial"/>
          <w:color w:val="000000" w:themeColor="text1"/>
        </w:rPr>
        <w:t>SR2010 No8: Use of waste in construction &lt;100,000 tpa)</w:t>
      </w:r>
      <w:r>
        <w:rPr>
          <w:rFonts w:ascii="Arial" w:hAnsi="Arial"/>
          <w:color w:val="000000" w:themeColor="text1"/>
        </w:rPr>
        <w:t>.</w:t>
      </w:r>
    </w:p>
    <w:p w14:paraId="25E320A2" w14:textId="58163A23" w:rsidR="00482E7D" w:rsidRDefault="00161B57" w:rsidP="00C17CF9">
      <w:pPr>
        <w:spacing w:after="120"/>
        <w:rPr>
          <w:rFonts w:ascii="Arial" w:hAnsi="Arial"/>
          <w:color w:val="000000" w:themeColor="text1"/>
        </w:rPr>
      </w:pPr>
      <w:r>
        <w:rPr>
          <w:rFonts w:ascii="Arial" w:hAnsi="Arial"/>
          <w:color w:val="000000" w:themeColor="text1"/>
        </w:rPr>
        <w:t xml:space="preserve">The operator applied to vary from a standard rules permit to a bespoke permit as a result of this. As part of our decision, we have assessed whether there is any increased risk from the variation. The operator has used the SR2017No1 v2 Generic Risk Assessment (GRA) as the basis of their risk assessment, with the necessary amendments to the total amount to be </w:t>
      </w:r>
      <w:r w:rsidR="00036E54">
        <w:rPr>
          <w:rFonts w:ascii="Arial" w:hAnsi="Arial"/>
          <w:color w:val="000000" w:themeColor="text1"/>
        </w:rPr>
        <w:t>deposited</w:t>
      </w:r>
      <w:r>
        <w:rPr>
          <w:rFonts w:ascii="Arial" w:hAnsi="Arial"/>
          <w:color w:val="000000" w:themeColor="text1"/>
        </w:rPr>
        <w:t xml:space="preserve">. This </w:t>
      </w:r>
      <w:r>
        <w:rPr>
          <w:rFonts w:ascii="Arial" w:hAnsi="Arial"/>
          <w:color w:val="000000" w:themeColor="text1"/>
        </w:rPr>
        <w:lastRenderedPageBreak/>
        <w:t>GRA offers further restrictions than were required under SR</w:t>
      </w:r>
      <w:r w:rsidR="003653EB">
        <w:rPr>
          <w:rFonts w:ascii="Arial" w:hAnsi="Arial"/>
          <w:color w:val="000000" w:themeColor="text1"/>
        </w:rPr>
        <w:t>2010 No8</w:t>
      </w:r>
      <w:r>
        <w:rPr>
          <w:rFonts w:ascii="Arial" w:hAnsi="Arial"/>
          <w:color w:val="000000" w:themeColor="text1"/>
        </w:rPr>
        <w:t xml:space="preserve">. </w:t>
      </w:r>
      <w:r w:rsidR="00036E54">
        <w:rPr>
          <w:rFonts w:ascii="Arial" w:hAnsi="Arial"/>
          <w:color w:val="000000" w:themeColor="text1"/>
        </w:rPr>
        <w:t>Furthermore</w:t>
      </w:r>
      <w:r>
        <w:rPr>
          <w:rFonts w:ascii="Arial" w:hAnsi="Arial"/>
          <w:color w:val="000000" w:themeColor="text1"/>
        </w:rPr>
        <w:t xml:space="preserve">, under the bespoke permit, the total amount of waste that can be </w:t>
      </w:r>
      <w:r w:rsidR="003653EB">
        <w:rPr>
          <w:rFonts w:ascii="Arial" w:hAnsi="Arial"/>
          <w:color w:val="000000" w:themeColor="text1"/>
        </w:rPr>
        <w:t xml:space="preserve">stored and </w:t>
      </w:r>
      <w:r w:rsidR="00036E54">
        <w:rPr>
          <w:rFonts w:ascii="Arial" w:hAnsi="Arial"/>
          <w:color w:val="000000" w:themeColor="text1"/>
        </w:rPr>
        <w:t>subsequently</w:t>
      </w:r>
      <w:r w:rsidR="003653EB">
        <w:rPr>
          <w:rFonts w:ascii="Arial" w:hAnsi="Arial"/>
          <w:color w:val="000000" w:themeColor="text1"/>
        </w:rPr>
        <w:t xml:space="preserve"> deposited </w:t>
      </w:r>
      <w:r>
        <w:rPr>
          <w:rFonts w:ascii="Arial" w:hAnsi="Arial"/>
          <w:color w:val="000000" w:themeColor="text1"/>
        </w:rPr>
        <w:t>annually has been reduced to 20,000 ton</w:t>
      </w:r>
      <w:r w:rsidR="003653EB">
        <w:rPr>
          <w:rFonts w:ascii="Arial" w:hAnsi="Arial"/>
          <w:color w:val="000000" w:themeColor="text1"/>
        </w:rPr>
        <w:t xml:space="preserve">nes per annum. </w:t>
      </w:r>
      <w:r w:rsidR="00036E54">
        <w:rPr>
          <w:rFonts w:ascii="Arial" w:hAnsi="Arial"/>
          <w:color w:val="000000" w:themeColor="text1"/>
        </w:rPr>
        <w:t>Therefore,</w:t>
      </w:r>
      <w:r w:rsidR="003653EB">
        <w:rPr>
          <w:rFonts w:ascii="Arial" w:hAnsi="Arial"/>
          <w:color w:val="000000" w:themeColor="text1"/>
        </w:rPr>
        <w:t xml:space="preserve"> we have decided that there is no additional risk posed from this </w:t>
      </w:r>
      <w:r w:rsidR="00036E54">
        <w:rPr>
          <w:rFonts w:ascii="Arial" w:hAnsi="Arial"/>
          <w:color w:val="000000" w:themeColor="text1"/>
        </w:rPr>
        <w:t>variation</w:t>
      </w:r>
      <w:r w:rsidR="003653EB">
        <w:rPr>
          <w:rFonts w:ascii="Arial" w:hAnsi="Arial"/>
          <w:color w:val="000000" w:themeColor="text1"/>
        </w:rPr>
        <w:t>.</w:t>
      </w:r>
    </w:p>
    <w:p w14:paraId="6168F3E7" w14:textId="77777777" w:rsidR="00482E7D" w:rsidRDefault="00482E7D" w:rsidP="00C17CF9">
      <w:pPr>
        <w:spacing w:after="120"/>
        <w:rPr>
          <w:rFonts w:ascii="Arial" w:hAnsi="Arial"/>
          <w:color w:val="000000" w:themeColor="text1"/>
        </w:rPr>
      </w:pPr>
    </w:p>
    <w:p w14:paraId="6462FA97" w14:textId="77777777" w:rsidR="00467A93" w:rsidRDefault="00467A93" w:rsidP="00C17CF9">
      <w:pPr>
        <w:spacing w:after="120"/>
        <w:rPr>
          <w:rFonts w:ascii="Arial" w:hAnsi="Arial"/>
          <w:b/>
          <w:color w:val="FF00FF"/>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09D69E5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0143FF9F" w:rsidR="00F42026" w:rsidRPr="00A217E9" w:rsidRDefault="00F42026" w:rsidP="007C0DCA">
            <w:pPr>
              <w:pStyle w:val="Heading3"/>
              <w:spacing w:before="60"/>
              <w:rPr>
                <w:rFonts w:ascii="Arial" w:hAnsi="Arial" w:cs="Arial"/>
                <w:b w:val="0"/>
                <w:color w:val="000000" w:themeColor="text1"/>
                <w:szCs w:val="24"/>
                <w:highlight w:val="red"/>
              </w:rPr>
            </w:pPr>
            <w:r w:rsidRPr="00A217E9">
              <w:rPr>
                <w:rFonts w:ascii="Arial" w:hAnsi="Arial" w:cs="Arial"/>
                <w:b w:val="0"/>
                <w:color w:val="000000" w:themeColor="text1"/>
                <w:szCs w:val="24"/>
              </w:rPr>
              <w:t>Responses to consultation</w:t>
            </w:r>
          </w:p>
        </w:tc>
        <w:tc>
          <w:tcPr>
            <w:tcW w:w="6242" w:type="dxa"/>
            <w:tcBorders>
              <w:bottom w:val="single" w:sz="4" w:space="0" w:color="auto"/>
            </w:tcBorders>
          </w:tcPr>
          <w:p w14:paraId="38DDE7D8" w14:textId="3FCE9447" w:rsidR="00F42026" w:rsidRPr="00A217E9" w:rsidRDefault="00F42026" w:rsidP="007C0DCA">
            <w:pPr>
              <w:spacing w:before="60"/>
              <w:rPr>
                <w:rFonts w:ascii="Arial" w:hAnsi="Arial" w:cs="Arial"/>
                <w:color w:val="000000" w:themeColor="text1"/>
                <w:szCs w:val="24"/>
              </w:rPr>
            </w:pPr>
            <w:r w:rsidRPr="00A217E9">
              <w:rPr>
                <w:rFonts w:ascii="Arial" w:hAnsi="Arial" w:cs="Arial"/>
                <w:color w:val="000000" w:themeColor="text1"/>
                <w:szCs w:val="24"/>
              </w:rPr>
              <w:t>The consultation responses</w:t>
            </w:r>
            <w:r w:rsidR="00AC5DE6" w:rsidRPr="00A217E9">
              <w:rPr>
                <w:rFonts w:ascii="Arial" w:hAnsi="Arial" w:cs="Arial"/>
                <w:color w:val="000000" w:themeColor="text1"/>
                <w:szCs w:val="24"/>
              </w:rPr>
              <w:t xml:space="preserve"> </w:t>
            </w:r>
            <w:r w:rsidRPr="00A217E9">
              <w:rPr>
                <w:rFonts w:ascii="Arial" w:hAnsi="Arial" w:cs="Arial"/>
                <w:color w:val="000000" w:themeColor="text1"/>
                <w:szCs w:val="24"/>
              </w:rPr>
              <w:t xml:space="preserve">(Annex 2) were taken into account in the decision.  </w:t>
            </w:r>
          </w:p>
          <w:p w14:paraId="38DDE7D9" w14:textId="77777777" w:rsidR="00F42026" w:rsidRPr="00A217E9" w:rsidRDefault="00F42026" w:rsidP="007C0DCA">
            <w:pPr>
              <w:spacing w:before="60"/>
              <w:rPr>
                <w:rFonts w:ascii="Arial" w:hAnsi="Arial" w:cs="Arial"/>
                <w:color w:val="000000" w:themeColor="text1"/>
                <w:szCs w:val="24"/>
              </w:rPr>
            </w:pPr>
          </w:p>
          <w:p w14:paraId="38DDE7DA" w14:textId="77777777" w:rsidR="00F42026" w:rsidRPr="00A217E9" w:rsidRDefault="00F42026" w:rsidP="007C0DCA">
            <w:pPr>
              <w:spacing w:before="60"/>
              <w:rPr>
                <w:rFonts w:ascii="Arial" w:hAnsi="Arial" w:cs="Arial"/>
                <w:color w:val="000000" w:themeColor="text1"/>
                <w:szCs w:val="24"/>
              </w:rPr>
            </w:pPr>
            <w:r w:rsidRPr="00A217E9">
              <w:rPr>
                <w:rFonts w:ascii="Arial" w:hAnsi="Arial" w:cs="Arial"/>
                <w:color w:val="000000" w:themeColor="text1"/>
                <w:szCs w:val="24"/>
              </w:rPr>
              <w:t xml:space="preserve">The decision was taken in accordance with our guidance. </w:t>
            </w:r>
          </w:p>
          <w:p w14:paraId="38DDE7DB" w14:textId="77777777" w:rsidR="00A656E7" w:rsidRPr="00A217E9" w:rsidRDefault="00A656E7" w:rsidP="007C0DCA">
            <w:pPr>
              <w:spacing w:before="60"/>
              <w:rPr>
                <w:rFonts w:ascii="Arial" w:hAnsi="Arial" w:cs="Arial"/>
                <w:color w:val="000000" w:themeColor="text1"/>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39B49EBF"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6" w14:textId="1A850BD6" w:rsidR="00685F82" w:rsidRPr="00FC145A" w:rsidRDefault="00F42026" w:rsidP="00685F82">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7C0DCA">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5F04239" w:rsidR="006B5D0B" w:rsidRDefault="006B5D0B" w:rsidP="00FC145A">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5959134"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FC145A">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FC145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0" w14:textId="77777777" w:rsidTr="00880F75">
        <w:tc>
          <w:tcPr>
            <w:tcW w:w="1980" w:type="dxa"/>
            <w:gridSpan w:val="2"/>
          </w:tcPr>
          <w:p w14:paraId="38DDE82C"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Deposit for recovery</w:t>
            </w:r>
          </w:p>
          <w:p w14:paraId="38DDE82D" w14:textId="08438AD5" w:rsidR="00F42026" w:rsidRPr="00DA70FE" w:rsidRDefault="00F42026" w:rsidP="007C0DCA">
            <w:pPr>
              <w:spacing w:before="60"/>
              <w:rPr>
                <w:rFonts w:ascii="Arial" w:hAnsi="Arial" w:cs="Arial"/>
                <w:color w:val="FF00FF"/>
                <w:szCs w:val="24"/>
              </w:rPr>
            </w:pPr>
          </w:p>
        </w:tc>
        <w:tc>
          <w:tcPr>
            <w:tcW w:w="6242" w:type="dxa"/>
          </w:tcPr>
          <w:p w14:paraId="38DDE82E"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We have agreed that the activity is deposit of waste for recovery.</w:t>
            </w:r>
            <w:bookmarkStart w:id="2" w:name="_GoBack"/>
            <w:bookmarkEnd w:id="2"/>
          </w:p>
        </w:tc>
        <w:tc>
          <w:tcPr>
            <w:tcW w:w="1135" w:type="dxa"/>
            <w:gridSpan w:val="2"/>
          </w:tcPr>
          <w:p w14:paraId="38DDE82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4D68226A"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9F521C" w:rsidRDefault="00F42026" w:rsidP="007C0DCA">
            <w:pPr>
              <w:spacing w:before="60"/>
              <w:rPr>
                <w:rFonts w:ascii="Arial" w:hAnsi="Arial" w:cs="Arial"/>
                <w:color w:val="000000" w:themeColor="text1"/>
                <w:szCs w:val="24"/>
              </w:rPr>
            </w:pPr>
            <w:r w:rsidRPr="009F521C">
              <w:rPr>
                <w:rFonts w:ascii="Arial" w:hAnsi="Arial" w:cs="Arial"/>
                <w:color w:val="000000" w:themeColor="text1"/>
                <w:szCs w:val="24"/>
              </w:rPr>
              <w:t xml:space="preserve">The operator’s risk assessment is satisfactory. </w:t>
            </w:r>
          </w:p>
          <w:p w14:paraId="38DDE855" w14:textId="77777777" w:rsidR="00A656E7" w:rsidRPr="00DA70FE" w:rsidRDefault="00A656E7" w:rsidP="009F521C">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765ACC" w:rsidRDefault="00F42026" w:rsidP="007C0DCA">
            <w:pPr>
              <w:spacing w:before="60"/>
              <w:rPr>
                <w:rFonts w:ascii="Arial" w:hAnsi="Arial" w:cs="Arial"/>
                <w:color w:val="000000" w:themeColor="text1"/>
                <w:szCs w:val="24"/>
              </w:rPr>
            </w:pPr>
            <w:r w:rsidRPr="00765ACC">
              <w:rPr>
                <w:rFonts w:ascii="Arial" w:hAnsi="Arial" w:cs="Arial"/>
                <w:color w:val="000000" w:themeColor="text1"/>
                <w:szCs w:val="24"/>
              </w:rPr>
              <w:t>Operating techniques</w:t>
            </w:r>
          </w:p>
        </w:tc>
        <w:tc>
          <w:tcPr>
            <w:tcW w:w="6242" w:type="dxa"/>
          </w:tcPr>
          <w:p w14:paraId="38DDE866" w14:textId="77777777" w:rsidR="00F42026" w:rsidRPr="00765ACC" w:rsidRDefault="00F42026" w:rsidP="007C0DCA">
            <w:pPr>
              <w:pStyle w:val="BodyText"/>
              <w:spacing w:before="60"/>
              <w:rPr>
                <w:rFonts w:ascii="Arial" w:hAnsi="Arial" w:cs="Arial"/>
                <w:color w:val="000000" w:themeColor="text1"/>
                <w:szCs w:val="24"/>
              </w:rPr>
            </w:pPr>
            <w:r w:rsidRPr="00765ACC">
              <w:rPr>
                <w:rFonts w:ascii="Arial" w:hAnsi="Arial" w:cs="Arial"/>
                <w:color w:val="000000" w:themeColor="text1"/>
                <w:szCs w:val="24"/>
              </w:rPr>
              <w:t xml:space="preserve">We have reviewed the techniques used by the operator and compared these with the relevant guidance notes. </w:t>
            </w:r>
          </w:p>
          <w:p w14:paraId="10F616FC" w14:textId="5DD54B9F" w:rsidR="00765ACC" w:rsidRPr="00765ACC" w:rsidRDefault="00765ACC" w:rsidP="00765ACC">
            <w:pPr>
              <w:pStyle w:val="BodyText"/>
              <w:spacing w:before="60"/>
              <w:rPr>
                <w:rFonts w:ascii="Arial" w:hAnsi="Arial" w:cs="Arial"/>
                <w:color w:val="000000" w:themeColor="text1"/>
                <w:szCs w:val="24"/>
              </w:rPr>
            </w:pPr>
            <w:r w:rsidRPr="00765ACC">
              <w:rPr>
                <w:rFonts w:ascii="Arial" w:hAnsi="Arial" w:cs="Arial"/>
                <w:color w:val="000000" w:themeColor="text1"/>
                <w:szCs w:val="24"/>
              </w:rPr>
              <w:t>The operator has identified appropriate measures, as set</w:t>
            </w:r>
            <w:r w:rsidR="00D3103C">
              <w:rPr>
                <w:rFonts w:ascii="Arial" w:hAnsi="Arial" w:cs="Arial"/>
                <w:color w:val="000000" w:themeColor="text1"/>
                <w:szCs w:val="24"/>
              </w:rPr>
              <w:t xml:space="preserve"> </w:t>
            </w:r>
            <w:r w:rsidRPr="00765ACC">
              <w:rPr>
                <w:rFonts w:ascii="Arial" w:hAnsi="Arial" w:cs="Arial"/>
                <w:color w:val="000000" w:themeColor="text1"/>
                <w:szCs w:val="24"/>
              </w:rPr>
              <w:t>out in the relevant technical guidance note for waste</w:t>
            </w:r>
          </w:p>
          <w:p w14:paraId="38DDE874" w14:textId="4BDC7C4A" w:rsidR="00A656E7" w:rsidRPr="00765ACC" w:rsidRDefault="00765ACC" w:rsidP="00765ACC">
            <w:pPr>
              <w:pStyle w:val="BodyText"/>
              <w:rPr>
                <w:rFonts w:ascii="Arial" w:hAnsi="Arial" w:cs="Arial"/>
                <w:color w:val="000000" w:themeColor="text1"/>
                <w:szCs w:val="24"/>
              </w:rPr>
            </w:pPr>
            <w:r w:rsidRPr="00765ACC">
              <w:rPr>
                <w:rFonts w:ascii="Arial" w:hAnsi="Arial" w:cs="Arial"/>
                <w:color w:val="000000" w:themeColor="text1"/>
                <w:szCs w:val="24"/>
              </w:rPr>
              <w:t>activities; ‘How to comply with your environmental permit’.</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14CB759F" w:rsidR="006B5264" w:rsidRPr="00DA70FE" w:rsidRDefault="006B5264" w:rsidP="007C0DCA">
            <w:pPr>
              <w:spacing w:before="60"/>
              <w:rPr>
                <w:rFonts w:ascii="Arial" w:hAnsi="Arial" w:cs="Arial"/>
                <w:color w:val="FF00FF"/>
                <w:szCs w:val="24"/>
              </w:rPr>
            </w:pPr>
          </w:p>
        </w:tc>
        <w:tc>
          <w:tcPr>
            <w:tcW w:w="6242" w:type="dxa"/>
          </w:tcPr>
          <w:p w14:paraId="38DDE87B" w14:textId="77777777"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DA70FE" w:rsidRDefault="0093480F" w:rsidP="007C0DCA">
            <w:pPr>
              <w:spacing w:before="60"/>
              <w:rPr>
                <w:rFonts w:ascii="Arial" w:hAnsi="Arial" w:cs="Arial"/>
                <w:color w:val="000000"/>
                <w:szCs w:val="24"/>
              </w:rPr>
            </w:pPr>
          </w:p>
          <w:p w14:paraId="38DDE87D" w14:textId="77777777" w:rsidR="0093480F" w:rsidRPr="00FC145A" w:rsidRDefault="0093480F" w:rsidP="007C0DCA">
            <w:pPr>
              <w:spacing w:before="60"/>
              <w:rPr>
                <w:rFonts w:ascii="Arial" w:hAnsi="Arial" w:cs="Arial"/>
                <w:color w:val="000000" w:themeColor="text1"/>
                <w:szCs w:val="24"/>
              </w:rPr>
            </w:pPr>
            <w:r w:rsidRPr="00FC145A">
              <w:rPr>
                <w:rFonts w:ascii="Arial" w:hAnsi="Arial" w:cs="Arial"/>
                <w:color w:val="000000" w:themeColor="text1"/>
                <w:szCs w:val="24"/>
              </w:rPr>
              <w:t>The operator has agreed that the new conditions are acceptable</w:t>
            </w:r>
            <w:r w:rsidR="006B5264" w:rsidRPr="00FC145A">
              <w:rPr>
                <w:rFonts w:ascii="Arial" w:hAnsi="Arial" w:cs="Arial"/>
                <w:color w:val="000000" w:themeColor="text1"/>
                <w:szCs w:val="24"/>
              </w:rPr>
              <w:t>.</w:t>
            </w:r>
          </w:p>
          <w:p w14:paraId="38DDE87F" w14:textId="77777777" w:rsidR="006B5264" w:rsidRPr="00DA70FE" w:rsidRDefault="006B5264" w:rsidP="00FC145A">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24A149B2" w:rsidR="00F42026" w:rsidRPr="00DA70FE" w:rsidRDefault="00F42026" w:rsidP="007C0DCA">
            <w:pPr>
              <w:spacing w:before="60"/>
              <w:rPr>
                <w:rFonts w:ascii="Arial" w:hAnsi="Arial" w:cs="Arial"/>
                <w:color w:val="FF00FF"/>
                <w:szCs w:val="24"/>
              </w:rPr>
            </w:pPr>
          </w:p>
        </w:tc>
        <w:tc>
          <w:tcPr>
            <w:tcW w:w="6242" w:type="dxa"/>
          </w:tcPr>
          <w:p w14:paraId="38DDE8A3" w14:textId="4D72FB3B" w:rsidR="00F42026" w:rsidRPr="00A217E9"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6A68574C" w14:textId="77777777" w:rsidR="00A217E9" w:rsidRPr="00A217E9" w:rsidRDefault="00A217E9" w:rsidP="00A217E9">
            <w:pPr>
              <w:spacing w:before="60"/>
              <w:rPr>
                <w:rFonts w:ascii="Arial" w:hAnsi="Arial" w:cs="Arial"/>
                <w:color w:val="000000" w:themeColor="text1"/>
                <w:szCs w:val="24"/>
              </w:rPr>
            </w:pPr>
            <w:r w:rsidRPr="00A217E9">
              <w:rPr>
                <w:rFonts w:ascii="Arial" w:hAnsi="Arial" w:cs="Arial"/>
                <w:color w:val="000000" w:themeColor="text1"/>
                <w:szCs w:val="24"/>
              </w:rPr>
              <w:t>We are satisfied that the operator can accept these wastes for the following reasons</w:t>
            </w:r>
          </w:p>
          <w:p w14:paraId="3FE9E2A4" w14:textId="038C8C30" w:rsidR="00A217E9" w:rsidRPr="00A217E9" w:rsidRDefault="00A217E9" w:rsidP="00A217E9">
            <w:pPr>
              <w:pStyle w:val="ListParagraph"/>
              <w:numPr>
                <w:ilvl w:val="0"/>
                <w:numId w:val="24"/>
              </w:numPr>
              <w:spacing w:before="60"/>
              <w:rPr>
                <w:rFonts w:ascii="Arial" w:hAnsi="Arial" w:cs="Arial"/>
                <w:color w:val="000000" w:themeColor="text1"/>
                <w:szCs w:val="24"/>
              </w:rPr>
            </w:pPr>
            <w:r w:rsidRPr="00A217E9">
              <w:rPr>
                <w:rFonts w:ascii="Arial" w:hAnsi="Arial" w:cs="Arial"/>
                <w:color w:val="000000" w:themeColor="text1"/>
                <w:szCs w:val="24"/>
              </w:rPr>
              <w:t>the proposed waste types are suitable for the nature of the permitted activity</w:t>
            </w:r>
          </w:p>
          <w:p w14:paraId="0AA873DD" w14:textId="2C0F4E9F" w:rsidR="00A217E9" w:rsidRPr="00A217E9" w:rsidRDefault="00A217E9" w:rsidP="00A217E9">
            <w:pPr>
              <w:pStyle w:val="ListParagraph"/>
              <w:numPr>
                <w:ilvl w:val="0"/>
                <w:numId w:val="24"/>
              </w:numPr>
              <w:spacing w:before="60"/>
              <w:rPr>
                <w:rFonts w:ascii="Arial" w:hAnsi="Arial" w:cs="Arial"/>
                <w:color w:val="000000" w:themeColor="text1"/>
                <w:szCs w:val="24"/>
              </w:rPr>
            </w:pPr>
            <w:r w:rsidRPr="00A217E9">
              <w:rPr>
                <w:rFonts w:ascii="Arial" w:hAnsi="Arial" w:cs="Arial"/>
                <w:color w:val="000000" w:themeColor="text1"/>
                <w:szCs w:val="24"/>
              </w:rPr>
              <w:t>appropriate measures for acceptance, storage and processing have been included in the permit and identified by the operator</w:t>
            </w:r>
          </w:p>
          <w:p w14:paraId="7B71A74B" w14:textId="408F5E9B" w:rsidR="00A217E9" w:rsidRPr="00A217E9" w:rsidRDefault="00A217E9" w:rsidP="00A217E9">
            <w:pPr>
              <w:pStyle w:val="ListParagraph"/>
              <w:numPr>
                <w:ilvl w:val="0"/>
                <w:numId w:val="24"/>
              </w:numPr>
              <w:spacing w:before="60"/>
              <w:rPr>
                <w:rFonts w:ascii="Arial" w:hAnsi="Arial" w:cs="Arial"/>
                <w:color w:val="000000" w:themeColor="text1"/>
                <w:szCs w:val="24"/>
              </w:rPr>
            </w:pPr>
            <w:r w:rsidRPr="00A217E9">
              <w:rPr>
                <w:rFonts w:ascii="Arial" w:hAnsi="Arial" w:cs="Arial"/>
                <w:color w:val="000000" w:themeColor="text1"/>
                <w:szCs w:val="24"/>
              </w:rPr>
              <w:t>the appropriate measures are in place to prevent fugitive emissions</w:t>
            </w:r>
          </w:p>
          <w:p w14:paraId="522BE96C" w14:textId="77777777" w:rsidR="00A217E9" w:rsidRPr="00A217E9" w:rsidRDefault="00A217E9" w:rsidP="00A217E9">
            <w:pPr>
              <w:spacing w:before="60"/>
              <w:rPr>
                <w:rFonts w:ascii="Arial" w:hAnsi="Arial" w:cs="Arial"/>
                <w:color w:val="000000" w:themeColor="text1"/>
                <w:szCs w:val="24"/>
              </w:rPr>
            </w:pPr>
            <w:r w:rsidRPr="00A217E9">
              <w:rPr>
                <w:rFonts w:ascii="Arial" w:hAnsi="Arial" w:cs="Arial"/>
                <w:color w:val="000000" w:themeColor="text1"/>
                <w:szCs w:val="24"/>
              </w:rPr>
              <w:t>We have excluded the following wastes for the following reasons</w:t>
            </w:r>
          </w:p>
          <w:p w14:paraId="644BB0A1" w14:textId="77777777" w:rsidR="00A656E7" w:rsidRPr="00A217E9" w:rsidRDefault="00A217E9" w:rsidP="00A217E9">
            <w:pPr>
              <w:spacing w:before="60"/>
              <w:rPr>
                <w:rFonts w:ascii="Arial" w:hAnsi="Arial" w:cs="Arial"/>
                <w:color w:val="000000" w:themeColor="text1"/>
                <w:szCs w:val="24"/>
              </w:rPr>
            </w:pPr>
            <w:r w:rsidRPr="00A217E9">
              <w:rPr>
                <w:rFonts w:ascii="Arial" w:hAnsi="Arial" w:cs="Arial"/>
                <w:color w:val="000000" w:themeColor="text1"/>
                <w:szCs w:val="24"/>
              </w:rPr>
              <w:t>We have excluded the following wastes:</w:t>
            </w:r>
          </w:p>
          <w:p w14:paraId="699ED508" w14:textId="77777777" w:rsidR="00A217E9" w:rsidRDefault="00A217E9" w:rsidP="00A217E9">
            <w:pPr>
              <w:spacing w:before="60"/>
              <w:rPr>
                <w:rFonts w:ascii="Arial" w:hAnsi="Arial" w:cs="Arial"/>
                <w:color w:val="FF0000"/>
                <w:szCs w:val="24"/>
              </w:rPr>
            </w:pPr>
          </w:p>
          <w:p w14:paraId="685600AC" w14:textId="77777777" w:rsidR="00A217E9" w:rsidRDefault="00A217E9" w:rsidP="00A217E9">
            <w:pPr>
              <w:pStyle w:val="Default"/>
              <w:rPr>
                <w:color w:val="auto"/>
              </w:rPr>
            </w:pPr>
          </w:p>
          <w:p w14:paraId="4664C27E" w14:textId="77777777" w:rsidR="00A217E9" w:rsidRDefault="00A217E9" w:rsidP="00A217E9">
            <w:pPr>
              <w:pStyle w:val="Default"/>
              <w:numPr>
                <w:ilvl w:val="0"/>
                <w:numId w:val="22"/>
              </w:numPr>
              <w:rPr>
                <w:sz w:val="23"/>
                <w:szCs w:val="23"/>
              </w:rPr>
            </w:pPr>
            <w:r>
              <w:rPr>
                <w:sz w:val="23"/>
                <w:szCs w:val="23"/>
              </w:rPr>
              <w:lastRenderedPageBreak/>
              <w:t xml:space="preserve">consisting solely or mainly of dusts, powders or loose fibres </w:t>
            </w:r>
          </w:p>
          <w:p w14:paraId="228626DB" w14:textId="5A34F897" w:rsidR="00A217E9" w:rsidRDefault="00A217E9" w:rsidP="00A217E9">
            <w:pPr>
              <w:pStyle w:val="Default"/>
              <w:numPr>
                <w:ilvl w:val="0"/>
                <w:numId w:val="22"/>
              </w:numPr>
              <w:rPr>
                <w:sz w:val="23"/>
                <w:szCs w:val="23"/>
              </w:rPr>
            </w:pPr>
            <w:r>
              <w:rPr>
                <w:sz w:val="23"/>
                <w:szCs w:val="23"/>
              </w:rPr>
              <w:t xml:space="preserve">sludges </w:t>
            </w:r>
          </w:p>
          <w:p w14:paraId="0F8D5330" w14:textId="3D31B0D1" w:rsidR="00A217E9" w:rsidRDefault="00A217E9" w:rsidP="00A217E9">
            <w:pPr>
              <w:pStyle w:val="Default"/>
              <w:numPr>
                <w:ilvl w:val="0"/>
                <w:numId w:val="22"/>
              </w:numPr>
              <w:rPr>
                <w:sz w:val="23"/>
                <w:szCs w:val="23"/>
              </w:rPr>
            </w:pPr>
            <w:r>
              <w:rPr>
                <w:sz w:val="23"/>
                <w:szCs w:val="23"/>
              </w:rPr>
              <w:t xml:space="preserve">hazardous waste </w:t>
            </w:r>
          </w:p>
          <w:p w14:paraId="3BBD11AF" w14:textId="77777777" w:rsidR="00A217E9" w:rsidRDefault="00A217E9" w:rsidP="00A217E9">
            <w:pPr>
              <w:pStyle w:val="Default"/>
              <w:rPr>
                <w:sz w:val="23"/>
                <w:szCs w:val="23"/>
              </w:rPr>
            </w:pPr>
          </w:p>
          <w:p w14:paraId="5F5C37B8" w14:textId="1D79B175" w:rsidR="00A217E9" w:rsidRDefault="00A217E9" w:rsidP="00A217E9">
            <w:pPr>
              <w:pStyle w:val="Default"/>
              <w:rPr>
                <w:sz w:val="23"/>
                <w:szCs w:val="23"/>
              </w:rPr>
            </w:pPr>
            <w:r>
              <w:rPr>
                <w:sz w:val="23"/>
                <w:szCs w:val="23"/>
              </w:rPr>
              <w:t xml:space="preserve">to ensure risk from the activity is contained and that measures used on site remain appropriate for the permitted activity. </w:t>
            </w:r>
          </w:p>
          <w:p w14:paraId="60999DF5" w14:textId="77777777" w:rsidR="00A217E9" w:rsidRDefault="00A217E9" w:rsidP="00A217E9">
            <w:pPr>
              <w:pStyle w:val="Default"/>
              <w:rPr>
                <w:sz w:val="23"/>
                <w:szCs w:val="23"/>
              </w:rPr>
            </w:pPr>
          </w:p>
          <w:p w14:paraId="38DDE8A9" w14:textId="79FF66C8" w:rsidR="00A217E9" w:rsidRPr="00A217E9" w:rsidRDefault="00A217E9" w:rsidP="00A217E9">
            <w:pPr>
              <w:spacing w:before="60"/>
              <w:rPr>
                <w:rFonts w:ascii="Arial" w:hAnsi="Arial" w:cs="Arial"/>
                <w:color w:val="FF00FF"/>
                <w:szCs w:val="24"/>
              </w:rPr>
            </w:pPr>
            <w:r w:rsidRPr="00A217E9">
              <w:rPr>
                <w:rFonts w:ascii="Arial" w:hAnsi="Arial" w:cs="Arial"/>
                <w:szCs w:val="23"/>
              </w:rPr>
              <w:t xml:space="preserve">We made these decisions with respect to waste types in accordance with waste facility technical guidance note ‘How to comply with your environmental permit’ and after full assessment of the risk controls used on site </w:t>
            </w: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7289B947" w:rsidR="00A656E7" w:rsidRPr="00DA70FE" w:rsidRDefault="00F42026" w:rsidP="00A217E9">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Financial provision</w:t>
            </w:r>
          </w:p>
          <w:p w14:paraId="38DDE91D" w14:textId="7E1F2F8D"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2C095C1B" w:rsidR="0093480F" w:rsidRPr="00DA70FE" w:rsidRDefault="0093480F" w:rsidP="00324C80">
            <w:pPr>
              <w:pStyle w:val="BodyText"/>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583BDB5F" w:rsidR="00C44B7E" w:rsidRPr="00FC145A" w:rsidRDefault="006765AE" w:rsidP="001500A3">
      <w:pPr>
        <w:pStyle w:val="Heading1"/>
        <w:jc w:val="left"/>
        <w:rPr>
          <w:color w:val="000000" w:themeColor="text1"/>
          <w:sz w:val="24"/>
        </w:rPr>
      </w:pPr>
      <w:r>
        <w:br w:type="page"/>
      </w:r>
      <w:r w:rsidR="00591E64" w:rsidRPr="00FC145A">
        <w:rPr>
          <w:color w:val="000000" w:themeColor="text1"/>
          <w:sz w:val="24"/>
        </w:rPr>
        <w:lastRenderedPageBreak/>
        <w:t xml:space="preserve">Annex </w:t>
      </w:r>
      <w:r w:rsidR="00F37C15" w:rsidRPr="00FC145A">
        <w:rPr>
          <w:color w:val="000000" w:themeColor="text1"/>
          <w:sz w:val="24"/>
        </w:rPr>
        <w:t>2:</w:t>
      </w:r>
      <w:r w:rsidR="00C44B7E" w:rsidRPr="00FC145A">
        <w:rPr>
          <w:color w:val="000000" w:themeColor="text1"/>
          <w:sz w:val="24"/>
        </w:rPr>
        <w:t xml:space="preserve"> </w:t>
      </w:r>
      <w:r w:rsidR="001A47AE" w:rsidRPr="00FC145A">
        <w:rPr>
          <w:color w:val="000000" w:themeColor="text1"/>
          <w:sz w:val="24"/>
        </w:rPr>
        <w:t>C</w:t>
      </w:r>
      <w:r w:rsidR="00591E64" w:rsidRPr="00FC145A">
        <w:rPr>
          <w:color w:val="000000" w:themeColor="text1"/>
          <w:sz w:val="24"/>
        </w:rPr>
        <w:t>onsultation</w:t>
      </w:r>
      <w:r w:rsidR="00FC145A" w:rsidRPr="00FC145A">
        <w:rPr>
          <w:color w:val="000000" w:themeColor="text1"/>
          <w:sz w:val="24"/>
        </w:rPr>
        <w:t xml:space="preserve"> </w:t>
      </w:r>
      <w:r w:rsidR="00591E64" w:rsidRPr="00FC145A">
        <w:rPr>
          <w:color w:val="000000" w:themeColor="text1"/>
          <w:sz w:val="24"/>
        </w:rPr>
        <w:t xml:space="preserve">responses </w:t>
      </w:r>
    </w:p>
    <w:p w14:paraId="38DDE926" w14:textId="77777777" w:rsidR="00C44B7E" w:rsidRPr="00FC145A" w:rsidRDefault="00C44B7E">
      <w:pPr>
        <w:pStyle w:val="Footer"/>
        <w:tabs>
          <w:tab w:val="clear" w:pos="4153"/>
          <w:tab w:val="clear" w:pos="8306"/>
        </w:tabs>
        <w:rPr>
          <w:rFonts w:ascii="Arial" w:hAnsi="Arial"/>
          <w:color w:val="000000" w:themeColor="text1"/>
        </w:rPr>
      </w:pPr>
    </w:p>
    <w:p w14:paraId="38DDE927" w14:textId="18FFB240" w:rsidR="00C44B7E" w:rsidRPr="00FC145A" w:rsidRDefault="00C44B7E">
      <w:pPr>
        <w:rPr>
          <w:rFonts w:ascii="Arial" w:hAnsi="Arial"/>
          <w:color w:val="000000" w:themeColor="text1"/>
        </w:rPr>
      </w:pPr>
      <w:r w:rsidRPr="00FC145A">
        <w:rPr>
          <w:rFonts w:ascii="Arial" w:hAnsi="Arial"/>
          <w:color w:val="000000" w:themeColor="text1"/>
        </w:rPr>
        <w:t xml:space="preserve">Summary of responses to </w:t>
      </w:r>
      <w:r w:rsidR="00DF13FA" w:rsidRPr="00FC145A">
        <w:rPr>
          <w:rFonts w:ascii="Arial" w:hAnsi="Arial"/>
          <w:color w:val="000000" w:themeColor="text1"/>
        </w:rPr>
        <w:t>c</w:t>
      </w:r>
      <w:r w:rsidRPr="00FC145A">
        <w:rPr>
          <w:rFonts w:ascii="Arial" w:hAnsi="Arial"/>
          <w:color w:val="000000" w:themeColor="text1"/>
        </w:rPr>
        <w:t>onsultatio</w:t>
      </w:r>
      <w:r w:rsidR="00FC145A" w:rsidRPr="00FC145A">
        <w:rPr>
          <w:rFonts w:ascii="Arial" w:hAnsi="Arial"/>
          <w:color w:val="000000" w:themeColor="text1"/>
        </w:rPr>
        <w:t>n</w:t>
      </w:r>
      <w:r w:rsidRPr="00FC145A">
        <w:rPr>
          <w:rFonts w:ascii="Arial" w:hAnsi="Arial"/>
          <w:color w:val="000000" w:themeColor="text1"/>
        </w:rPr>
        <w:t xml:space="preserve"> and the way in which we have taken these into accou</w:t>
      </w:r>
      <w:r w:rsidR="001500A3" w:rsidRPr="00FC145A">
        <w:rPr>
          <w:rFonts w:ascii="Arial" w:hAnsi="Arial"/>
          <w:color w:val="000000" w:themeColor="text1"/>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219B4496" w:rsidR="00257119" w:rsidRDefault="00C36381">
            <w:pPr>
              <w:jc w:val="both"/>
              <w:rPr>
                <w:rFonts w:ascii="Arial" w:hAnsi="Arial" w:cs="Arial"/>
              </w:rPr>
            </w:pPr>
            <w:r w:rsidRPr="00C36381">
              <w:rPr>
                <w:rFonts w:ascii="Arial" w:hAnsi="Arial" w:cs="Arial"/>
              </w:rPr>
              <w:t>Wrexham County Borough Council</w:t>
            </w:r>
            <w:r>
              <w:rPr>
                <w:rFonts w:ascii="Arial" w:hAnsi="Arial" w:cs="Arial"/>
              </w:rPr>
              <w:t xml:space="preserve"> – Planning Services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1E4A1169" w:rsidR="00257119" w:rsidRDefault="00FC145A">
            <w:pPr>
              <w:jc w:val="both"/>
              <w:rPr>
                <w:rFonts w:ascii="Arial" w:hAnsi="Arial" w:cs="Arial"/>
              </w:rPr>
            </w:pPr>
            <w:r>
              <w:rPr>
                <w:rFonts w:ascii="Arial" w:hAnsi="Arial" w:cs="Arial"/>
              </w:rPr>
              <w:t>No issues raised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75B629C0" w:rsidR="00257119" w:rsidRDefault="00FC145A">
            <w:pPr>
              <w:jc w:val="both"/>
              <w:rPr>
                <w:rFonts w:ascii="Arial" w:hAnsi="Arial" w:cs="Arial"/>
              </w:rPr>
            </w:pPr>
            <w:r>
              <w:rPr>
                <w:rFonts w:ascii="Arial" w:hAnsi="Arial" w:cs="Arial"/>
              </w:rPr>
              <w:t>No action required</w:t>
            </w:r>
          </w:p>
        </w:tc>
      </w:tr>
    </w:tbl>
    <w:p w14:paraId="6299A30F" w14:textId="77777777" w:rsidR="00257119" w:rsidRDefault="00257119" w:rsidP="00257119">
      <w:pPr>
        <w:jc w:val="both"/>
        <w:rPr>
          <w:rFonts w:ascii="Arial" w:hAnsi="Arial" w:cs="Arial"/>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C4F37"/>
    <w:multiLevelType w:val="hybridMultilevel"/>
    <w:tmpl w:val="24FE73E2"/>
    <w:lvl w:ilvl="0" w:tplc="AEC68FC0">
      <w:start w:val="1"/>
      <w:numFmt w:val="bullet"/>
      <w:lvlText w:val=""/>
      <w:lvlJc w:val="left"/>
      <w:pPr>
        <w:tabs>
          <w:tab w:val="num" w:pos="2383"/>
        </w:tabs>
        <w:ind w:left="720" w:hanging="363"/>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58126E"/>
    <w:multiLevelType w:val="hybridMultilevel"/>
    <w:tmpl w:val="62969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1649F0"/>
    <w:multiLevelType w:val="hybridMultilevel"/>
    <w:tmpl w:val="6E1E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5"/>
  </w:num>
  <w:num w:numId="4">
    <w:abstractNumId w:val="3"/>
  </w:num>
  <w:num w:numId="5">
    <w:abstractNumId w:val="7"/>
  </w:num>
  <w:num w:numId="6">
    <w:abstractNumId w:val="5"/>
  </w:num>
  <w:num w:numId="7">
    <w:abstractNumId w:val="9"/>
  </w:num>
  <w:num w:numId="8">
    <w:abstractNumId w:val="19"/>
  </w:num>
  <w:num w:numId="9">
    <w:abstractNumId w:val="23"/>
  </w:num>
  <w:num w:numId="10">
    <w:abstractNumId w:val="13"/>
  </w:num>
  <w:num w:numId="11">
    <w:abstractNumId w:val="16"/>
  </w:num>
  <w:num w:numId="12">
    <w:abstractNumId w:val="22"/>
  </w:num>
  <w:num w:numId="13">
    <w:abstractNumId w:val="21"/>
  </w:num>
  <w:num w:numId="14">
    <w:abstractNumId w:val="12"/>
  </w:num>
  <w:num w:numId="15">
    <w:abstractNumId w:val="14"/>
  </w:num>
  <w:num w:numId="16">
    <w:abstractNumId w:val="8"/>
  </w:num>
  <w:num w:numId="17">
    <w:abstractNumId w:val="18"/>
  </w:num>
  <w:num w:numId="18">
    <w:abstractNumId w:val="1"/>
  </w:num>
  <w:num w:numId="19">
    <w:abstractNumId w:val="11"/>
  </w:num>
  <w:num w:numId="20">
    <w:abstractNumId w:val="4"/>
  </w:num>
  <w:num w:numId="21">
    <w:abstractNumId w:val="6"/>
  </w:num>
  <w:num w:numId="22">
    <w:abstractNumId w:val="17"/>
  </w:num>
  <w:num w:numId="23">
    <w:abstractNumId w:val="10"/>
  </w:num>
  <w:num w:numId="2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6E54"/>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1B57"/>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DEA"/>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24C80"/>
    <w:rsid w:val="003405D9"/>
    <w:rsid w:val="00340EEB"/>
    <w:rsid w:val="00346CF0"/>
    <w:rsid w:val="00351A0A"/>
    <w:rsid w:val="003546B3"/>
    <w:rsid w:val="0036239C"/>
    <w:rsid w:val="00365084"/>
    <w:rsid w:val="003653EB"/>
    <w:rsid w:val="003718D2"/>
    <w:rsid w:val="003719AD"/>
    <w:rsid w:val="0038174A"/>
    <w:rsid w:val="00382EC3"/>
    <w:rsid w:val="00382F62"/>
    <w:rsid w:val="003869DE"/>
    <w:rsid w:val="003931C0"/>
    <w:rsid w:val="00393524"/>
    <w:rsid w:val="003A7D0B"/>
    <w:rsid w:val="003B23B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7A93"/>
    <w:rsid w:val="004717DF"/>
    <w:rsid w:val="00475B36"/>
    <w:rsid w:val="00476B14"/>
    <w:rsid w:val="00481C68"/>
    <w:rsid w:val="00482E7D"/>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65ACC"/>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463F9"/>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1741F"/>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9F521C"/>
    <w:rsid w:val="00A06754"/>
    <w:rsid w:val="00A21684"/>
    <w:rsid w:val="00A217E9"/>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36381"/>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67F"/>
    <w:rsid w:val="00D26B49"/>
    <w:rsid w:val="00D27E1C"/>
    <w:rsid w:val="00D3022B"/>
    <w:rsid w:val="00D3103C"/>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EF79D0"/>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8BC"/>
    <w:rsid w:val="00FB3A29"/>
    <w:rsid w:val="00FC145A"/>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A21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102738 - Clays Site</Site_x0020_Name>
    <Internal_x002f_External xmlns="859f7ad6-93f6-4205-b62b-a17f28acbbac">Internal document</Internal_x002f_External>
    <Post_x0020_code xmlns="859f7ad6-93f6-4205-b62b-a17f28acbbac">LL13 9UB</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2019-02-21T00:00:00+00:00</Document_x0020_Date>
    <Facility_x0020_Address xmlns="859f7ad6-93f6-4205-b62b-a17f28acbbac">Clays Site,  Bryn Estyn Road, Llan -y- Pwll, Wrexham, Clwyd, LL13 9UB,</Facility_x0020_Address>
    <Environment_x0020_Sub_x0020_Folder xmlns="859f7ad6-93f6-4205-b62b-a17f28acbbac">Licence variation</Environment_x0020_Sub_x0020_Folder>
    <Customer_x0020_Name xmlns="859f7ad6-93f6-4205-b62b-a17f28acbbac">Mr William Lewis </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958121D3-8B60-4AE9-95D4-1DB12679461D}"/>
</file>

<file path=customXml/itemProps3.xml><?xml version="1.0" encoding="utf-8"?>
<ds:datastoreItem xmlns:ds="http://schemas.openxmlformats.org/officeDocument/2006/customXml" ds:itemID="{F1BF165A-1955-47EF-8E00-AF5F9972F256}"/>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522A2E07-690B-4475-9762-781EC1CF4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1101</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 Williams</dc:creator>
  <cp:keywords>23308SD50, 233 08 SD50, 233-08-SD50</cp:keywords>
  <dc:description>233_08_SD50, Version 4_x000d_
Issue date: 19/07/2011</dc:description>
  <cp:lastModifiedBy>Williams, Ella</cp:lastModifiedBy>
  <cp:revision>16</cp:revision>
  <cp:lastPrinted>2010-09-29T12:15:00Z</cp:lastPrinted>
  <dcterms:created xsi:type="dcterms:W3CDTF">2016-10-24T15:32:00Z</dcterms:created>
  <dcterms:modified xsi:type="dcterms:W3CDTF">2019-02-21T15:16:00Z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d04de170-3c8b-4131-a2a7-5f7665f05358</vt:lpwstr>
  </property>
  <property fmtid="{D5CDD505-2E9C-101B-9397-08002B2CF9AE}" pid="5" name="AuthorIds_UIVersion_2560">
    <vt:lpwstr>961</vt:lpwstr>
  </property>
  <property fmtid="{D5CDD505-2E9C-101B-9397-08002B2CF9AE}" pid="6" name="_dlc_DocId">
    <vt:lpwstr>REGU-204-29273</vt:lpwstr>
  </property>
  <property fmtid="{D5CDD505-2E9C-101B-9397-08002B2CF9AE}" pid="7" name="_dlc_DocIdUrl">
    <vt:lpwstr>https://cyfoethnaturiolcymru.sharepoint.com/teams/Regulatory/Permitting/_layouts/15/DocIdRedir.aspx?ID=REGU-204-29273, REGU-204-29273</vt:lpwstr>
  </property>
</Properties>
</file>