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E" w14:textId="4492A3A6" w:rsidR="007820C3" w:rsidRPr="00414D52" w:rsidRDefault="0014332B" w:rsidP="00414D52">
      <w:pPr>
        <w:pStyle w:val="Heading1"/>
        <w:spacing w:before="0" w:after="0"/>
        <w:jc w:val="left"/>
        <w:rPr>
          <w:color w:val="auto"/>
        </w:rPr>
      </w:pPr>
      <w:r w:rsidRPr="00414D52">
        <w:rPr>
          <w:bCs/>
          <w:color w:val="auto"/>
          <w:sz w:val="32"/>
        </w:rPr>
        <w:t>Bespoke p</w:t>
      </w:r>
      <w:r w:rsidR="00D04424" w:rsidRPr="00414D52">
        <w:rPr>
          <w:bCs/>
          <w:color w:val="auto"/>
          <w:sz w:val="32"/>
        </w:rPr>
        <w:t>ermit</w:t>
      </w:r>
      <w:r w:rsidR="007820C3" w:rsidRPr="00414D52">
        <w:rPr>
          <w:color w:val="auto"/>
        </w:rPr>
        <w:t xml:space="preserve"> </w:t>
      </w:r>
    </w:p>
    <w:p w14:paraId="0FF1524F" w14:textId="77777777" w:rsidR="007820C3" w:rsidRPr="00414D52" w:rsidRDefault="007820C3" w:rsidP="00D04424">
      <w:pPr>
        <w:rPr>
          <w:rFonts w:ascii="Arial" w:hAnsi="Arial" w:cs="Arial"/>
          <w:szCs w:val="24"/>
        </w:rPr>
      </w:pPr>
    </w:p>
    <w:p w14:paraId="0FF15250" w14:textId="31C8813B" w:rsidR="00D04424" w:rsidRPr="00414D52" w:rsidRDefault="0060457F" w:rsidP="006B0BFB">
      <w:pPr>
        <w:spacing w:after="120"/>
        <w:rPr>
          <w:rFonts w:ascii="Arial" w:hAnsi="Arial" w:cs="Arial"/>
          <w:szCs w:val="24"/>
        </w:rPr>
      </w:pPr>
      <w:r w:rsidRPr="00414D52">
        <w:rPr>
          <w:rFonts w:ascii="Arial" w:hAnsi="Arial" w:cs="Arial"/>
          <w:szCs w:val="24"/>
        </w:rPr>
        <w:t xml:space="preserve">We have decided to </w:t>
      </w:r>
      <w:r w:rsidR="00D2020E" w:rsidRPr="00414D52">
        <w:rPr>
          <w:rFonts w:ascii="Arial" w:hAnsi="Arial" w:cs="Arial"/>
          <w:szCs w:val="24"/>
        </w:rPr>
        <w:t xml:space="preserve">grant </w:t>
      </w:r>
      <w:r w:rsidRPr="00414D52">
        <w:rPr>
          <w:rFonts w:ascii="Arial" w:hAnsi="Arial" w:cs="Arial"/>
          <w:szCs w:val="24"/>
        </w:rPr>
        <w:t xml:space="preserve">the permit for </w:t>
      </w:r>
      <w:proofErr w:type="spellStart"/>
      <w:r w:rsidR="00414D52" w:rsidRPr="00414D52">
        <w:rPr>
          <w:rFonts w:ascii="Arial" w:hAnsi="Arial" w:cs="Arial"/>
          <w:szCs w:val="24"/>
        </w:rPr>
        <w:t>Gilestone</w:t>
      </w:r>
      <w:proofErr w:type="spellEnd"/>
      <w:r w:rsidR="00414D52" w:rsidRPr="00414D52">
        <w:rPr>
          <w:rFonts w:ascii="Arial" w:hAnsi="Arial" w:cs="Arial"/>
          <w:szCs w:val="24"/>
        </w:rPr>
        <w:t xml:space="preserve"> Lodges </w:t>
      </w:r>
      <w:r w:rsidRPr="00414D52">
        <w:rPr>
          <w:rFonts w:ascii="Arial" w:hAnsi="Arial" w:cs="Arial"/>
          <w:szCs w:val="24"/>
        </w:rPr>
        <w:t xml:space="preserve">operated by </w:t>
      </w:r>
      <w:r w:rsidR="00414D52" w:rsidRPr="00414D52">
        <w:rPr>
          <w:rFonts w:ascii="Arial" w:hAnsi="Arial" w:cs="Arial"/>
          <w:szCs w:val="24"/>
        </w:rPr>
        <w:t>Mr Charles Weston.</w:t>
      </w:r>
    </w:p>
    <w:p w14:paraId="178F17B4" w14:textId="4D54FDE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w:t>
      </w:r>
      <w:r w:rsidR="00414D52">
        <w:rPr>
          <w:rFonts w:ascii="Arial" w:hAnsi="Arial"/>
          <w:color w:val="000000"/>
          <w:kern w:val="28"/>
          <w:szCs w:val="24"/>
        </w:rPr>
        <w:t>is PAN-014555</w:t>
      </w:r>
    </w:p>
    <w:p w14:paraId="0FF15251" w14:textId="256B9BCF" w:rsidR="00D04424" w:rsidRDefault="00D04424" w:rsidP="006B0BFB">
      <w:pPr>
        <w:tabs>
          <w:tab w:val="left" w:pos="4253"/>
          <w:tab w:val="left" w:pos="6804"/>
        </w:tabs>
        <w:spacing w:after="120"/>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29714C" w:rsidRPr="0029714C">
        <w:rPr>
          <w:rFonts w:ascii="Arial" w:hAnsi="Arial"/>
          <w:szCs w:val="24"/>
        </w:rPr>
        <w:t>EPR/CB3299FE</w:t>
      </w:r>
    </w:p>
    <w:p w14:paraId="1510F280" w14:textId="77777777" w:rsidR="00414D52" w:rsidRPr="0014332B" w:rsidRDefault="00414D52" w:rsidP="006B0BFB">
      <w:pPr>
        <w:tabs>
          <w:tab w:val="left" w:pos="4253"/>
          <w:tab w:val="left" w:pos="6804"/>
        </w:tabs>
        <w:spacing w:after="120"/>
        <w:rPr>
          <w:rFonts w:ascii="Arial" w:hAnsi="Arial"/>
          <w:szCs w:val="24"/>
        </w:rPr>
      </w:pPr>
    </w:p>
    <w:bookmarkEnd w:id="0"/>
    <w:bookmarkEnd w:id="1"/>
    <w:p w14:paraId="4F793212" w14:textId="1FBA88FC" w:rsidR="00414D52" w:rsidRDefault="00414D52" w:rsidP="006B0BFB">
      <w:pPr>
        <w:spacing w:after="120"/>
        <w:rPr>
          <w:rFonts w:ascii="Arial" w:hAnsi="Arial"/>
          <w:color w:val="000000"/>
        </w:rPr>
      </w:pPr>
      <w:r w:rsidRPr="00414D52">
        <w:rPr>
          <w:rFonts w:ascii="Arial" w:hAnsi="Arial"/>
          <w:color w:val="000000"/>
        </w:rPr>
        <w:t xml:space="preserve">The permit regulates a new discharge of primary treated domestic sewage effluent. A maximum of 2.4 m3/day is to be discharged to ground via a septic tank and British Standards infiltration system. The system serves </w:t>
      </w:r>
      <w:r w:rsidR="00685F04">
        <w:rPr>
          <w:rFonts w:ascii="Arial" w:hAnsi="Arial"/>
          <w:color w:val="000000"/>
        </w:rPr>
        <w:t>two</w:t>
      </w:r>
      <w:r w:rsidRPr="00414D52">
        <w:rPr>
          <w:rFonts w:ascii="Arial" w:hAnsi="Arial"/>
          <w:color w:val="000000"/>
        </w:rPr>
        <w:t xml:space="preserve"> 1-bedroom lodge</w:t>
      </w:r>
      <w:r w:rsidR="00685F04">
        <w:rPr>
          <w:rFonts w:ascii="Arial" w:hAnsi="Arial"/>
          <w:color w:val="000000"/>
        </w:rPr>
        <w:t>s</w:t>
      </w:r>
      <w:r w:rsidRPr="00414D52">
        <w:rPr>
          <w:rFonts w:ascii="Arial" w:hAnsi="Arial"/>
          <w:color w:val="000000"/>
        </w:rPr>
        <w:t xml:space="preserve"> and two 3-bedroom lodges. </w:t>
      </w:r>
    </w:p>
    <w:p w14:paraId="0BD12B85" w14:textId="77777777" w:rsidR="00414D52" w:rsidRDefault="00414D52" w:rsidP="006B0BFB">
      <w:pPr>
        <w:spacing w:after="120"/>
        <w:rPr>
          <w:rFonts w:ascii="Arial" w:hAnsi="Arial"/>
          <w:color w:val="000000"/>
        </w:rPr>
      </w:pPr>
    </w:p>
    <w:p w14:paraId="0FF15253" w14:textId="5B98B128" w:rsidR="00D04424" w:rsidRDefault="00D04424" w:rsidP="006B0BFB">
      <w:pPr>
        <w:spacing w:after="120"/>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2" w14:textId="06DCB8D6" w:rsidR="006420BA" w:rsidRPr="00C17CF9" w:rsidRDefault="006420BA" w:rsidP="00414D52">
      <w:pPr>
        <w:spacing w:after="60"/>
        <w:rPr>
          <w:rFonts w:ascii="Arial" w:hAnsi="Arial" w:cs="Arial"/>
          <w:color w:val="FF0000"/>
          <w:szCs w:val="24"/>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50602427"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414D52">
              <w:rPr>
                <w:rFonts w:ascii="Arial" w:hAnsi="Arial" w:cs="Arial"/>
                <w:b w:val="0"/>
                <w:szCs w:val="24"/>
              </w:rPr>
              <w:t>consultation</w:t>
            </w:r>
            <w:r w:rsidR="00414D52" w:rsidRPr="00414D52">
              <w:rPr>
                <w:rFonts w:ascii="Arial" w:hAnsi="Arial" w:cs="Arial"/>
                <w:b w:val="0"/>
                <w:szCs w:val="24"/>
              </w:rPr>
              <w:t xml:space="preserve"> and </w:t>
            </w:r>
            <w:r w:rsidRPr="00414D52">
              <w:rPr>
                <w:rFonts w:ascii="Arial" w:hAnsi="Arial" w:cs="Arial"/>
                <w:b w:val="0"/>
                <w:szCs w:val="24"/>
              </w:rPr>
              <w:t xml:space="preserve">web publicising </w:t>
            </w:r>
          </w:p>
        </w:tc>
        <w:tc>
          <w:tcPr>
            <w:tcW w:w="6266" w:type="dxa"/>
            <w:tcBorders>
              <w:bottom w:val="single" w:sz="4" w:space="0" w:color="auto"/>
            </w:tcBorders>
          </w:tcPr>
          <w:p w14:paraId="4786FA93" w14:textId="17CE630A" w:rsidR="00414D52" w:rsidRPr="00414D52" w:rsidRDefault="00414D52" w:rsidP="00414D52">
            <w:pPr>
              <w:spacing w:before="60"/>
              <w:rPr>
                <w:rFonts w:ascii="Arial" w:hAnsi="Arial" w:cs="Arial"/>
                <w:szCs w:val="24"/>
              </w:rPr>
            </w:pPr>
            <w:r w:rsidRPr="00414D52">
              <w:rPr>
                <w:rFonts w:ascii="Arial" w:hAnsi="Arial" w:cs="Arial"/>
                <w:szCs w:val="24"/>
              </w:rPr>
              <w:t xml:space="preserve">The web publicising and consultation responses were </w:t>
            </w:r>
            <w:proofErr w:type="gramStart"/>
            <w:r w:rsidRPr="00414D52">
              <w:rPr>
                <w:rFonts w:ascii="Arial" w:hAnsi="Arial" w:cs="Arial"/>
                <w:szCs w:val="24"/>
              </w:rPr>
              <w:t>taken into account</w:t>
            </w:r>
            <w:proofErr w:type="gramEnd"/>
            <w:r w:rsidRPr="00414D52">
              <w:rPr>
                <w:rFonts w:ascii="Arial" w:hAnsi="Arial" w:cs="Arial"/>
                <w:szCs w:val="24"/>
              </w:rPr>
              <w:t xml:space="preserve"> in the decision.  </w:t>
            </w:r>
          </w:p>
          <w:p w14:paraId="2047B03F" w14:textId="77777777" w:rsidR="00414D52" w:rsidRPr="00414D52" w:rsidRDefault="00414D52" w:rsidP="00414D52">
            <w:pPr>
              <w:spacing w:before="60"/>
              <w:rPr>
                <w:rFonts w:ascii="Arial" w:hAnsi="Arial" w:cs="Arial"/>
                <w:szCs w:val="24"/>
              </w:rPr>
            </w:pPr>
          </w:p>
          <w:p w14:paraId="7941285D" w14:textId="77777777" w:rsidR="00414D52" w:rsidRPr="00414D52" w:rsidRDefault="00414D52" w:rsidP="00414D52">
            <w:pPr>
              <w:spacing w:before="60"/>
              <w:rPr>
                <w:rFonts w:ascii="Arial" w:hAnsi="Arial" w:cs="Arial"/>
                <w:szCs w:val="24"/>
              </w:rPr>
            </w:pPr>
            <w:r w:rsidRPr="00414D52">
              <w:rPr>
                <w:rFonts w:ascii="Arial" w:hAnsi="Arial" w:cs="Arial"/>
                <w:szCs w:val="24"/>
              </w:rPr>
              <w:t xml:space="preserve">No responses were received from web publicising. </w:t>
            </w:r>
          </w:p>
          <w:p w14:paraId="53B682ED" w14:textId="77777777" w:rsidR="00414D52" w:rsidRPr="00414D52" w:rsidRDefault="00414D52" w:rsidP="00414D52">
            <w:pPr>
              <w:spacing w:before="60"/>
              <w:rPr>
                <w:rFonts w:ascii="Arial" w:hAnsi="Arial" w:cs="Arial"/>
                <w:szCs w:val="24"/>
              </w:rPr>
            </w:pPr>
          </w:p>
          <w:p w14:paraId="0FF1529D" w14:textId="1BC9A3C7" w:rsidR="007820C3" w:rsidRPr="00DA70FE" w:rsidRDefault="00414D52" w:rsidP="00414D52">
            <w:pPr>
              <w:spacing w:before="60"/>
              <w:rPr>
                <w:rFonts w:ascii="Arial" w:hAnsi="Arial" w:cs="Arial"/>
                <w:szCs w:val="24"/>
              </w:rPr>
            </w:pPr>
            <w:r w:rsidRPr="00414D52">
              <w:rPr>
                <w:rFonts w:ascii="Arial" w:hAnsi="Arial" w:cs="Arial"/>
                <w:szCs w:val="24"/>
              </w:rPr>
              <w:t xml:space="preserve">The decision was taken in accordance with our guidance. </w:t>
            </w: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7D1F8338"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414D52">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414D52">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136717" w:rsidRPr="00414D52" w:rsidRDefault="00136717" w:rsidP="00136717">
            <w:pPr>
              <w:spacing w:before="60"/>
              <w:rPr>
                <w:rFonts w:ascii="Arial" w:hAnsi="Arial" w:cs="Arial"/>
                <w:szCs w:val="24"/>
              </w:rPr>
            </w:pPr>
            <w:r w:rsidRPr="00414D52">
              <w:rPr>
                <w:rFonts w:ascii="Arial" w:hAnsi="Arial" w:cs="Arial"/>
                <w:szCs w:val="24"/>
              </w:rPr>
              <w:t>No FORM 1 completed:</w:t>
            </w:r>
          </w:p>
          <w:p w14:paraId="5CBD4E4C" w14:textId="77777777" w:rsidR="00136717" w:rsidRPr="00414D52" w:rsidRDefault="00136717" w:rsidP="00136717">
            <w:pPr>
              <w:spacing w:before="60"/>
              <w:rPr>
                <w:rFonts w:ascii="Arial" w:hAnsi="Arial" w:cs="Arial"/>
                <w:szCs w:val="24"/>
              </w:rPr>
            </w:pPr>
          </w:p>
          <w:p w14:paraId="65718F40" w14:textId="77777777" w:rsidR="00136717" w:rsidRPr="00414D52" w:rsidRDefault="00136717" w:rsidP="00136717">
            <w:pPr>
              <w:spacing w:before="60"/>
              <w:rPr>
                <w:rFonts w:ascii="Arial" w:hAnsi="Arial" w:cs="Arial"/>
                <w:szCs w:val="24"/>
              </w:rPr>
            </w:pPr>
            <w:r w:rsidRPr="00414D52">
              <w:rPr>
                <w:rFonts w:ascii="Arial" w:hAnsi="Arial" w:cs="Arial"/>
                <w:szCs w:val="24"/>
              </w:rPr>
              <w:t xml:space="preserve">HRA is not required because there is no conceivable impact pathway to any Natura 2000/Ramsar site </w:t>
            </w:r>
          </w:p>
          <w:p w14:paraId="101DC27D" w14:textId="1A1EFD8C" w:rsidR="00136717" w:rsidRDefault="00136717" w:rsidP="00136717">
            <w:pPr>
              <w:spacing w:before="60"/>
              <w:rPr>
                <w:rFonts w:ascii="Arial" w:hAnsi="Arial" w:cs="Arial"/>
              </w:rPr>
            </w:pPr>
            <w:r w:rsidRPr="00414D52">
              <w:rPr>
                <w:rFonts w:ascii="Arial" w:hAnsi="Arial" w:cs="Arial"/>
              </w:rPr>
              <w:t>Note: From OGN 200 - no conceivable impact on any Natura 2000 site, by virtue of the scale or location or nature of the project.</w:t>
            </w:r>
          </w:p>
          <w:p w14:paraId="31F1983C" w14:textId="1C6A0E5D" w:rsidR="005E6914" w:rsidRDefault="005E6914" w:rsidP="00136717">
            <w:pPr>
              <w:spacing w:before="60"/>
              <w:rPr>
                <w:rFonts w:ascii="Arial" w:hAnsi="Arial" w:cs="Arial"/>
              </w:rPr>
            </w:pPr>
          </w:p>
          <w:p w14:paraId="2BB5D416" w14:textId="6AB68069" w:rsidR="005E6914" w:rsidRPr="00414D52" w:rsidRDefault="005E6914" w:rsidP="00136717">
            <w:pPr>
              <w:spacing w:before="60"/>
              <w:rPr>
                <w:rFonts w:ascii="Arial" w:hAnsi="Arial" w:cs="Arial"/>
              </w:rPr>
            </w:pPr>
            <w:r w:rsidRPr="005E6914">
              <w:rPr>
                <w:rFonts w:ascii="Arial" w:hAnsi="Arial" w:cs="Arial"/>
              </w:rPr>
              <w:lastRenderedPageBreak/>
              <w:t>A Habitats risk assessment is not required for this proposal by virtue of the scale and location of the discharge. The activity can be screened out as not likely to have a significant effect on a river SAC in relation to phosphorus inputs as there is unlikely to be a source of additional phosphorus or pathway for impacts. The private sewage treatment system discharges domestic wastewater to ground and will be built to the relevant British Standard (BS 6297:2007+A1:2008). The maximum daily discharge rate is 2.4 cubic metres and the drainage field is located more than 70m from any surface water feature. In addition, the drainage field is located more than 580 m from the River Usk SAC boundary and there are no other discharges to ground within 200 m of the site to cause any significant in combination effect.</w:t>
            </w:r>
          </w:p>
          <w:p w14:paraId="14A698EB" w14:textId="77777777" w:rsidR="00414D52" w:rsidRPr="00414D52" w:rsidRDefault="00414D52" w:rsidP="00136717">
            <w:pPr>
              <w:spacing w:before="60"/>
              <w:rPr>
                <w:rFonts w:ascii="Arial" w:hAnsi="Arial" w:cs="Arial"/>
              </w:rPr>
            </w:pPr>
          </w:p>
          <w:p w14:paraId="60BB0129" w14:textId="3792C245" w:rsidR="00136717" w:rsidRPr="00414D52" w:rsidRDefault="00136717" w:rsidP="00136717">
            <w:pPr>
              <w:spacing w:before="60"/>
              <w:rPr>
                <w:rFonts w:ascii="Arial" w:hAnsi="Arial" w:cs="Arial"/>
                <w:szCs w:val="24"/>
              </w:rPr>
            </w:pPr>
            <w:r w:rsidRPr="00414D52">
              <w:rPr>
                <w:rFonts w:ascii="Arial" w:hAnsi="Arial" w:cs="Arial"/>
                <w:szCs w:val="24"/>
              </w:rPr>
              <w:t>Form 1</w:t>
            </w:r>
            <w:r w:rsidR="00414D52" w:rsidRPr="00414D52">
              <w:rPr>
                <w:rFonts w:ascii="Arial" w:hAnsi="Arial" w:cs="Arial"/>
                <w:szCs w:val="24"/>
              </w:rPr>
              <w:t xml:space="preserve"> </w:t>
            </w:r>
            <w:r w:rsidRPr="00414D52">
              <w:rPr>
                <w:rFonts w:ascii="Arial" w:hAnsi="Arial" w:cs="Arial"/>
                <w:szCs w:val="24"/>
              </w:rPr>
              <w:t xml:space="preserve">– saved on DMS as “to be assessed” for public register purposes.  </w:t>
            </w:r>
          </w:p>
          <w:p w14:paraId="67AFC2B0" w14:textId="77777777" w:rsidR="00136717" w:rsidRPr="00414D52" w:rsidRDefault="00136717" w:rsidP="00414D52">
            <w:pPr>
              <w:rPr>
                <w:rFonts w:ascii="Arial" w:hAnsi="Arial" w:cs="Arial"/>
                <w:szCs w:val="24"/>
              </w:rPr>
            </w:pPr>
          </w:p>
        </w:tc>
        <w:tc>
          <w:tcPr>
            <w:tcW w:w="1072" w:type="dxa"/>
          </w:tcPr>
          <w:p w14:paraId="5CCCC72E" w14:textId="0D34910D" w:rsidR="00136717" w:rsidRPr="00FB30B4" w:rsidRDefault="00414D52" w:rsidP="00340EEB">
            <w:pPr>
              <w:rPr>
                <w:rFonts w:ascii="Arial" w:hAnsi="Arial" w:cs="Arial"/>
                <w:color w:val="000000"/>
                <w:szCs w:val="24"/>
              </w:rPr>
            </w:pPr>
            <w:r w:rsidRPr="00FB30B4">
              <w:rPr>
                <w:rFonts w:ascii="Wingdings" w:eastAsia="Wingdings" w:hAnsi="Wingdings" w:cs="Wingdings"/>
                <w:color w:val="000000"/>
                <w:szCs w:val="24"/>
              </w:rPr>
              <w:lastRenderedPageBreak/>
              <w:t>ü</w:t>
            </w: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BE9F454"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77777777" w:rsidR="007820C3" w:rsidRPr="00414D52" w:rsidRDefault="007820C3" w:rsidP="00A60F17">
            <w:pPr>
              <w:rPr>
                <w:rFonts w:ascii="Arial" w:hAnsi="Arial" w:cs="Arial"/>
                <w:szCs w:val="24"/>
              </w:rPr>
            </w:pPr>
            <w:r w:rsidRPr="00414D52">
              <w:rPr>
                <w:rFonts w:ascii="Arial" w:hAnsi="Arial" w:cs="Arial"/>
                <w:szCs w:val="24"/>
              </w:rPr>
              <w:t xml:space="preserve">The operator considers this risk assessment is satisfactory. </w:t>
            </w:r>
          </w:p>
          <w:p w14:paraId="0FF152E7" w14:textId="77777777" w:rsidR="007820C3" w:rsidRPr="00414D52" w:rsidRDefault="007820C3" w:rsidP="00A60F17">
            <w:pPr>
              <w:rPr>
                <w:rFonts w:ascii="Arial" w:hAnsi="Arial" w:cs="Arial"/>
                <w:szCs w:val="24"/>
              </w:rPr>
            </w:pPr>
          </w:p>
          <w:p w14:paraId="0FF152E8" w14:textId="4FCBB3BF" w:rsidR="007820C3" w:rsidRPr="00414D52" w:rsidRDefault="007820C3" w:rsidP="00A60F17">
            <w:pPr>
              <w:pStyle w:val="BodyText"/>
              <w:rPr>
                <w:rFonts w:ascii="Arial" w:hAnsi="Arial" w:cs="Arial"/>
                <w:color w:val="auto"/>
                <w:szCs w:val="24"/>
              </w:rPr>
            </w:pPr>
            <w:r w:rsidRPr="00414D52">
              <w:rPr>
                <w:rFonts w:ascii="Arial" w:hAnsi="Arial" w:cs="Arial"/>
                <w:color w:val="auto"/>
                <w:szCs w:val="24"/>
              </w:rPr>
              <w:t xml:space="preserve">The assessment shows that, applying the conservative criteria in our guidance on Environmental Risk Assessment [or similar methodology supplied by the operator and reviewed by ourselves], all emissions may be categorised as environmentally insignificant. </w:t>
            </w:r>
          </w:p>
          <w:p w14:paraId="0FF152E9" w14:textId="77777777" w:rsidR="00FB30B4" w:rsidRPr="007820C3" w:rsidRDefault="00FB30B4" w:rsidP="00A60F17">
            <w:pPr>
              <w:pStyle w:val="BodyText"/>
              <w:rPr>
                <w:rFonts w:ascii="Arial" w:hAnsi="Arial" w:cs="Arial"/>
                <w:szCs w:val="24"/>
              </w:rPr>
            </w:pPr>
          </w:p>
        </w:tc>
        <w:tc>
          <w:tcPr>
            <w:tcW w:w="1072" w:type="dxa"/>
          </w:tcPr>
          <w:p w14:paraId="0FF152EA" w14:textId="1E920421" w:rsidR="007820C3" w:rsidRPr="00FB30B4" w:rsidRDefault="00414D52"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414D52" w:rsidRDefault="007820C3" w:rsidP="00792CEE">
            <w:pPr>
              <w:rPr>
                <w:rFonts w:ascii="Arial" w:hAnsi="Arial" w:cs="Arial"/>
                <w:szCs w:val="24"/>
              </w:rPr>
            </w:pPr>
            <w:r w:rsidRPr="00414D52">
              <w:rPr>
                <w:rFonts w:ascii="Arial" w:hAnsi="Arial" w:cs="Arial"/>
                <w:szCs w:val="24"/>
              </w:rPr>
              <w:t>Operating techniques</w:t>
            </w:r>
          </w:p>
        </w:tc>
        <w:tc>
          <w:tcPr>
            <w:tcW w:w="6266" w:type="dxa"/>
          </w:tcPr>
          <w:p w14:paraId="0FF152ED" w14:textId="77777777" w:rsidR="007820C3" w:rsidRPr="00414D52" w:rsidRDefault="007820C3" w:rsidP="00792CEE">
            <w:pPr>
              <w:pStyle w:val="BodyText"/>
              <w:rPr>
                <w:rFonts w:ascii="Arial" w:hAnsi="Arial" w:cs="Arial"/>
                <w:color w:val="auto"/>
                <w:szCs w:val="24"/>
              </w:rPr>
            </w:pPr>
            <w:r w:rsidRPr="00414D52">
              <w:rPr>
                <w:rFonts w:ascii="Arial" w:hAnsi="Arial" w:cs="Arial"/>
                <w:color w:val="auto"/>
                <w:szCs w:val="24"/>
              </w:rPr>
              <w:t xml:space="preserve">We have reviewed the techniques used by the operator and compared these with the relevant guidance notes. </w:t>
            </w:r>
          </w:p>
          <w:p w14:paraId="596DB297" w14:textId="77777777" w:rsidR="00414D52" w:rsidRPr="00414D52" w:rsidRDefault="00414D52" w:rsidP="00792CEE">
            <w:pPr>
              <w:pStyle w:val="BodyText"/>
              <w:rPr>
                <w:rFonts w:ascii="Arial" w:hAnsi="Arial" w:cs="Arial"/>
                <w:color w:val="auto"/>
                <w:szCs w:val="24"/>
              </w:rPr>
            </w:pPr>
          </w:p>
          <w:p w14:paraId="0FF152EF" w14:textId="664706AE" w:rsidR="007820C3" w:rsidRPr="00414D52" w:rsidRDefault="007820C3" w:rsidP="00792CEE">
            <w:pPr>
              <w:pStyle w:val="BodyText"/>
              <w:rPr>
                <w:rFonts w:ascii="Arial" w:hAnsi="Arial" w:cs="Arial"/>
                <w:color w:val="auto"/>
                <w:szCs w:val="24"/>
              </w:rPr>
            </w:pPr>
            <w:r w:rsidRPr="00414D52">
              <w:rPr>
                <w:rFonts w:ascii="Arial" w:hAnsi="Arial" w:cs="Arial"/>
                <w:color w:val="auto"/>
                <w:szCs w:val="24"/>
              </w:rPr>
              <w:t xml:space="preserve">The proposed techniques / emission levels for priorities for control are in line with the benchmark levels contained in the TGN </w:t>
            </w:r>
            <w:r w:rsidR="00414D52" w:rsidRPr="00414D52">
              <w:rPr>
                <w:rFonts w:ascii="Arial" w:hAnsi="Arial" w:cs="Arial"/>
                <w:color w:val="auto"/>
                <w:szCs w:val="24"/>
              </w:rPr>
              <w:t xml:space="preserve">(EPR 7.01) </w:t>
            </w:r>
            <w:r w:rsidRPr="00414D52">
              <w:rPr>
                <w:rFonts w:ascii="Arial" w:hAnsi="Arial" w:cs="Arial"/>
                <w:color w:val="auto"/>
                <w:szCs w:val="24"/>
              </w:rPr>
              <w:t xml:space="preserve">and we consider them to represent appropriate techniques for the facility. </w:t>
            </w:r>
          </w:p>
          <w:p w14:paraId="0FF152F4" w14:textId="77777777" w:rsidR="00FB30B4" w:rsidRPr="00414D52" w:rsidRDefault="00FB30B4" w:rsidP="00414D52">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lastRenderedPageBreak/>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414D52">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175A7107" w:rsidR="0A08D9AA" w:rsidRDefault="0A08D9AA" w:rsidP="396B50C7">
            <w:pPr>
              <w:pStyle w:val="NormalWeb"/>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w:t>
            </w:r>
            <w:r w:rsidRPr="00414D52">
              <w:rPr>
                <w:rFonts w:ascii="Arial" w:eastAsia="Arial" w:hAnsi="Arial" w:cs="Arial"/>
              </w:rPr>
              <w:t xml:space="preserve">consistent with the function of determining an application for </w:t>
            </w:r>
            <w:proofErr w:type="gramStart"/>
            <w:r w:rsidRPr="00414D52">
              <w:rPr>
                <w:rFonts w:ascii="Arial" w:eastAsia="Arial" w:hAnsi="Arial" w:cs="Arial"/>
              </w:rPr>
              <w:t>a  groundwater</w:t>
            </w:r>
            <w:proofErr w:type="gramEnd"/>
            <w:r w:rsidRPr="00414D52">
              <w:rPr>
                <w:rFonts w:ascii="Arial" w:eastAsia="Arial"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9633267" w:rsidR="00C44B7E" w:rsidRDefault="00C44B7E" w:rsidP="0029714C">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9D7E0E" w:rsidRDefault="009D7E0E">
      <w:r>
        <w:separator/>
      </w:r>
    </w:p>
  </w:endnote>
  <w:endnote w:type="continuationSeparator" w:id="0">
    <w:p w14:paraId="314FBF3B" w14:textId="77777777" w:rsidR="009D7E0E" w:rsidRDefault="009D7E0E">
      <w:r>
        <w:continuationSeparator/>
      </w:r>
    </w:p>
  </w:endnote>
  <w:endnote w:type="continuationNotice" w:id="1">
    <w:p w14:paraId="56810FF3" w14:textId="77777777" w:rsidR="008A5911" w:rsidRDefault="008A59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9D7E0E" w:rsidRDefault="009D7E0E">
      <w:r>
        <w:separator/>
      </w:r>
    </w:p>
  </w:footnote>
  <w:footnote w:type="continuationSeparator" w:id="0">
    <w:p w14:paraId="07FFA255" w14:textId="77777777" w:rsidR="009D7E0E" w:rsidRDefault="009D7E0E">
      <w:r>
        <w:continuationSeparator/>
      </w:r>
    </w:p>
  </w:footnote>
  <w:footnote w:type="continuationNotice" w:id="1">
    <w:p w14:paraId="144D4EEC" w14:textId="77777777" w:rsidR="008A5911" w:rsidRDefault="008A591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9714C"/>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4D52"/>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E6914"/>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85F04"/>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REGU-212-1878338</_dlc_DocId>
    <_dlc_DocIdUrl xmlns="9be56660-2c31-41ef-bc00-23e72f632f2a">
      <Url>https://cyfoethnaturiolcymru.sharepoint.com/teams/Regulatory/Permitting/_layouts/15/DocIdRedir.aspx?ID=REGU-212-1878338</Url>
      <Description>REGU-212-1878338</Description>
    </_dlc_DocIdUrl>
    <License_x002f_Activity_x0020_Type xmlns="859f7ad6-93f6-4205-b62b-a17f28acbbac">6. EPR Groundwater Permits</License_x002f_Activity_x0020_Type>
    <Site_x0020_Name xmlns="859f7ad6-93f6-4205-b62b-a17f28acbbac">Gilestone Lodges </Site_x0020_Name>
    <Internal_x002f_External xmlns="859f7ad6-93f6-4205-b62b-a17f28acbbac">Outgoing document</Internal_x002f_External>
    <Post_x0020_code xmlns="859f7ad6-93f6-4205-b62b-a17f28acbbac">LD3 7JE</Post_x0020_cod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Gilestone Farm, Talybont on Usk </Addressee>
    <Process_x0020_Type xmlns="859f7ad6-93f6-4205-b62b-a17f28acbbac">Application</Process_x0020_Type>
    <Surrendered_x002f_Expired xmlns="859f7ad6-93f6-4205-b62b-a17f28acbbac" xsi:nil="true"/>
    <Document_x0020_Date xmlns="859f7ad6-93f6-4205-b62b-a17f28acbbac">2021-12-03T00:00:00+00:00</Document_x0020_Date>
    <Facility_x0020_Address xmlns="859f7ad6-93f6-4205-b62b-a17f28acbbac">Gilestone Farm, Talybont on Usk </Facility_x0020_Address>
    <Environment_x0020_Sub_x0020_Folder xmlns="859f7ad6-93f6-4205-b62b-a17f28acbbac">Licences applications</Environment_x0020_Sub_x0020_Folder>
    <Customer_x0020_Name xmlns="859f7ad6-93f6-4205-b62b-a17f28acbbac">Mr Charles Weston</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78A00ADB-CB97-4E9F-B37C-E0CCC689E27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6e121689-de5b-41b9-a751-bfeda7fa2b07"/>
    <ds:schemaRef ds:uri="859f7ad6-93f6-4205-b62b-a17f28acbbac"/>
    <ds:schemaRef ds:uri="http://purl.org/dc/terms/"/>
    <ds:schemaRef ds:uri="http://schemas.microsoft.com/office/infopath/2007/PartnerControls"/>
    <ds:schemaRef ds:uri="84145aa9-ae2a-4b81-96bf-da2258b9f1c9"/>
    <ds:schemaRef ds:uri="http://schemas.microsoft.com/office/2006/documentManagement/types"/>
    <ds:schemaRef ds:uri="http://purl.org/dc/elements/1.1/"/>
    <ds:schemaRef ds:uri="http://schemas.microsoft.com/office/2006/metadata/properties"/>
    <ds:schemaRef ds:uri="http://schemas.openxmlformats.org/package/2006/metadata/core-propertie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925</Words>
  <Characters>5020</Characters>
  <Application>Microsoft Office Word</Application>
  <DocSecurity>0</DocSecurity>
  <Lines>41</Lines>
  <Paragraphs>11</Paragraphs>
  <ScaleCrop>false</ScaleCrop>
  <Company>Environment Agency</Company>
  <LinksUpToDate>false</LinksUpToDate>
  <CharactersWithSpaces>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Al-Far, Tara</cp:lastModifiedBy>
  <cp:revision>5</cp:revision>
  <cp:lastPrinted>2008-01-30T13:54:00Z</cp:lastPrinted>
  <dcterms:created xsi:type="dcterms:W3CDTF">2021-11-24T13:02:00Z</dcterms:created>
  <dcterms:modified xsi:type="dcterms:W3CDTF">2021-12-03T08:27:00Z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793958fb-97a4-4af7-9fba-886ba1ab1eec</vt:lpwstr>
  </property>
  <property fmtid="{D5CDD505-2E9C-101B-9397-08002B2CF9AE}" pid="11" name="SharedWithUsers">
    <vt:lpwstr/>
  </property>
</Properties>
</file>