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60410D" w:rsidRDefault="003719AD" w:rsidP="003719AD">
      <w:pPr>
        <w:pStyle w:val="Heading1"/>
        <w:spacing w:before="0" w:after="0"/>
        <w:jc w:val="left"/>
        <w:rPr>
          <w:bCs/>
          <w:color w:val="auto"/>
          <w:sz w:val="24"/>
          <w:szCs w:val="24"/>
        </w:rPr>
      </w:pPr>
    </w:p>
    <w:p w14:paraId="0FF15249" w14:textId="52126CDE" w:rsidR="00D04424" w:rsidRPr="0060410D" w:rsidRDefault="0014332B" w:rsidP="003719AD">
      <w:pPr>
        <w:pStyle w:val="Heading1"/>
        <w:spacing w:before="0" w:after="0"/>
        <w:jc w:val="left"/>
        <w:rPr>
          <w:bCs/>
          <w:color w:val="auto"/>
          <w:sz w:val="32"/>
        </w:rPr>
      </w:pPr>
      <w:r w:rsidRPr="0060410D">
        <w:rPr>
          <w:bCs/>
          <w:color w:val="auto"/>
          <w:sz w:val="32"/>
        </w:rPr>
        <w:t>Bespoke p</w:t>
      </w:r>
      <w:r w:rsidR="00D04424" w:rsidRPr="0060410D">
        <w:rPr>
          <w:bCs/>
          <w:color w:val="auto"/>
          <w:sz w:val="32"/>
        </w:rPr>
        <w:t>ermit</w:t>
      </w:r>
    </w:p>
    <w:p w14:paraId="41AC372F" w14:textId="77777777" w:rsidR="00136717" w:rsidRPr="00136717" w:rsidRDefault="00136717" w:rsidP="00136717"/>
    <w:p w14:paraId="0FF15250" w14:textId="4506D800" w:rsidR="00D04424" w:rsidRPr="00507C46" w:rsidRDefault="0060457F" w:rsidP="006B0BFB">
      <w:pPr>
        <w:spacing w:after="120"/>
        <w:rPr>
          <w:rFonts w:ascii="Arial" w:hAnsi="Arial" w:cs="Arial"/>
          <w:szCs w:val="24"/>
        </w:rPr>
      </w:pPr>
      <w:r w:rsidRPr="00507C46">
        <w:rPr>
          <w:rFonts w:ascii="Arial" w:hAnsi="Arial" w:cs="Arial"/>
          <w:szCs w:val="24"/>
        </w:rPr>
        <w:t xml:space="preserve">We have decided to </w:t>
      </w:r>
      <w:r w:rsidR="00D2020E" w:rsidRPr="00507C46">
        <w:rPr>
          <w:rFonts w:ascii="Arial" w:hAnsi="Arial" w:cs="Arial"/>
          <w:szCs w:val="24"/>
        </w:rPr>
        <w:t xml:space="preserve">grant </w:t>
      </w:r>
      <w:r w:rsidRPr="00507C46">
        <w:rPr>
          <w:rFonts w:ascii="Arial" w:hAnsi="Arial" w:cs="Arial"/>
          <w:szCs w:val="24"/>
        </w:rPr>
        <w:t>the permit</w:t>
      </w:r>
      <w:r w:rsidR="00B71CBB" w:rsidRPr="00507C46">
        <w:rPr>
          <w:rFonts w:ascii="Arial" w:hAnsi="Arial" w:cs="Arial"/>
          <w:szCs w:val="24"/>
        </w:rPr>
        <w:t xml:space="preserve"> </w:t>
      </w:r>
      <w:r w:rsidRPr="00507C46">
        <w:rPr>
          <w:rFonts w:ascii="Arial" w:hAnsi="Arial" w:cs="Arial"/>
          <w:szCs w:val="24"/>
        </w:rPr>
        <w:t xml:space="preserve">for </w:t>
      </w:r>
      <w:proofErr w:type="spellStart"/>
      <w:r w:rsidR="00507C46" w:rsidRPr="00507C46">
        <w:rPr>
          <w:rFonts w:ascii="Arial" w:hAnsi="Arial" w:cs="Arial"/>
          <w:szCs w:val="24"/>
        </w:rPr>
        <w:t>Betlands</w:t>
      </w:r>
      <w:proofErr w:type="spellEnd"/>
      <w:r w:rsidR="00507C46" w:rsidRPr="00507C46">
        <w:rPr>
          <w:rFonts w:ascii="Arial" w:hAnsi="Arial" w:cs="Arial"/>
          <w:szCs w:val="24"/>
        </w:rPr>
        <w:t xml:space="preserve"> Farm</w:t>
      </w:r>
      <w:r w:rsidRPr="00507C46">
        <w:rPr>
          <w:rFonts w:ascii="Arial" w:hAnsi="Arial" w:cs="Arial"/>
          <w:szCs w:val="24"/>
        </w:rPr>
        <w:t xml:space="preserve"> operated by </w:t>
      </w:r>
      <w:r w:rsidR="00507C46" w:rsidRPr="00507C46">
        <w:rPr>
          <w:rFonts w:ascii="Arial" w:hAnsi="Arial" w:cs="Arial"/>
          <w:szCs w:val="24"/>
        </w:rPr>
        <w:t>Mr.</w:t>
      </w:r>
      <w:r w:rsidR="0060410D">
        <w:rPr>
          <w:rFonts w:ascii="Arial" w:hAnsi="Arial" w:cs="Arial"/>
          <w:szCs w:val="24"/>
        </w:rPr>
        <w:t xml:space="preserve"> D</w:t>
      </w:r>
      <w:r w:rsidR="00507C46" w:rsidRPr="00507C46">
        <w:rPr>
          <w:rFonts w:ascii="Arial" w:hAnsi="Arial" w:cs="Arial"/>
          <w:szCs w:val="24"/>
        </w:rPr>
        <w:t>avid Gambold</w:t>
      </w:r>
      <w:r w:rsidR="001034AC" w:rsidRPr="00507C46">
        <w:rPr>
          <w:rFonts w:ascii="Arial" w:hAnsi="Arial" w:cs="Arial"/>
          <w:szCs w:val="24"/>
        </w:rPr>
        <w:t>.</w:t>
      </w:r>
    </w:p>
    <w:p w14:paraId="178F17B4" w14:textId="7B6EA579"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w:t>
      </w:r>
      <w:r w:rsidRPr="002F63DE">
        <w:rPr>
          <w:rFonts w:ascii="Arial" w:hAnsi="Arial"/>
          <w:kern w:val="28"/>
          <w:szCs w:val="24"/>
        </w:rPr>
        <w:t xml:space="preserve">number is </w:t>
      </w:r>
      <w:r w:rsidR="0060410D" w:rsidRPr="002F63DE">
        <w:rPr>
          <w:rFonts w:ascii="Arial" w:hAnsi="Arial"/>
          <w:szCs w:val="24"/>
        </w:rPr>
        <w:t>PAN-01</w:t>
      </w:r>
      <w:r w:rsidR="002F63DE" w:rsidRPr="002F63DE">
        <w:rPr>
          <w:rFonts w:ascii="Arial" w:hAnsi="Arial"/>
          <w:szCs w:val="24"/>
        </w:rPr>
        <w:t>4905</w:t>
      </w:r>
    </w:p>
    <w:p w14:paraId="0FF15251" w14:textId="254FD84E"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E2339B" w:rsidRPr="00E2339B">
        <w:rPr>
          <w:rFonts w:ascii="Arial" w:hAnsi="Arial"/>
          <w:b/>
          <w:bCs/>
          <w:szCs w:val="24"/>
        </w:rPr>
        <w:t>EPR/CB3299CC</w:t>
      </w:r>
    </w:p>
    <w:p w14:paraId="22B9D2D4" w14:textId="41EDF9D6" w:rsidR="00BF3ECA" w:rsidRPr="00221B8E" w:rsidRDefault="000225DA" w:rsidP="00BF3ECA">
      <w:pPr>
        <w:tabs>
          <w:tab w:val="left" w:pos="4253"/>
          <w:tab w:val="left" w:pos="6804"/>
        </w:tabs>
        <w:spacing w:after="120"/>
        <w:rPr>
          <w:rFonts w:ascii="Arial" w:hAnsi="Arial"/>
        </w:rPr>
      </w:pPr>
      <w:r w:rsidRPr="00221B8E">
        <w:rPr>
          <w:rFonts w:ascii="Arial" w:hAnsi="Arial"/>
        </w:rPr>
        <w:t xml:space="preserve">The </w:t>
      </w:r>
      <w:r w:rsidR="00E244F7" w:rsidRPr="00221B8E">
        <w:rPr>
          <w:rFonts w:ascii="Arial" w:hAnsi="Arial"/>
        </w:rPr>
        <w:t xml:space="preserve">discharge is for </w:t>
      </w:r>
      <w:r w:rsidR="00BF3ECA" w:rsidRPr="00221B8E">
        <w:rPr>
          <w:rFonts w:ascii="Arial" w:hAnsi="Arial"/>
        </w:rPr>
        <w:t xml:space="preserve">the discharge of organophosphate sheep dip, diluted to a ratio of </w:t>
      </w:r>
      <w:proofErr w:type="gramStart"/>
      <w:r w:rsidR="00BF3ECA" w:rsidRPr="00221B8E">
        <w:rPr>
          <w:rFonts w:ascii="Arial" w:hAnsi="Arial"/>
        </w:rPr>
        <w:t>1 part</w:t>
      </w:r>
      <w:proofErr w:type="gramEnd"/>
      <w:r w:rsidR="00BF3ECA" w:rsidRPr="00221B8E">
        <w:rPr>
          <w:rFonts w:ascii="Arial" w:hAnsi="Arial"/>
        </w:rPr>
        <w:t xml:space="preserve"> dip to 3 parts water/slurry. The sheep dip will be discharged to ground via a vacuum tanker over a minimum </w:t>
      </w:r>
      <w:r w:rsidR="00BA67B1">
        <w:rPr>
          <w:rFonts w:ascii="Arial" w:hAnsi="Arial"/>
        </w:rPr>
        <w:t xml:space="preserve">area </w:t>
      </w:r>
      <w:r w:rsidR="00BF3ECA" w:rsidRPr="00221B8E">
        <w:rPr>
          <w:rFonts w:ascii="Arial" w:hAnsi="Arial"/>
        </w:rPr>
        <w:t>of 0.2ha per disposal.  Maximum daily loading of diluted dip shall not exceed 4m</w:t>
      </w:r>
      <w:r w:rsidR="00BF3ECA" w:rsidRPr="00221B8E">
        <w:rPr>
          <w:rFonts w:ascii="Arial" w:hAnsi="Arial"/>
          <w:vertAlign w:val="superscript"/>
        </w:rPr>
        <w:t>3</w:t>
      </w:r>
      <w:r w:rsidR="00BF3ECA" w:rsidRPr="00221B8E">
        <w:rPr>
          <w:rFonts w:ascii="Arial" w:hAnsi="Arial"/>
        </w:rPr>
        <w:t>/day. The total volume of sheep dip being disposed will be 4m</w:t>
      </w:r>
      <w:r w:rsidR="00BF3ECA" w:rsidRPr="00221B8E">
        <w:rPr>
          <w:rFonts w:ascii="Arial" w:hAnsi="Arial"/>
          <w:vertAlign w:val="superscript"/>
        </w:rPr>
        <w:t>3</w:t>
      </w:r>
      <w:r w:rsidR="00BF3ECA" w:rsidRPr="00221B8E">
        <w:rPr>
          <w:rFonts w:ascii="Arial" w:hAnsi="Arial"/>
        </w:rPr>
        <w:t xml:space="preserve"> per annum. This will comprise of 1m</w:t>
      </w:r>
      <w:r w:rsidR="00BF3ECA" w:rsidRPr="00221B8E">
        <w:rPr>
          <w:rFonts w:ascii="Arial" w:hAnsi="Arial"/>
          <w:vertAlign w:val="superscript"/>
        </w:rPr>
        <w:t>3</w:t>
      </w:r>
      <w:r w:rsidR="00BF3ECA" w:rsidRPr="00221B8E">
        <w:rPr>
          <w:rFonts w:ascii="Arial" w:hAnsi="Arial"/>
        </w:rPr>
        <w:t xml:space="preserve"> of working strength dip and 3m</w:t>
      </w:r>
      <w:r w:rsidR="00BF3ECA" w:rsidRPr="00221B8E">
        <w:rPr>
          <w:rFonts w:ascii="Arial" w:hAnsi="Arial"/>
          <w:vertAlign w:val="superscript"/>
        </w:rPr>
        <w:t>3</w:t>
      </w:r>
      <w:r w:rsidR="00BF3ECA" w:rsidRPr="00221B8E">
        <w:rPr>
          <w:rFonts w:ascii="Arial" w:hAnsi="Arial"/>
        </w:rPr>
        <w:t xml:space="preserve"> of water/slurry. Owing to the farm being located over a </w:t>
      </w:r>
      <w:proofErr w:type="gramStart"/>
      <w:r w:rsidR="00BF3ECA" w:rsidRPr="00221B8E">
        <w:rPr>
          <w:rFonts w:ascii="Arial" w:hAnsi="Arial"/>
        </w:rPr>
        <w:t>principle aquifer disposals</w:t>
      </w:r>
      <w:proofErr w:type="gramEnd"/>
      <w:r w:rsidR="00BF3ECA" w:rsidRPr="00221B8E">
        <w:rPr>
          <w:rFonts w:ascii="Arial" w:hAnsi="Arial"/>
        </w:rPr>
        <w:t xml:space="preserve"> will take place once a year rotating annually between two separate disposal sites each with an overall minimum area of 0.2ha.</w:t>
      </w:r>
    </w:p>
    <w:bookmarkEnd w:id="0"/>
    <w:bookmarkEnd w:id="1"/>
    <w:p w14:paraId="6F7389E1" w14:textId="77777777" w:rsidR="00221B8E" w:rsidRDefault="00221B8E" w:rsidP="006B0BFB">
      <w:pPr>
        <w:spacing w:after="120"/>
        <w:rPr>
          <w:rFonts w:ascii="Arial" w:hAnsi="Arial"/>
        </w:rPr>
      </w:pPr>
    </w:p>
    <w:p w14:paraId="0FF15253" w14:textId="1C407274"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3058C74B"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0D0FAE">
              <w:rPr>
                <w:rFonts w:ascii="Arial" w:hAnsi="Arial" w:cs="Arial"/>
                <w:b w:val="0"/>
                <w:szCs w:val="24"/>
              </w:rPr>
              <w:t xml:space="preserve">consultation, web publicising </w:t>
            </w:r>
          </w:p>
        </w:tc>
        <w:tc>
          <w:tcPr>
            <w:tcW w:w="6266" w:type="dxa"/>
            <w:tcBorders>
              <w:bottom w:val="single" w:sz="4" w:space="0" w:color="auto"/>
            </w:tcBorders>
          </w:tcPr>
          <w:p w14:paraId="0FF1529A" w14:textId="7EDF3ED6" w:rsidR="007820C3" w:rsidRPr="00C052C4" w:rsidRDefault="007820C3" w:rsidP="007820C3">
            <w:pPr>
              <w:spacing w:before="60"/>
              <w:rPr>
                <w:rFonts w:ascii="Arial" w:hAnsi="Arial" w:cs="Arial"/>
                <w:szCs w:val="24"/>
              </w:rPr>
            </w:pPr>
            <w:r w:rsidRPr="00C052C4">
              <w:rPr>
                <w:rFonts w:ascii="Arial" w:hAnsi="Arial" w:cs="Arial"/>
                <w:szCs w:val="24"/>
              </w:rPr>
              <w:t xml:space="preserve">The </w:t>
            </w:r>
            <w:r w:rsidRPr="000D0FAE">
              <w:rPr>
                <w:rFonts w:ascii="Arial" w:hAnsi="Arial" w:cs="Arial"/>
                <w:szCs w:val="24"/>
              </w:rPr>
              <w:t>web publicising</w:t>
            </w:r>
            <w:r w:rsidR="000D0FAE" w:rsidRPr="000D0FAE">
              <w:rPr>
                <w:rFonts w:ascii="Arial" w:hAnsi="Arial" w:cs="Arial"/>
                <w:szCs w:val="24"/>
              </w:rPr>
              <w:t xml:space="preserve"> and</w:t>
            </w:r>
            <w:r w:rsidRPr="000D0FAE">
              <w:rPr>
                <w:rFonts w:ascii="Arial" w:hAnsi="Arial" w:cs="Arial"/>
                <w:szCs w:val="24"/>
              </w:rPr>
              <w:t xml:space="preserve"> consultation responses</w:t>
            </w:r>
            <w:r w:rsidRPr="00C052C4">
              <w:rPr>
                <w:rFonts w:ascii="Arial" w:hAnsi="Arial" w:cs="Arial"/>
                <w:szCs w:val="24"/>
              </w:rPr>
              <w:t xml:space="preserve"> were </w:t>
            </w:r>
            <w:proofErr w:type="gramStart"/>
            <w:r w:rsidRPr="00C052C4">
              <w:rPr>
                <w:rFonts w:ascii="Arial" w:hAnsi="Arial" w:cs="Arial"/>
                <w:szCs w:val="24"/>
              </w:rPr>
              <w:t>taken into account</w:t>
            </w:r>
            <w:proofErr w:type="gramEnd"/>
            <w:r w:rsidRPr="00C052C4">
              <w:rPr>
                <w:rFonts w:ascii="Arial" w:hAnsi="Arial" w:cs="Arial"/>
                <w:szCs w:val="24"/>
              </w:rPr>
              <w:t xml:space="preserve"> in the decision.  </w:t>
            </w:r>
          </w:p>
          <w:p w14:paraId="0FF1529B" w14:textId="5F32E701" w:rsidR="007820C3" w:rsidRDefault="000D0FAE" w:rsidP="007820C3">
            <w:pPr>
              <w:spacing w:before="60"/>
              <w:rPr>
                <w:rFonts w:ascii="Arial" w:hAnsi="Arial" w:cs="Arial"/>
                <w:color w:val="FF0000"/>
                <w:szCs w:val="24"/>
              </w:rPr>
            </w:pPr>
            <w:r>
              <w:rPr>
                <w:rFonts w:ascii="Arial" w:hAnsi="Arial" w:cs="Arial"/>
                <w:szCs w:val="24"/>
              </w:rPr>
              <w:t xml:space="preserve"> </w:t>
            </w:r>
          </w:p>
          <w:p w14:paraId="3ED5019B" w14:textId="6B506F02" w:rsidR="00E2339B" w:rsidRPr="00E2339B" w:rsidRDefault="00E2339B" w:rsidP="007820C3">
            <w:pPr>
              <w:spacing w:before="60"/>
              <w:rPr>
                <w:rFonts w:ascii="Arial" w:hAnsi="Arial" w:cs="Arial"/>
                <w:szCs w:val="24"/>
              </w:rPr>
            </w:pPr>
            <w:r w:rsidRPr="00E2339B">
              <w:rPr>
                <w:rFonts w:ascii="Arial" w:hAnsi="Arial" w:cs="Arial"/>
                <w:szCs w:val="24"/>
              </w:rPr>
              <w:t>None Received</w:t>
            </w:r>
          </w:p>
          <w:p w14:paraId="5D23B76A" w14:textId="77777777" w:rsidR="00E2339B" w:rsidRPr="00C052C4" w:rsidRDefault="00E2339B"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06B421A"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RDefault="007820C3" w:rsidP="0016775A">
            <w:pPr>
              <w:rPr>
                <w:rFonts w:ascii="Arial" w:hAnsi="Arial" w:cs="Arial"/>
                <w:szCs w:val="24"/>
              </w:rPr>
            </w:pPr>
          </w:p>
          <w:p w14:paraId="0FF152B8" w14:textId="77777777" w:rsidR="007820C3" w:rsidRPr="007820C3" w:rsidRDefault="007820C3" w:rsidP="005A5A04">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787470">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30ED41F9" w:rsidR="007820C3" w:rsidRPr="007820C3" w:rsidRDefault="007820C3" w:rsidP="00EF499E">
            <w:pPr>
              <w:rPr>
                <w:rFonts w:ascii="Arial" w:hAnsi="Arial" w:cs="Arial"/>
                <w:color w:val="000000"/>
                <w:szCs w:val="24"/>
              </w:rPr>
            </w:pPr>
            <w:r w:rsidRPr="007820C3">
              <w:rPr>
                <w:rFonts w:ascii="Arial" w:hAnsi="Arial" w:cs="Arial"/>
                <w:color w:val="000000"/>
                <w:szCs w:val="24"/>
              </w:rPr>
              <w:t xml:space="preserve">The application is </w:t>
            </w:r>
            <w:r w:rsidR="00A247A2">
              <w:rPr>
                <w:rFonts w:ascii="Arial" w:hAnsi="Arial" w:cs="Arial"/>
                <w:color w:val="000000"/>
                <w:szCs w:val="24"/>
              </w:rPr>
              <w:t xml:space="preserve">not </w:t>
            </w:r>
            <w:r w:rsidRPr="007820C3">
              <w:rPr>
                <w:rFonts w:ascii="Arial" w:hAnsi="Arial" w:cs="Arial"/>
                <w:color w:val="000000"/>
                <w:szCs w:val="24"/>
              </w:rPr>
              <w:t>within the relevant distance criteria of a site of heritage,  landscape or nature conservation, and/or protected species or habitat .</w:t>
            </w:r>
          </w:p>
          <w:p w14:paraId="0FF152C7" w14:textId="1986639E" w:rsidR="007820C3" w:rsidRDefault="007820C3" w:rsidP="00EF499E">
            <w:pPr>
              <w:rPr>
                <w:rFonts w:ascii="Arial" w:hAnsi="Arial" w:cs="Arial"/>
                <w:color w:val="000000"/>
                <w:szCs w:val="24"/>
              </w:rPr>
            </w:pPr>
          </w:p>
          <w:p w14:paraId="4CBB2AFF" w14:textId="77777777" w:rsidR="00A247A2" w:rsidRPr="00A247A2" w:rsidRDefault="00A247A2" w:rsidP="00A247A2">
            <w:pPr>
              <w:rPr>
                <w:rFonts w:ascii="Arial" w:hAnsi="Arial" w:cs="Arial"/>
                <w:color w:val="000000"/>
                <w:szCs w:val="24"/>
              </w:rPr>
            </w:pPr>
            <w:r w:rsidRPr="00A247A2">
              <w:rPr>
                <w:rFonts w:ascii="Arial" w:hAnsi="Arial" w:cs="Arial"/>
                <w:color w:val="000000"/>
                <w:szCs w:val="24"/>
              </w:rPr>
              <w:t xml:space="preserve">Consultation was undertaken with </w:t>
            </w:r>
            <w:r w:rsidRPr="00A247A2">
              <w:rPr>
                <w:rFonts w:ascii="Arial" w:hAnsi="Arial" w:cs="Arial"/>
                <w:color w:val="000000"/>
                <w:szCs w:val="24"/>
                <w:lang w:val="en-US"/>
              </w:rPr>
              <w:t>Clwyd-Powys Archaeological Trust</w:t>
            </w:r>
            <w:r w:rsidRPr="00A247A2">
              <w:rPr>
                <w:rFonts w:ascii="Arial" w:hAnsi="Arial" w:cs="Arial"/>
                <w:color w:val="000000"/>
                <w:szCs w:val="24"/>
              </w:rPr>
              <w:t xml:space="preserve">. No response was received. </w:t>
            </w:r>
          </w:p>
          <w:p w14:paraId="53A86A15" w14:textId="77777777" w:rsidR="004F72D1" w:rsidRPr="007820C3" w:rsidRDefault="004F72D1" w:rsidP="00EF499E">
            <w:pPr>
              <w:rPr>
                <w:rFonts w:ascii="Arial" w:hAnsi="Arial" w:cs="Arial"/>
                <w:color w:val="000000"/>
                <w:szCs w:val="24"/>
              </w:rPr>
            </w:pPr>
          </w:p>
          <w:p w14:paraId="0FF152CF" w14:textId="77777777" w:rsidR="00FB30B4" w:rsidRPr="007820C3" w:rsidRDefault="00FB30B4" w:rsidP="00A247A2">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07716D" w:rsidRDefault="00136717" w:rsidP="00136717">
            <w:pPr>
              <w:spacing w:before="60"/>
              <w:rPr>
                <w:rFonts w:ascii="Arial" w:hAnsi="Arial" w:cs="Arial"/>
                <w:szCs w:val="24"/>
              </w:rPr>
            </w:pPr>
            <w:r w:rsidRPr="0007716D">
              <w:rPr>
                <w:rFonts w:ascii="Arial" w:hAnsi="Arial" w:cs="Arial"/>
                <w:szCs w:val="24"/>
              </w:rPr>
              <w:t>No FORM 1 completed:</w:t>
            </w:r>
          </w:p>
          <w:p w14:paraId="5CBD4E4C" w14:textId="77777777" w:rsidR="00136717" w:rsidRPr="0007716D" w:rsidRDefault="00136717" w:rsidP="00136717">
            <w:pPr>
              <w:spacing w:before="60"/>
              <w:rPr>
                <w:rFonts w:ascii="Arial" w:hAnsi="Arial" w:cs="Arial"/>
                <w:szCs w:val="24"/>
              </w:rPr>
            </w:pPr>
          </w:p>
          <w:p w14:paraId="65718F40" w14:textId="77777777" w:rsidR="00136717" w:rsidRPr="0007716D" w:rsidRDefault="00136717" w:rsidP="00136717">
            <w:pPr>
              <w:spacing w:before="60"/>
              <w:rPr>
                <w:rFonts w:ascii="Arial" w:hAnsi="Arial" w:cs="Arial"/>
                <w:szCs w:val="24"/>
              </w:rPr>
            </w:pPr>
            <w:r w:rsidRPr="0007716D">
              <w:rPr>
                <w:rFonts w:ascii="Arial" w:hAnsi="Arial" w:cs="Arial"/>
                <w:szCs w:val="24"/>
              </w:rPr>
              <w:t xml:space="preserve">HRA is not required because there is no conceivable impact pathway to any Natura 2000/Ramsar site </w:t>
            </w:r>
          </w:p>
          <w:p w14:paraId="50917BB1" w14:textId="77777777" w:rsidR="00136717" w:rsidRPr="0007716D" w:rsidRDefault="00136717" w:rsidP="7126189C">
            <w:pPr>
              <w:spacing w:before="60"/>
              <w:rPr>
                <w:rFonts w:ascii="Arial" w:hAnsi="Arial" w:cs="Arial"/>
              </w:rPr>
            </w:pPr>
            <w:r w:rsidRPr="0007716D">
              <w:rPr>
                <w:rFonts w:ascii="Arial" w:hAnsi="Arial" w:cs="Arial"/>
              </w:rPr>
              <w:t>Note: From OGN 200 - no conceivable impact on any Natura 2000 site, by virtue of the scale or location or nature of the project.</w:t>
            </w:r>
          </w:p>
          <w:p w14:paraId="78430F49" w14:textId="77777777" w:rsidR="00136717" w:rsidRPr="005723CD" w:rsidRDefault="00136717" w:rsidP="7126189C">
            <w:pPr>
              <w:spacing w:before="60"/>
              <w:rPr>
                <w:rFonts w:ascii="Arial" w:hAnsi="Arial" w:cs="Arial"/>
                <w:color w:val="FF0000"/>
              </w:rPr>
            </w:pPr>
          </w:p>
          <w:p w14:paraId="67AFC2B0" w14:textId="77777777" w:rsidR="00136717" w:rsidRPr="007820C3" w:rsidRDefault="00136717" w:rsidP="0007716D">
            <w:pPr>
              <w:rPr>
                <w:rFonts w:ascii="Arial" w:hAnsi="Arial" w:cs="Arial"/>
                <w:color w:val="000000"/>
                <w:szCs w:val="24"/>
              </w:rPr>
            </w:pPr>
          </w:p>
        </w:tc>
        <w:tc>
          <w:tcPr>
            <w:tcW w:w="1072" w:type="dxa"/>
          </w:tcPr>
          <w:p w14:paraId="5CCCC72E" w14:textId="7D628668" w:rsidR="00136717" w:rsidRPr="00FB30B4" w:rsidRDefault="00BA67B1"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5ED60D5A"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36F7F7E3" w:rsidR="00FB30B4" w:rsidRDefault="00FB30B4" w:rsidP="00A60F17">
            <w:pPr>
              <w:rPr>
                <w:rFonts w:ascii="Arial" w:hAnsi="Arial" w:cs="Arial"/>
                <w:color w:val="FF0000"/>
                <w:szCs w:val="24"/>
              </w:rPr>
            </w:pPr>
          </w:p>
          <w:p w14:paraId="61ED8871" w14:textId="013870A0" w:rsidR="004352D5" w:rsidRPr="00822776" w:rsidRDefault="002058C7" w:rsidP="00A60F17">
            <w:pPr>
              <w:rPr>
                <w:rFonts w:ascii="Arial" w:hAnsi="Arial" w:cs="Arial"/>
                <w:szCs w:val="24"/>
              </w:rPr>
            </w:pPr>
            <w:r w:rsidRPr="00822776">
              <w:rPr>
                <w:rFonts w:ascii="Arial" w:hAnsi="Arial" w:cs="Arial"/>
                <w:szCs w:val="24"/>
              </w:rPr>
              <w:t>The farm is located above a principle aquifer and the</w:t>
            </w:r>
            <w:r w:rsidR="00C20B6B" w:rsidRPr="00822776">
              <w:rPr>
                <w:rFonts w:ascii="Arial" w:hAnsi="Arial" w:cs="Arial"/>
                <w:szCs w:val="24"/>
              </w:rPr>
              <w:t>re</w:t>
            </w:r>
            <w:r w:rsidRPr="00822776">
              <w:rPr>
                <w:rFonts w:ascii="Arial" w:hAnsi="Arial" w:cs="Arial"/>
                <w:szCs w:val="24"/>
              </w:rPr>
              <w:t xml:space="preserve"> are concern</w:t>
            </w:r>
            <w:r w:rsidR="00C20B6B" w:rsidRPr="00822776">
              <w:rPr>
                <w:rFonts w:ascii="Arial" w:hAnsi="Arial" w:cs="Arial"/>
                <w:szCs w:val="24"/>
              </w:rPr>
              <w:t>s</w:t>
            </w:r>
            <w:r w:rsidRPr="00822776">
              <w:rPr>
                <w:rFonts w:ascii="Arial" w:hAnsi="Arial" w:cs="Arial"/>
                <w:szCs w:val="24"/>
              </w:rPr>
              <w:t xml:space="preserve"> that annual disposal may not allow sufficient time for the chemicals to breakdown in the ground and subsoil before hitting the bedrock and subsequently going into the aquifer. The chemicals in the sheep dip tend to decay over a 18month – </w:t>
            </w:r>
            <w:proofErr w:type="gramStart"/>
            <w:r w:rsidRPr="00822776">
              <w:rPr>
                <w:rFonts w:ascii="Arial" w:hAnsi="Arial" w:cs="Arial"/>
                <w:szCs w:val="24"/>
              </w:rPr>
              <w:t>2 year</w:t>
            </w:r>
            <w:proofErr w:type="gramEnd"/>
            <w:r w:rsidRPr="00822776">
              <w:rPr>
                <w:rFonts w:ascii="Arial" w:hAnsi="Arial" w:cs="Arial"/>
                <w:szCs w:val="24"/>
              </w:rPr>
              <w:t xml:space="preserve"> period but continued application can create a concentration being built up. The proposed solution is </w:t>
            </w:r>
            <w:r w:rsidR="00822776" w:rsidRPr="00822776">
              <w:rPr>
                <w:rFonts w:ascii="Arial" w:hAnsi="Arial" w:cs="Arial"/>
                <w:szCs w:val="24"/>
              </w:rPr>
              <w:t xml:space="preserve">to </w:t>
            </w:r>
            <w:r w:rsidRPr="00822776">
              <w:rPr>
                <w:rFonts w:ascii="Arial" w:hAnsi="Arial" w:cs="Arial"/>
                <w:szCs w:val="24"/>
              </w:rPr>
              <w:t xml:space="preserve">have two disposal sites that </w:t>
            </w:r>
            <w:r w:rsidR="00822776" w:rsidRPr="00822776">
              <w:rPr>
                <w:rFonts w:ascii="Arial" w:hAnsi="Arial" w:cs="Arial"/>
                <w:szCs w:val="24"/>
              </w:rPr>
              <w:t>are</w:t>
            </w:r>
            <w:r w:rsidRPr="00822776">
              <w:rPr>
                <w:rFonts w:ascii="Arial" w:hAnsi="Arial" w:cs="Arial"/>
                <w:szCs w:val="24"/>
              </w:rPr>
              <w:t xml:space="preserve"> use</w:t>
            </w:r>
            <w:r w:rsidR="00822776" w:rsidRPr="00822776">
              <w:rPr>
                <w:rFonts w:ascii="Arial" w:hAnsi="Arial" w:cs="Arial"/>
                <w:szCs w:val="24"/>
              </w:rPr>
              <w:t>d</w:t>
            </w:r>
            <w:r w:rsidRPr="00822776">
              <w:rPr>
                <w:rFonts w:ascii="Arial" w:hAnsi="Arial" w:cs="Arial"/>
                <w:szCs w:val="24"/>
              </w:rPr>
              <w:t xml:space="preserve"> on alternate years, thus allowing sufficient time for the chemicals to decay. </w:t>
            </w:r>
          </w:p>
          <w:p w14:paraId="0E7EF133" w14:textId="77777777" w:rsidR="004352D5" w:rsidRDefault="004352D5" w:rsidP="00A60F17">
            <w:pPr>
              <w:rPr>
                <w:rFonts w:ascii="Arial" w:hAnsi="Arial" w:cs="Arial"/>
                <w:color w:val="FF0000"/>
                <w:szCs w:val="24"/>
              </w:rPr>
            </w:pPr>
          </w:p>
          <w:p w14:paraId="0FF152E4" w14:textId="77777777" w:rsidR="007820C3" w:rsidRPr="00B34FBB" w:rsidRDefault="007820C3" w:rsidP="00A60F17">
            <w:pPr>
              <w:rPr>
                <w:rFonts w:ascii="Arial" w:hAnsi="Arial" w:cs="Arial"/>
                <w:szCs w:val="24"/>
              </w:rPr>
            </w:pPr>
            <w:r w:rsidRPr="00B34FBB">
              <w:rPr>
                <w:rFonts w:ascii="Arial" w:hAnsi="Arial" w:cs="Arial"/>
                <w:szCs w:val="24"/>
              </w:rPr>
              <w:t xml:space="preserve">The operator considers this risk assessment is satisfactory. </w:t>
            </w:r>
          </w:p>
          <w:p w14:paraId="492EF422" w14:textId="77777777" w:rsidR="00FB30B4" w:rsidRDefault="00FB30B4" w:rsidP="00B34FBB">
            <w:pPr>
              <w:pStyle w:val="BodyText"/>
              <w:rPr>
                <w:rFonts w:ascii="Arial" w:hAnsi="Arial" w:cs="Arial"/>
                <w:szCs w:val="24"/>
              </w:rPr>
            </w:pPr>
          </w:p>
          <w:p w14:paraId="0FF152E9" w14:textId="611F1A33" w:rsidR="00A91DD7" w:rsidRPr="007820C3" w:rsidRDefault="00A91DD7" w:rsidP="00B34FBB">
            <w:pPr>
              <w:pStyle w:val="BodyText"/>
              <w:rPr>
                <w:rFonts w:ascii="Arial" w:hAnsi="Arial" w:cs="Arial"/>
                <w:szCs w:val="24"/>
              </w:rPr>
            </w:pPr>
          </w:p>
        </w:tc>
        <w:tc>
          <w:tcPr>
            <w:tcW w:w="1072" w:type="dxa"/>
          </w:tcPr>
          <w:p w14:paraId="0FF152EA" w14:textId="764FBC36" w:rsidR="007820C3" w:rsidRPr="00FB30B4" w:rsidRDefault="00BA67B1"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22256AE5" w14:textId="77777777" w:rsidR="00334C72" w:rsidRDefault="00334C72" w:rsidP="00792CEE">
            <w:pPr>
              <w:pStyle w:val="BodyText"/>
              <w:rPr>
                <w:rFonts w:ascii="Arial" w:hAnsi="Arial" w:cs="Arial"/>
                <w:color w:val="FF0000"/>
                <w:szCs w:val="24"/>
              </w:rPr>
            </w:pPr>
          </w:p>
          <w:p w14:paraId="0FF152EF" w14:textId="27D653F8" w:rsidR="007820C3" w:rsidRPr="00334C72" w:rsidRDefault="007820C3" w:rsidP="00792CEE">
            <w:pPr>
              <w:pStyle w:val="BodyText"/>
              <w:rPr>
                <w:rFonts w:ascii="Arial" w:hAnsi="Arial" w:cs="Arial"/>
                <w:color w:val="auto"/>
                <w:szCs w:val="24"/>
              </w:rPr>
            </w:pPr>
            <w:r w:rsidRPr="00334C72">
              <w:rPr>
                <w:rFonts w:ascii="Arial" w:hAnsi="Arial" w:cs="Arial"/>
                <w:color w:val="auto"/>
                <w:szCs w:val="24"/>
              </w:rPr>
              <w:t xml:space="preserve">The proposed techniques / emission levels for priorities for control are in line with the benchmark levels contained in the </w:t>
            </w:r>
            <w:r w:rsidR="006F63D9" w:rsidRPr="00334C72">
              <w:rPr>
                <w:rFonts w:ascii="Arial" w:hAnsi="Arial" w:cs="Arial"/>
                <w:color w:val="auto"/>
                <w:szCs w:val="24"/>
              </w:rPr>
              <w:t xml:space="preserve">Horizontal Guidance H1 </w:t>
            </w:r>
            <w:r w:rsidR="00334C72" w:rsidRPr="00334C72">
              <w:rPr>
                <w:rFonts w:ascii="Arial" w:hAnsi="Arial" w:cs="Arial"/>
                <w:color w:val="auto"/>
                <w:szCs w:val="24"/>
              </w:rPr>
              <w:t>–</w:t>
            </w:r>
            <w:r w:rsidR="006F63D9" w:rsidRPr="00334C72">
              <w:rPr>
                <w:rFonts w:ascii="Arial" w:hAnsi="Arial" w:cs="Arial"/>
                <w:color w:val="auto"/>
                <w:szCs w:val="24"/>
              </w:rPr>
              <w:t xml:space="preserve"> Annex</w:t>
            </w:r>
            <w:r w:rsidR="00334C72" w:rsidRPr="00334C72">
              <w:rPr>
                <w:rFonts w:ascii="Arial" w:hAnsi="Arial" w:cs="Arial"/>
                <w:color w:val="auto"/>
                <w:szCs w:val="24"/>
              </w:rPr>
              <w:t xml:space="preserve"> J1</w:t>
            </w:r>
            <w:r w:rsidRPr="00334C72">
              <w:rPr>
                <w:rFonts w:ascii="Arial" w:hAnsi="Arial" w:cs="Arial"/>
                <w:color w:val="auto"/>
                <w:szCs w:val="24"/>
              </w:rPr>
              <w:t xml:space="preserve"> and we consider them to represent appropriate techniques for the facility. </w:t>
            </w:r>
          </w:p>
          <w:p w14:paraId="0FF152F4" w14:textId="77777777" w:rsidR="00FB30B4" w:rsidRPr="007820C3" w:rsidRDefault="00FB30B4" w:rsidP="00334C72">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355F39">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6AE1A1B9"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consistent with the function of determining an application </w:t>
            </w:r>
            <w:r w:rsidRPr="00152D37">
              <w:rPr>
                <w:rFonts w:ascii="Arial" w:eastAsia="Arial" w:hAnsi="Arial" w:cs="Arial"/>
              </w:rPr>
              <w:t>for a  groundwater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63" w14:textId="634B91EB" w:rsidR="00FB30B4" w:rsidRPr="00E2339B" w:rsidRDefault="006765AE" w:rsidP="00E2339B">
      <w:pPr>
        <w:pStyle w:val="Heading1"/>
        <w:jc w:val="left"/>
        <w:rPr>
          <w:color w:val="FF0000"/>
          <w:sz w:val="24"/>
        </w:rPr>
      </w:pPr>
      <w:r>
        <w:br w:type="page"/>
      </w: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675BA2" w14:textId="77777777" w:rsidR="008F5233" w:rsidRDefault="008F5233">
      <w:r>
        <w:separator/>
      </w:r>
    </w:p>
  </w:endnote>
  <w:endnote w:type="continuationSeparator" w:id="0">
    <w:p w14:paraId="513E278E" w14:textId="77777777" w:rsidR="008F5233" w:rsidRDefault="008F5233">
      <w:r>
        <w:continuationSeparator/>
      </w:r>
    </w:p>
  </w:endnote>
  <w:endnote w:type="continuationNotice" w:id="1">
    <w:p w14:paraId="4B74151E" w14:textId="77777777" w:rsidR="008F5233" w:rsidRDefault="008F52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9509CB" w14:textId="77777777" w:rsidR="008F5233" w:rsidRDefault="008F5233">
      <w:r>
        <w:separator/>
      </w:r>
    </w:p>
  </w:footnote>
  <w:footnote w:type="continuationSeparator" w:id="0">
    <w:p w14:paraId="5B77DD09" w14:textId="77777777" w:rsidR="008F5233" w:rsidRDefault="008F5233">
      <w:r>
        <w:continuationSeparator/>
      </w:r>
    </w:p>
  </w:footnote>
  <w:footnote w:type="continuationNotice" w:id="1">
    <w:p w14:paraId="3F081936" w14:textId="77777777" w:rsidR="008F5233" w:rsidRDefault="008F523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16D"/>
    <w:rsid w:val="00077908"/>
    <w:rsid w:val="00081421"/>
    <w:rsid w:val="00087AFD"/>
    <w:rsid w:val="00094448"/>
    <w:rsid w:val="000A6110"/>
    <w:rsid w:val="000B0C2A"/>
    <w:rsid w:val="000C3151"/>
    <w:rsid w:val="000D0EAE"/>
    <w:rsid w:val="000D0FAE"/>
    <w:rsid w:val="000E2BCE"/>
    <w:rsid w:val="000E54AC"/>
    <w:rsid w:val="000F3D3D"/>
    <w:rsid w:val="001034AC"/>
    <w:rsid w:val="00107C27"/>
    <w:rsid w:val="00112F82"/>
    <w:rsid w:val="00120FD3"/>
    <w:rsid w:val="00124B9A"/>
    <w:rsid w:val="00136717"/>
    <w:rsid w:val="00141DD3"/>
    <w:rsid w:val="0014332B"/>
    <w:rsid w:val="00147725"/>
    <w:rsid w:val="00152D37"/>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58C7"/>
    <w:rsid w:val="00207C20"/>
    <w:rsid w:val="00210407"/>
    <w:rsid w:val="00216630"/>
    <w:rsid w:val="00221B8E"/>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2F63DE"/>
    <w:rsid w:val="00334C72"/>
    <w:rsid w:val="003405D9"/>
    <w:rsid w:val="00340EEB"/>
    <w:rsid w:val="00343BA5"/>
    <w:rsid w:val="00346CF0"/>
    <w:rsid w:val="00351A0A"/>
    <w:rsid w:val="00352859"/>
    <w:rsid w:val="00355F39"/>
    <w:rsid w:val="00362687"/>
    <w:rsid w:val="003719AD"/>
    <w:rsid w:val="0038174A"/>
    <w:rsid w:val="00382F62"/>
    <w:rsid w:val="003869DE"/>
    <w:rsid w:val="00392A21"/>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52D5"/>
    <w:rsid w:val="004373C9"/>
    <w:rsid w:val="0044196C"/>
    <w:rsid w:val="00444D3F"/>
    <w:rsid w:val="00455E3C"/>
    <w:rsid w:val="00475B36"/>
    <w:rsid w:val="00476B14"/>
    <w:rsid w:val="00481C68"/>
    <w:rsid w:val="004844DC"/>
    <w:rsid w:val="00486C2B"/>
    <w:rsid w:val="004A02F0"/>
    <w:rsid w:val="004A4BD9"/>
    <w:rsid w:val="004B3156"/>
    <w:rsid w:val="004C16AD"/>
    <w:rsid w:val="004E4325"/>
    <w:rsid w:val="004E4418"/>
    <w:rsid w:val="004E7719"/>
    <w:rsid w:val="004F72D1"/>
    <w:rsid w:val="00507C46"/>
    <w:rsid w:val="0053399B"/>
    <w:rsid w:val="0053589C"/>
    <w:rsid w:val="00564C6D"/>
    <w:rsid w:val="005761B2"/>
    <w:rsid w:val="005910D1"/>
    <w:rsid w:val="00591847"/>
    <w:rsid w:val="00591E64"/>
    <w:rsid w:val="005A5A04"/>
    <w:rsid w:val="005B36D9"/>
    <w:rsid w:val="005B6A95"/>
    <w:rsid w:val="005D0E13"/>
    <w:rsid w:val="005E1031"/>
    <w:rsid w:val="005F3989"/>
    <w:rsid w:val="0060410D"/>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84604"/>
    <w:rsid w:val="006926EA"/>
    <w:rsid w:val="006933D4"/>
    <w:rsid w:val="00695D92"/>
    <w:rsid w:val="006B0BFB"/>
    <w:rsid w:val="006B1FC3"/>
    <w:rsid w:val="006B4555"/>
    <w:rsid w:val="006C735F"/>
    <w:rsid w:val="006F3A65"/>
    <w:rsid w:val="006F4CBC"/>
    <w:rsid w:val="006F63D9"/>
    <w:rsid w:val="0070056C"/>
    <w:rsid w:val="00711CD7"/>
    <w:rsid w:val="00712437"/>
    <w:rsid w:val="00713293"/>
    <w:rsid w:val="0072381C"/>
    <w:rsid w:val="007257E9"/>
    <w:rsid w:val="007335DF"/>
    <w:rsid w:val="007573E4"/>
    <w:rsid w:val="00771574"/>
    <w:rsid w:val="00773847"/>
    <w:rsid w:val="007755AF"/>
    <w:rsid w:val="007820C3"/>
    <w:rsid w:val="00787470"/>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22776"/>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8F523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2F92"/>
    <w:rsid w:val="009E4BDC"/>
    <w:rsid w:val="00A0243B"/>
    <w:rsid w:val="00A06754"/>
    <w:rsid w:val="00A21684"/>
    <w:rsid w:val="00A247A2"/>
    <w:rsid w:val="00A269F8"/>
    <w:rsid w:val="00A26EA6"/>
    <w:rsid w:val="00A33020"/>
    <w:rsid w:val="00A343C7"/>
    <w:rsid w:val="00A436B6"/>
    <w:rsid w:val="00A46862"/>
    <w:rsid w:val="00A50874"/>
    <w:rsid w:val="00A569FF"/>
    <w:rsid w:val="00A60F17"/>
    <w:rsid w:val="00A669A4"/>
    <w:rsid w:val="00A76636"/>
    <w:rsid w:val="00A76A81"/>
    <w:rsid w:val="00A77D4D"/>
    <w:rsid w:val="00A83F58"/>
    <w:rsid w:val="00A91DD7"/>
    <w:rsid w:val="00AA4DA1"/>
    <w:rsid w:val="00AB6ED2"/>
    <w:rsid w:val="00AC66F9"/>
    <w:rsid w:val="00AD2646"/>
    <w:rsid w:val="00AD4B61"/>
    <w:rsid w:val="00AD4DCA"/>
    <w:rsid w:val="00AD731D"/>
    <w:rsid w:val="00AE6B54"/>
    <w:rsid w:val="00AE70BF"/>
    <w:rsid w:val="00AF517E"/>
    <w:rsid w:val="00B00F7A"/>
    <w:rsid w:val="00B10601"/>
    <w:rsid w:val="00B14CBC"/>
    <w:rsid w:val="00B34FBB"/>
    <w:rsid w:val="00B36EE5"/>
    <w:rsid w:val="00B62C2D"/>
    <w:rsid w:val="00B71CBB"/>
    <w:rsid w:val="00B73ECB"/>
    <w:rsid w:val="00B82F37"/>
    <w:rsid w:val="00B837E8"/>
    <w:rsid w:val="00BA67B1"/>
    <w:rsid w:val="00BB1620"/>
    <w:rsid w:val="00BB408D"/>
    <w:rsid w:val="00BB4528"/>
    <w:rsid w:val="00BC6644"/>
    <w:rsid w:val="00BE370B"/>
    <w:rsid w:val="00BE7950"/>
    <w:rsid w:val="00BF24F6"/>
    <w:rsid w:val="00BF3ECA"/>
    <w:rsid w:val="00C05011"/>
    <w:rsid w:val="00C052C4"/>
    <w:rsid w:val="00C07952"/>
    <w:rsid w:val="00C20B6B"/>
    <w:rsid w:val="00C24149"/>
    <w:rsid w:val="00C43A22"/>
    <w:rsid w:val="00C44B7E"/>
    <w:rsid w:val="00C57F82"/>
    <w:rsid w:val="00C8353B"/>
    <w:rsid w:val="00C85FD5"/>
    <w:rsid w:val="00C91798"/>
    <w:rsid w:val="00C93F6F"/>
    <w:rsid w:val="00C96B70"/>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0043"/>
    <w:rsid w:val="00D7711B"/>
    <w:rsid w:val="00D7760F"/>
    <w:rsid w:val="00D8193B"/>
    <w:rsid w:val="00D825C3"/>
    <w:rsid w:val="00D96438"/>
    <w:rsid w:val="00DA7403"/>
    <w:rsid w:val="00DA7802"/>
    <w:rsid w:val="00DB74B1"/>
    <w:rsid w:val="00DC16D7"/>
    <w:rsid w:val="00DC28B8"/>
    <w:rsid w:val="00DC3714"/>
    <w:rsid w:val="00DD068A"/>
    <w:rsid w:val="00DE09DD"/>
    <w:rsid w:val="00DE395A"/>
    <w:rsid w:val="00DE632F"/>
    <w:rsid w:val="00DF13FA"/>
    <w:rsid w:val="00E22C8C"/>
    <w:rsid w:val="00E2339B"/>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736BB"/>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REGU-193-13526568</_dlc_DocId>
    <_dlc_DocIdUrl xmlns="9be56660-2c31-41ef-bc00-23e72f632f2a">
      <Url>https://cyfoethnaturiolcymru.sharepoint.com/teams/Regulatory/Permitting/_layouts/15/DocIdRedir.aspx?ID=REGU-193-13526568</Url>
      <Description>REGU-193-13526568</Description>
    </_dlc_DocIdUrl>
    <License_x002f_Activity_x0020_Type xmlns="859f7ad6-93f6-4205-b62b-a17f28acbbac">6. EPR Groundwater Permits</License_x002f_Activity_x0020_Type>
    <IconOverlay xmlns="http://schemas.microsoft.com/sharepoint/v4" xsi:nil="true"/>
    <Site_x0020_Name xmlns="859f7ad6-93f6-4205-b62b-a17f28acbbac">Betlands Farm</Site_x0020_Name>
    <Internal_x002f_External xmlns="859f7ad6-93f6-4205-b62b-a17f28acbbac">Internal document</Internal_x002f_External>
    <Post_x0020_code xmlns="859f7ad6-93f6-4205-b62b-a17f28acbbac">SA3 1BD</Post_x0020_code>
    <Document_x0020_Type xmlns="859f7ad6-93f6-4205-b62b-a17f28acbbac">Report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Betlands Farm, Burry, Reynoldston, Swansea, SA3 1BD</Addressee>
    <Process_x0020_Type xmlns="859f7ad6-93f6-4205-b62b-a17f28acbbac">Application</Process_x0020_Type>
    <Surrendered_x002f_Expired xmlns="859f7ad6-93f6-4205-b62b-a17f28acbbac" xsi:nil="true"/>
    <Document_x0020_Date xmlns="859f7ad6-93f6-4205-b62b-a17f28acbbac">2021-11-25T00:00:00+00:00</Document_x0020_Date>
    <Facility_x0020_Address xmlns="859f7ad6-93f6-4205-b62b-a17f28acbbac">Burry, Reynoldston, Swansea</Facility_x0020_Address>
    <Environment_x0020_Sub_x0020_Folder xmlns="859f7ad6-93f6-4205-b62b-a17f28acbbac">Licences applications</Environment_x0020_Sub_x0020_Folder>
    <Customer_x0020_Name xmlns="859f7ad6-93f6-4205-b62b-a17f28acbbac">Mr David Gambold</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005db27c-c37f-4c3b-898d-3fee1249b087"/>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859f7ad6-93f6-4205-b62b-a17f28acbbac"/>
    <ds:schemaRef ds:uri="9be56660-2c31-41ef-bc00-23e72f632f2a"/>
    <ds:schemaRef ds:uri="6e121689-de5b-41b9-a751-bfeda7fa2b07"/>
    <ds:schemaRef ds:uri="http://purl.org/dc/elements/1.1/"/>
    <ds:schemaRef ds:uri="http://schemas.microsoft.com/sharepoint/v4"/>
    <ds:schemaRef ds:uri="976c396e-0f13-4de6-8381-592a969a477d"/>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FF582F1F-06CC-49CC-A380-39F56689DF5D}"/>
</file>

<file path=docProps/app.xml><?xml version="1.0" encoding="utf-8"?>
<Properties xmlns="http://schemas.openxmlformats.org/officeDocument/2006/extended-properties" xmlns:vt="http://schemas.openxmlformats.org/officeDocument/2006/docPropsVTypes">
  <Template>Normal</Template>
  <TotalTime>0</TotalTime>
  <Pages>5</Pages>
  <Words>923</Words>
  <Characters>5007</Characters>
  <Application>Microsoft Office Word</Application>
  <DocSecurity>0</DocSecurity>
  <Lines>41</Lines>
  <Paragraphs>11</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233_08_SD92 Environment permitting decision document for standalone water discharge or groundwater activity</vt:lpstr>
      <vt:lpstr>Natural Resources Wales permitting decisions</vt:lpstr>
      <vt:lpstr/>
      <vt:lpstr>Bespoke permit</vt:lpstr>
      <vt:lpstr>Annex 1: decision checklist </vt:lpstr>
      <vt:lpstr/>
    </vt:vector>
  </TitlesOfParts>
  <Company>Environment Agency</Company>
  <LinksUpToDate>false</LinksUpToDate>
  <CharactersWithSpaces>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Bickerton, Steve</cp:lastModifiedBy>
  <cp:revision>2</cp:revision>
  <cp:lastPrinted>2008-01-30T13:54:00Z</cp:lastPrinted>
  <dcterms:created xsi:type="dcterms:W3CDTF">2021-12-03T10:53:00Z</dcterms:created>
  <dcterms:modified xsi:type="dcterms:W3CDTF">2021-12-03T10:53:00Z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4932f36a-cf1b-4834-82f5-377c9be99a44</vt:lpwstr>
  </property>
  <property fmtid="{D5CDD505-2E9C-101B-9397-08002B2CF9AE}" pid="11" name="SharedWithUsers">
    <vt:lpwstr/>
  </property>
</Properties>
</file>