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B032162" w:rsidR="00D04424" w:rsidRPr="006B3193" w:rsidRDefault="0014332B" w:rsidP="003719AD">
      <w:pPr>
        <w:pStyle w:val="Heading1"/>
        <w:spacing w:before="0" w:after="0"/>
        <w:jc w:val="left"/>
        <w:rPr>
          <w:bCs/>
          <w:color w:val="auto"/>
          <w:sz w:val="32"/>
        </w:rPr>
      </w:pPr>
      <w:r w:rsidRPr="006B3193">
        <w:rPr>
          <w:bCs/>
          <w:color w:val="auto"/>
          <w:sz w:val="32"/>
        </w:rPr>
        <w:t>Bespoke p</w:t>
      </w:r>
      <w:r w:rsidR="00D04424" w:rsidRPr="006B3193">
        <w:rPr>
          <w:bCs/>
          <w:color w:val="auto"/>
          <w:sz w:val="32"/>
        </w:rPr>
        <w:t>ermit</w:t>
      </w:r>
      <w:r w:rsidR="00B73ECB" w:rsidRPr="006B3193">
        <w:rPr>
          <w:bCs/>
          <w:color w:val="auto"/>
          <w:sz w:val="32"/>
        </w:rPr>
        <w:t xml:space="preserve"> </w:t>
      </w:r>
    </w:p>
    <w:p w14:paraId="41AC372F" w14:textId="77777777" w:rsidR="00136717" w:rsidRPr="006B3193" w:rsidRDefault="00136717" w:rsidP="00136717"/>
    <w:p w14:paraId="0FF1524F" w14:textId="77777777" w:rsidR="007820C3" w:rsidRPr="006B3193" w:rsidRDefault="007820C3" w:rsidP="00D04424">
      <w:pPr>
        <w:rPr>
          <w:rFonts w:ascii="Arial" w:hAnsi="Arial" w:cs="Arial"/>
          <w:szCs w:val="24"/>
        </w:rPr>
      </w:pPr>
    </w:p>
    <w:p w14:paraId="0FF15250" w14:textId="643817A7" w:rsidR="00D04424" w:rsidRPr="006B3193" w:rsidRDefault="0060457F" w:rsidP="006B0BFB">
      <w:pPr>
        <w:spacing w:after="120"/>
        <w:rPr>
          <w:rFonts w:ascii="Arial" w:hAnsi="Arial" w:cs="Arial"/>
          <w:szCs w:val="24"/>
        </w:rPr>
      </w:pPr>
      <w:r w:rsidRPr="006B3193">
        <w:rPr>
          <w:rFonts w:ascii="Arial" w:hAnsi="Arial" w:cs="Arial"/>
          <w:szCs w:val="24"/>
        </w:rPr>
        <w:t xml:space="preserve">We have decided to </w:t>
      </w:r>
      <w:r w:rsidR="00D2020E" w:rsidRPr="006B3193">
        <w:rPr>
          <w:rFonts w:ascii="Arial" w:hAnsi="Arial" w:cs="Arial"/>
          <w:szCs w:val="24"/>
        </w:rPr>
        <w:t xml:space="preserve">grant </w:t>
      </w:r>
      <w:r w:rsidRPr="006B3193">
        <w:rPr>
          <w:rFonts w:ascii="Arial" w:hAnsi="Arial" w:cs="Arial"/>
          <w:szCs w:val="24"/>
        </w:rPr>
        <w:t>the permit</w:t>
      </w:r>
      <w:r w:rsidR="006B3193" w:rsidRPr="006B3193">
        <w:rPr>
          <w:rFonts w:ascii="Arial" w:hAnsi="Arial" w:cs="Arial"/>
          <w:szCs w:val="24"/>
        </w:rPr>
        <w:t xml:space="preserve"> </w:t>
      </w:r>
      <w:r w:rsidRPr="006B3193">
        <w:rPr>
          <w:rFonts w:ascii="Arial" w:hAnsi="Arial" w:cs="Arial"/>
          <w:szCs w:val="24"/>
        </w:rPr>
        <w:t xml:space="preserve">for </w:t>
      </w:r>
      <w:r w:rsidR="006B3193" w:rsidRPr="006B3193">
        <w:rPr>
          <w:rFonts w:ascii="Arial" w:hAnsi="Arial" w:cs="Arial"/>
          <w:szCs w:val="24"/>
        </w:rPr>
        <w:t>Norton Sewage Pumping Station</w:t>
      </w:r>
      <w:r w:rsidRPr="006B3193">
        <w:rPr>
          <w:rFonts w:ascii="Arial" w:hAnsi="Arial" w:cs="Arial"/>
          <w:szCs w:val="24"/>
        </w:rPr>
        <w:t xml:space="preserve"> operated by </w:t>
      </w:r>
      <w:proofErr w:type="spellStart"/>
      <w:r w:rsidR="006B3193" w:rsidRPr="006B3193">
        <w:rPr>
          <w:rFonts w:ascii="Arial" w:hAnsi="Arial" w:cs="Arial"/>
          <w:szCs w:val="24"/>
        </w:rPr>
        <w:t>Dŵr</w:t>
      </w:r>
      <w:proofErr w:type="spellEnd"/>
      <w:r w:rsidR="006B3193" w:rsidRPr="006B3193">
        <w:rPr>
          <w:rFonts w:ascii="Arial" w:hAnsi="Arial" w:cs="Arial"/>
          <w:szCs w:val="24"/>
        </w:rPr>
        <w:t xml:space="preserve"> Cymru </w:t>
      </w:r>
      <w:proofErr w:type="spellStart"/>
      <w:r w:rsidR="006B3193" w:rsidRPr="006B3193">
        <w:rPr>
          <w:rFonts w:ascii="Arial" w:hAnsi="Arial" w:cs="Arial"/>
          <w:szCs w:val="24"/>
        </w:rPr>
        <w:t>Cyfyngedig</w:t>
      </w:r>
      <w:proofErr w:type="spellEnd"/>
      <w:r w:rsidR="006B3193" w:rsidRPr="006B3193">
        <w:rPr>
          <w:rFonts w:ascii="Arial" w:hAnsi="Arial" w:cs="Arial"/>
          <w:szCs w:val="24"/>
        </w:rPr>
        <w:t>.</w:t>
      </w:r>
    </w:p>
    <w:p w14:paraId="178F17B4" w14:textId="0911B18E" w:rsidR="00E907C6" w:rsidRPr="002B1A24" w:rsidRDefault="00E907C6" w:rsidP="006B0BFB">
      <w:pPr>
        <w:tabs>
          <w:tab w:val="left" w:pos="4253"/>
          <w:tab w:val="left" w:pos="6804"/>
        </w:tabs>
        <w:spacing w:after="120"/>
        <w:rPr>
          <w:rFonts w:ascii="Arial" w:hAnsi="Arial"/>
          <w:kern w:val="28"/>
          <w:szCs w:val="24"/>
        </w:rPr>
      </w:pPr>
      <w:bookmarkStart w:id="0" w:name="OLE_LINK1"/>
      <w:bookmarkStart w:id="1" w:name="OLE_LINK2"/>
      <w:r w:rsidRPr="006B3193">
        <w:rPr>
          <w:rFonts w:ascii="Arial" w:hAnsi="Arial"/>
          <w:kern w:val="28"/>
          <w:szCs w:val="24"/>
        </w:rPr>
        <w:t xml:space="preserve">The application number is </w:t>
      </w:r>
      <w:r w:rsidR="006B3193" w:rsidRPr="006B3193">
        <w:rPr>
          <w:rFonts w:ascii="Arial" w:hAnsi="Arial"/>
          <w:szCs w:val="24"/>
        </w:rPr>
        <w:t>PAN-014588</w:t>
      </w:r>
    </w:p>
    <w:p w14:paraId="0FF15251" w14:textId="75936B39" w:rsidR="00D04424" w:rsidRPr="002B1A24" w:rsidRDefault="00D04424" w:rsidP="006B0BFB">
      <w:pPr>
        <w:tabs>
          <w:tab w:val="left" w:pos="4253"/>
          <w:tab w:val="left" w:pos="6804"/>
        </w:tabs>
        <w:spacing w:after="120"/>
        <w:rPr>
          <w:rFonts w:ascii="Arial" w:hAnsi="Arial"/>
          <w:szCs w:val="24"/>
        </w:rPr>
      </w:pPr>
      <w:r w:rsidRPr="002B1A24">
        <w:rPr>
          <w:rFonts w:ascii="Arial" w:hAnsi="Arial"/>
          <w:kern w:val="28"/>
          <w:szCs w:val="24"/>
        </w:rPr>
        <w:t>The</w:t>
      </w:r>
      <w:r w:rsidRPr="002B1A24">
        <w:rPr>
          <w:rFonts w:ascii="Arial" w:hAnsi="Arial"/>
          <w:b/>
          <w:kern w:val="28"/>
          <w:szCs w:val="24"/>
        </w:rPr>
        <w:t xml:space="preserve"> </w:t>
      </w:r>
      <w:r w:rsidRPr="002B1A24">
        <w:rPr>
          <w:rFonts w:ascii="Arial" w:hAnsi="Arial"/>
          <w:szCs w:val="24"/>
        </w:rPr>
        <w:t xml:space="preserve">permit number is </w:t>
      </w:r>
      <w:r w:rsidR="002B1A24" w:rsidRPr="002B1A24">
        <w:rPr>
          <w:rFonts w:ascii="Arial" w:hAnsi="Arial"/>
          <w:szCs w:val="24"/>
        </w:rPr>
        <w:t>EPR/CB3391CJ</w:t>
      </w:r>
    </w:p>
    <w:bookmarkEnd w:id="0"/>
    <w:bookmarkEnd w:id="1"/>
    <w:p w14:paraId="5A2D4FAB" w14:textId="77777777" w:rsidR="006B3193" w:rsidRPr="006B3193" w:rsidRDefault="006B3193" w:rsidP="006B3193">
      <w:pPr>
        <w:spacing w:after="120"/>
        <w:rPr>
          <w:rFonts w:ascii="Arial" w:hAnsi="Arial"/>
          <w:color w:val="000000"/>
        </w:rPr>
      </w:pPr>
      <w:r w:rsidRPr="002B1A24">
        <w:rPr>
          <w:rFonts w:ascii="Arial" w:hAnsi="Arial"/>
        </w:rPr>
        <w:t xml:space="preserve">The permit regulates the discharge of sewage in an emergency at Norton Sewage Pumping Station </w:t>
      </w:r>
      <w:r w:rsidRPr="006B3193">
        <w:rPr>
          <w:rFonts w:ascii="Arial" w:hAnsi="Arial"/>
          <w:color w:val="000000"/>
        </w:rPr>
        <w:t xml:space="preserve">(SPS). The SPS will include an emergency overflow which will discharge to Norton Brook when the pumping station is inoperative due to electrical power failure, mechanical breakdown of duty and standby pumps, rising main failure or blockage of the downstream sewer. </w:t>
      </w:r>
    </w:p>
    <w:p w14:paraId="2F904042" w14:textId="77777777" w:rsidR="006B3193" w:rsidRDefault="006B3193" w:rsidP="006B3193">
      <w:pPr>
        <w:spacing w:after="120"/>
        <w:rPr>
          <w:rFonts w:ascii="Arial" w:hAnsi="Arial"/>
          <w:color w:val="000000"/>
        </w:rPr>
      </w:pPr>
      <w:r w:rsidRPr="006B3193">
        <w:rPr>
          <w:rFonts w:ascii="Arial" w:hAnsi="Arial"/>
          <w:color w:val="000000"/>
        </w:rPr>
        <w:t xml:space="preserve">The SPS is a new asset which will supersede the existing Norton Wastewater Treatment Works. Sewage previously receiving treatment at treatment works is to be pumped forward, via a new pressurised main, to Presteigne WwTW approximately 2.8 km southeast of the site. </w:t>
      </w:r>
    </w:p>
    <w:p w14:paraId="0FF15253" w14:textId="206DCE4E" w:rsidR="00D04424" w:rsidRDefault="00D04424" w:rsidP="006B3193">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2236F69" w:rsidR="00D04424" w:rsidRDefault="00D04424" w:rsidP="00D04424">
      <w:pPr>
        <w:rPr>
          <w:rFonts w:ascii="Arial" w:hAnsi="Arial"/>
          <w:b/>
          <w:sz w:val="28"/>
          <w:szCs w:val="28"/>
        </w:rPr>
      </w:pPr>
      <w:r w:rsidRPr="00476B14">
        <w:rPr>
          <w:rFonts w:ascii="Arial" w:hAnsi="Arial"/>
          <w:b/>
          <w:sz w:val="28"/>
          <w:szCs w:val="28"/>
        </w:rPr>
        <w:t>Structure of this document</w:t>
      </w:r>
    </w:p>
    <w:p w14:paraId="5476066E" w14:textId="77777777" w:rsidR="006B3193" w:rsidRPr="00476B14" w:rsidRDefault="006B3193" w:rsidP="00D04424">
      <w:pPr>
        <w:rPr>
          <w:rFonts w:ascii="Arial" w:hAnsi="Arial"/>
          <w:b/>
          <w:caps/>
          <w:sz w:val="28"/>
          <w:szCs w:val="28"/>
        </w:rPr>
      </w:pPr>
    </w:p>
    <w:p w14:paraId="0FF15263" w14:textId="71667DA4" w:rsidR="006420BA" w:rsidRPr="006B3193"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728A248" w14:textId="4F1908F8" w:rsidR="007A0CC7" w:rsidRPr="006E68E8" w:rsidRDefault="007A0CC7" w:rsidP="006E68E8">
      <w:pPr>
        <w:ind w:left="567"/>
        <w:rPr>
          <w:rFonts w:ascii="Arial" w:hAnsi="Arial"/>
          <w:szCs w:val="24"/>
        </w:rPr>
      </w:pPr>
    </w:p>
    <w:p w14:paraId="0FF15271" w14:textId="5A96E530"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214A42F2" w14:textId="5BDC89FC" w:rsidR="009A3F85" w:rsidRP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0294F8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B3193">
              <w:rPr>
                <w:rFonts w:ascii="Arial" w:hAnsi="Arial" w:cs="Arial"/>
                <w:b w:val="0"/>
                <w:szCs w:val="24"/>
              </w:rPr>
              <w:t>consultation</w:t>
            </w:r>
            <w:r w:rsidR="006B3193" w:rsidRPr="006B3193">
              <w:rPr>
                <w:rFonts w:ascii="Arial" w:hAnsi="Arial" w:cs="Arial"/>
                <w:b w:val="0"/>
                <w:szCs w:val="24"/>
              </w:rPr>
              <w:t xml:space="preserve"> and </w:t>
            </w:r>
            <w:r w:rsidRPr="006B3193">
              <w:rPr>
                <w:rFonts w:ascii="Arial" w:hAnsi="Arial" w:cs="Arial"/>
                <w:b w:val="0"/>
                <w:szCs w:val="24"/>
              </w:rPr>
              <w:t xml:space="preserve">web publicising </w:t>
            </w:r>
          </w:p>
        </w:tc>
        <w:tc>
          <w:tcPr>
            <w:tcW w:w="6266" w:type="dxa"/>
            <w:tcBorders>
              <w:bottom w:val="single" w:sz="4" w:space="0" w:color="auto"/>
            </w:tcBorders>
          </w:tcPr>
          <w:p w14:paraId="0FF1529A" w14:textId="6D4D8CBA" w:rsidR="007820C3" w:rsidRPr="00C052C4" w:rsidRDefault="007820C3" w:rsidP="007820C3">
            <w:pPr>
              <w:spacing w:before="60"/>
              <w:rPr>
                <w:rFonts w:ascii="Arial" w:hAnsi="Arial" w:cs="Arial"/>
                <w:szCs w:val="24"/>
              </w:rPr>
            </w:pPr>
            <w:r w:rsidRPr="00C052C4">
              <w:rPr>
                <w:rFonts w:ascii="Arial" w:hAnsi="Arial" w:cs="Arial"/>
                <w:szCs w:val="24"/>
              </w:rPr>
              <w:t xml:space="preserve">The </w:t>
            </w:r>
            <w:r w:rsidRPr="006B3193">
              <w:rPr>
                <w:rFonts w:ascii="Arial" w:hAnsi="Arial" w:cs="Arial"/>
                <w:szCs w:val="24"/>
              </w:rPr>
              <w:t>web publicising</w:t>
            </w:r>
            <w:r w:rsidR="006B3193" w:rsidRPr="006B3193">
              <w:rPr>
                <w:rFonts w:ascii="Arial" w:hAnsi="Arial" w:cs="Arial"/>
                <w:szCs w:val="24"/>
              </w:rPr>
              <w:t xml:space="preserve"> and</w:t>
            </w:r>
            <w:r w:rsidRPr="006B3193">
              <w:rPr>
                <w:rFonts w:ascii="Arial" w:hAnsi="Arial" w:cs="Arial"/>
                <w:szCs w:val="24"/>
              </w:rPr>
              <w:t xml:space="preserve"> consultation responses </w:t>
            </w:r>
            <w:r w:rsidR="007A0CC7">
              <w:rPr>
                <w:rFonts w:ascii="Arial" w:hAnsi="Arial" w:cs="Arial"/>
                <w:szCs w:val="24"/>
              </w:rPr>
              <w:t>(Annex 2)</w:t>
            </w:r>
            <w:r w:rsidRPr="006B3193">
              <w:rPr>
                <w:rFonts w:ascii="Arial" w:hAnsi="Arial" w:cs="Arial"/>
                <w:szCs w:val="24"/>
              </w:rPr>
              <w:t xml:space="preserve"> </w:t>
            </w:r>
            <w:r w:rsidRPr="00C052C4">
              <w:rPr>
                <w:rFonts w:ascii="Arial" w:hAnsi="Arial" w:cs="Arial"/>
                <w:szCs w:val="24"/>
              </w:rPr>
              <w:t xml:space="preserve">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313D3CE2" w:rsidR="007820C3" w:rsidRDefault="007820C3" w:rsidP="007820C3">
            <w:pPr>
              <w:spacing w:before="60"/>
              <w:rPr>
                <w:rFonts w:ascii="Arial" w:hAnsi="Arial" w:cs="Arial"/>
                <w:szCs w:val="24"/>
              </w:rPr>
            </w:pPr>
          </w:p>
          <w:p w14:paraId="15557A6D" w14:textId="5E5522E1" w:rsidR="006B3193" w:rsidRDefault="006B3193" w:rsidP="007820C3">
            <w:pPr>
              <w:spacing w:before="60"/>
              <w:rPr>
                <w:rFonts w:ascii="Arial" w:hAnsi="Arial" w:cs="Arial"/>
                <w:szCs w:val="24"/>
              </w:rPr>
            </w:pPr>
            <w:r>
              <w:rPr>
                <w:rFonts w:ascii="Arial" w:hAnsi="Arial" w:cs="Arial"/>
                <w:szCs w:val="24"/>
              </w:rPr>
              <w:t xml:space="preserve">No responses were received from web publicising. </w:t>
            </w:r>
          </w:p>
          <w:p w14:paraId="294289FC" w14:textId="77777777" w:rsidR="006B3193" w:rsidRPr="00C052C4" w:rsidRDefault="006B319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E65945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6B319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B319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0FF152C6" w14:textId="77777777" w:rsidR="007820C3" w:rsidRPr="007A0CC7" w:rsidRDefault="007820C3" w:rsidP="00EF499E">
            <w:pPr>
              <w:rPr>
                <w:rFonts w:ascii="Arial" w:hAnsi="Arial" w:cs="Arial"/>
                <w:szCs w:val="24"/>
              </w:rPr>
            </w:pPr>
            <w:r w:rsidRPr="007A0CC7">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7A0CC7" w:rsidRDefault="007820C3" w:rsidP="00EF499E">
            <w:pPr>
              <w:rPr>
                <w:rFonts w:ascii="Arial" w:hAnsi="Arial" w:cs="Arial"/>
                <w:szCs w:val="24"/>
              </w:rPr>
            </w:pPr>
          </w:p>
          <w:p w14:paraId="0FF152C8" w14:textId="7FAACAB1" w:rsidR="007820C3" w:rsidRPr="007A0CC7" w:rsidRDefault="007820C3" w:rsidP="00EF499E">
            <w:pPr>
              <w:rPr>
                <w:rFonts w:ascii="Arial" w:hAnsi="Arial" w:cs="Arial"/>
                <w:szCs w:val="24"/>
              </w:rPr>
            </w:pPr>
            <w:r w:rsidRPr="007A0CC7">
              <w:rPr>
                <w:rFonts w:ascii="Arial" w:hAnsi="Arial" w:cs="Arial"/>
                <w:szCs w:val="24"/>
              </w:rPr>
              <w:t>A full assessment of the application and its potential to affect the site</w:t>
            </w:r>
            <w:r w:rsidR="009A3F85" w:rsidRPr="007A0CC7">
              <w:rPr>
                <w:rFonts w:ascii="Arial" w:hAnsi="Arial" w:cs="Arial"/>
                <w:szCs w:val="24"/>
              </w:rPr>
              <w:t xml:space="preserve"> </w:t>
            </w:r>
            <w:r w:rsidRPr="007A0CC7">
              <w:rPr>
                <w:rFonts w:ascii="Arial" w:hAnsi="Arial" w:cs="Arial"/>
                <w:szCs w:val="24"/>
              </w:rPr>
              <w:t>has been carried out as part of the permitting process. We consider that the application will not affect the features of the site</w:t>
            </w:r>
            <w:r w:rsidR="006B3193" w:rsidRPr="007A0CC7">
              <w:rPr>
                <w:rFonts w:ascii="Arial" w:hAnsi="Arial" w:cs="Arial"/>
                <w:szCs w:val="24"/>
              </w:rPr>
              <w:t xml:space="preserve">. An Appendix 4 report has been completed and is available to view in the relevant DMS folder. </w:t>
            </w:r>
          </w:p>
          <w:p w14:paraId="0FF152CB" w14:textId="77777777" w:rsidR="007820C3" w:rsidRPr="007A0CC7" w:rsidRDefault="007820C3" w:rsidP="00EF499E">
            <w:pPr>
              <w:rPr>
                <w:rFonts w:ascii="Arial" w:hAnsi="Arial" w:cs="Arial"/>
                <w:szCs w:val="24"/>
              </w:rPr>
            </w:pPr>
          </w:p>
          <w:p w14:paraId="0FF152CC" w14:textId="035F12F2" w:rsidR="007820C3" w:rsidRPr="007A0CC7" w:rsidRDefault="007820C3" w:rsidP="00EF499E">
            <w:pPr>
              <w:rPr>
                <w:rFonts w:ascii="Arial" w:hAnsi="Arial" w:cs="Arial"/>
                <w:szCs w:val="24"/>
              </w:rPr>
            </w:pPr>
            <w:r w:rsidRPr="007A0CC7">
              <w:rPr>
                <w:rFonts w:ascii="Arial" w:hAnsi="Arial" w:cs="Arial"/>
                <w:szCs w:val="24"/>
              </w:rPr>
              <w:t xml:space="preserve">Formal consultation has been carried out with </w:t>
            </w:r>
            <w:r w:rsidR="006B3193" w:rsidRPr="007A0CC7">
              <w:rPr>
                <w:rFonts w:ascii="Arial" w:hAnsi="Arial" w:cs="Arial"/>
                <w:szCs w:val="24"/>
              </w:rPr>
              <w:t xml:space="preserve">Natural England. </w:t>
            </w:r>
            <w:r w:rsidRPr="007A0CC7">
              <w:rPr>
                <w:rFonts w:ascii="Arial" w:hAnsi="Arial" w:cs="Arial"/>
                <w:szCs w:val="24"/>
              </w:rPr>
              <w:t xml:space="preserve">The consultation responses (Annex 2) were </w:t>
            </w:r>
            <w:proofErr w:type="gramStart"/>
            <w:r w:rsidRPr="007A0CC7">
              <w:rPr>
                <w:rFonts w:ascii="Arial" w:hAnsi="Arial" w:cs="Arial"/>
                <w:szCs w:val="24"/>
              </w:rPr>
              <w:t>taken into account</w:t>
            </w:r>
            <w:proofErr w:type="gramEnd"/>
            <w:r w:rsidRPr="007A0CC7">
              <w:rPr>
                <w:rFonts w:ascii="Arial" w:hAnsi="Arial" w:cs="Arial"/>
                <w:szCs w:val="24"/>
              </w:rPr>
              <w:t xml:space="preserve"> in the permitting decision.  </w:t>
            </w:r>
          </w:p>
          <w:p w14:paraId="0FF152CF" w14:textId="77777777" w:rsidR="00FB30B4" w:rsidRPr="007A0CC7" w:rsidRDefault="00FB30B4" w:rsidP="006B3193">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A0CC7" w:rsidRDefault="00136717" w:rsidP="00136717">
            <w:pPr>
              <w:rPr>
                <w:rFonts w:ascii="Arial" w:hAnsi="Arial" w:cs="Arial"/>
                <w:szCs w:val="24"/>
              </w:rPr>
            </w:pPr>
            <w:r w:rsidRPr="007A0CC7">
              <w:rPr>
                <w:rFonts w:ascii="Arial" w:hAnsi="Arial" w:cs="Arial"/>
                <w:szCs w:val="24"/>
              </w:rPr>
              <w:t>Habitat Regulation Assessment for a designated site under the EU Habitats Directive</w:t>
            </w:r>
          </w:p>
        </w:tc>
        <w:tc>
          <w:tcPr>
            <w:tcW w:w="6266" w:type="dxa"/>
          </w:tcPr>
          <w:p w14:paraId="7D987494" w14:textId="77777777" w:rsidR="00136717" w:rsidRPr="007A0CC7" w:rsidRDefault="00136717" w:rsidP="00136717">
            <w:pPr>
              <w:spacing w:before="60"/>
              <w:rPr>
                <w:rFonts w:ascii="Arial" w:hAnsi="Arial" w:cs="Arial"/>
                <w:szCs w:val="24"/>
              </w:rPr>
            </w:pPr>
            <w:r w:rsidRPr="007A0CC7">
              <w:rPr>
                <w:rFonts w:ascii="Arial" w:hAnsi="Arial" w:cs="Arial"/>
                <w:szCs w:val="24"/>
              </w:rPr>
              <w:t>No FORM 1 completed:</w:t>
            </w:r>
          </w:p>
          <w:p w14:paraId="5CBD4E4C" w14:textId="77777777" w:rsidR="00136717" w:rsidRPr="007A0CC7" w:rsidRDefault="00136717" w:rsidP="00136717">
            <w:pPr>
              <w:spacing w:before="60"/>
              <w:rPr>
                <w:rFonts w:ascii="Arial" w:hAnsi="Arial" w:cs="Arial"/>
                <w:szCs w:val="24"/>
              </w:rPr>
            </w:pPr>
          </w:p>
          <w:p w14:paraId="65718F40" w14:textId="142C1EC0" w:rsidR="00136717" w:rsidRPr="007A0CC7" w:rsidRDefault="00136717" w:rsidP="00136717">
            <w:pPr>
              <w:spacing w:before="60"/>
              <w:rPr>
                <w:rFonts w:ascii="Arial" w:hAnsi="Arial" w:cs="Arial"/>
                <w:szCs w:val="24"/>
              </w:rPr>
            </w:pPr>
            <w:r w:rsidRPr="007A0CC7">
              <w:rPr>
                <w:rFonts w:ascii="Arial" w:hAnsi="Arial" w:cs="Arial"/>
                <w:szCs w:val="24"/>
              </w:rPr>
              <w:t>HRA is not required because there is no conceivable impact pathway to any Natura 2000/Ramsar site</w:t>
            </w:r>
            <w:r w:rsidR="009B0461">
              <w:rPr>
                <w:rFonts w:ascii="Arial" w:hAnsi="Arial" w:cs="Arial"/>
                <w:szCs w:val="24"/>
              </w:rPr>
              <w:t>.</w:t>
            </w:r>
            <w:r w:rsidRPr="007A0CC7">
              <w:rPr>
                <w:rFonts w:ascii="Arial" w:hAnsi="Arial" w:cs="Arial"/>
                <w:szCs w:val="24"/>
              </w:rPr>
              <w:t xml:space="preserve"> </w:t>
            </w:r>
          </w:p>
          <w:p w14:paraId="50917BB1" w14:textId="77777777" w:rsidR="00136717" w:rsidRPr="007A0CC7" w:rsidRDefault="00136717" w:rsidP="7126189C">
            <w:pPr>
              <w:spacing w:before="60"/>
              <w:rPr>
                <w:rFonts w:ascii="Arial" w:hAnsi="Arial" w:cs="Arial"/>
              </w:rPr>
            </w:pPr>
            <w:r w:rsidRPr="007A0CC7">
              <w:rPr>
                <w:rFonts w:ascii="Arial" w:hAnsi="Arial" w:cs="Arial"/>
              </w:rPr>
              <w:t>Note: From OGN 200 - no conceivable impact on any Natura 2000 site, by virtue of the scale or location or nature of the project.</w:t>
            </w:r>
          </w:p>
          <w:p w14:paraId="67AFC2B0" w14:textId="7400A1E9" w:rsidR="00136717" w:rsidRPr="007A0CC7" w:rsidRDefault="009B0461" w:rsidP="007A0CC7">
            <w:pPr>
              <w:rPr>
                <w:rFonts w:ascii="Arial" w:hAnsi="Arial" w:cs="Arial"/>
                <w:szCs w:val="24"/>
              </w:rPr>
            </w:pPr>
            <w:r w:rsidRPr="009B0461">
              <w:rPr>
                <w:rFonts w:ascii="Arial" w:hAnsi="Arial" w:cs="Arial"/>
                <w:szCs w:val="24"/>
              </w:rPr>
              <w:t xml:space="preserve">Additionally, the permit for Norton WwTW (AW1004701) will be surrendered should the permit for the SPS be issued. This will result in an improvement as there will be no additional input of treated/untreated sewage effluent at this point.   </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421DDA" w:rsidRPr="007820C3" w14:paraId="0FF152EB" w14:textId="77777777" w:rsidTr="396B50C7">
        <w:trPr>
          <w:gridAfter w:val="1"/>
          <w:wAfter w:w="13" w:type="dxa"/>
        </w:trPr>
        <w:tc>
          <w:tcPr>
            <w:tcW w:w="1951" w:type="dxa"/>
          </w:tcPr>
          <w:p w14:paraId="0FF152E0" w14:textId="77777777" w:rsidR="00421DDA" w:rsidRPr="007A0CC7" w:rsidRDefault="00421DDA" w:rsidP="00421DDA">
            <w:pPr>
              <w:rPr>
                <w:rFonts w:ascii="Arial" w:hAnsi="Arial" w:cs="Arial"/>
                <w:szCs w:val="24"/>
              </w:rPr>
            </w:pPr>
            <w:r w:rsidRPr="007A0CC7">
              <w:rPr>
                <w:rFonts w:ascii="Arial" w:hAnsi="Arial" w:cs="Arial"/>
                <w:szCs w:val="24"/>
              </w:rPr>
              <w:t>Environmental risk</w:t>
            </w:r>
          </w:p>
          <w:p w14:paraId="0FF152E1" w14:textId="75A7E420" w:rsidR="00421DDA" w:rsidRPr="007A0CC7" w:rsidRDefault="00421DDA" w:rsidP="00421DDA">
            <w:pPr>
              <w:rPr>
                <w:rFonts w:ascii="Arial" w:hAnsi="Arial" w:cs="Arial"/>
                <w:szCs w:val="24"/>
              </w:rPr>
            </w:pPr>
          </w:p>
        </w:tc>
        <w:tc>
          <w:tcPr>
            <w:tcW w:w="6266" w:type="dxa"/>
          </w:tcPr>
          <w:p w14:paraId="0FF152E2" w14:textId="77777777" w:rsidR="00421DDA" w:rsidRPr="007A0CC7" w:rsidRDefault="00421DDA" w:rsidP="00421DDA">
            <w:pPr>
              <w:rPr>
                <w:rFonts w:ascii="Arial" w:hAnsi="Arial" w:cs="Arial"/>
                <w:szCs w:val="24"/>
              </w:rPr>
            </w:pPr>
            <w:r w:rsidRPr="007A0CC7">
              <w:rPr>
                <w:rFonts w:ascii="Arial" w:hAnsi="Arial" w:cs="Arial"/>
                <w:szCs w:val="24"/>
              </w:rPr>
              <w:t xml:space="preserve">We have carried out a risk assessment on behalf of the operator.  </w:t>
            </w:r>
          </w:p>
          <w:p w14:paraId="0FF152E3" w14:textId="77777777" w:rsidR="00421DDA" w:rsidRPr="007A0CC7" w:rsidRDefault="00421DDA" w:rsidP="00421DDA">
            <w:pPr>
              <w:rPr>
                <w:rFonts w:ascii="Arial" w:hAnsi="Arial" w:cs="Arial"/>
                <w:szCs w:val="24"/>
              </w:rPr>
            </w:pPr>
          </w:p>
          <w:p w14:paraId="0FF152E4" w14:textId="77777777" w:rsidR="00421DDA" w:rsidRPr="007A0CC7" w:rsidRDefault="00421DDA" w:rsidP="00421DDA">
            <w:pPr>
              <w:rPr>
                <w:rFonts w:ascii="Arial" w:hAnsi="Arial" w:cs="Arial"/>
                <w:szCs w:val="24"/>
              </w:rPr>
            </w:pPr>
            <w:r w:rsidRPr="007A0CC7">
              <w:rPr>
                <w:rFonts w:ascii="Arial" w:hAnsi="Arial" w:cs="Arial"/>
                <w:szCs w:val="24"/>
              </w:rPr>
              <w:t xml:space="preserve">The operator considers this risk assessment is satisfactory. </w:t>
            </w:r>
          </w:p>
          <w:p w14:paraId="0FF152E9" w14:textId="63932287" w:rsidR="00421DDA" w:rsidRPr="007A0CC7" w:rsidRDefault="00421DDA" w:rsidP="00421DDA">
            <w:pPr>
              <w:pStyle w:val="BodyText"/>
              <w:rPr>
                <w:rFonts w:ascii="Arial" w:hAnsi="Arial" w:cs="Arial"/>
                <w:color w:val="auto"/>
                <w:szCs w:val="24"/>
              </w:rPr>
            </w:pPr>
            <w:r w:rsidRPr="007A0CC7">
              <w:rPr>
                <w:rFonts w:ascii="Arial" w:hAnsi="Arial" w:cs="Arial"/>
                <w:color w:val="auto"/>
                <w:szCs w:val="24"/>
              </w:rPr>
              <w:t>The assessment shows that, applying the conservative criteria in our guidance on Environmental Risk Assessment, all emissions may be categorised as environmentally insignificant.</w:t>
            </w:r>
          </w:p>
        </w:tc>
        <w:tc>
          <w:tcPr>
            <w:tcW w:w="1072" w:type="dxa"/>
          </w:tcPr>
          <w:p w14:paraId="0FF152EA" w14:textId="426BE570" w:rsidR="00421DDA" w:rsidRPr="00FB30B4" w:rsidRDefault="00421DDA" w:rsidP="00421DDA">
            <w:pPr>
              <w:rPr>
                <w:rFonts w:ascii="Arial" w:hAnsi="Arial" w:cs="Arial"/>
                <w:color w:val="000000"/>
                <w:szCs w:val="24"/>
              </w:rPr>
            </w:pPr>
            <w:r w:rsidRPr="00FB30B4">
              <w:rPr>
                <w:rFonts w:ascii="Wingdings" w:eastAsia="Wingdings" w:hAnsi="Wingdings" w:cs="Wingdings"/>
                <w:color w:val="000000"/>
                <w:szCs w:val="24"/>
              </w:rPr>
              <w:t>ü</w:t>
            </w:r>
          </w:p>
        </w:tc>
      </w:tr>
      <w:tr w:rsidR="00421DDA" w:rsidRPr="007820C3" w14:paraId="0FF152F6" w14:textId="77777777" w:rsidTr="396B50C7">
        <w:trPr>
          <w:gridAfter w:val="1"/>
          <w:wAfter w:w="13" w:type="dxa"/>
        </w:trPr>
        <w:tc>
          <w:tcPr>
            <w:tcW w:w="1951" w:type="dxa"/>
          </w:tcPr>
          <w:p w14:paraId="0FF152EC" w14:textId="77777777" w:rsidR="00421DDA" w:rsidRPr="00421DDA" w:rsidRDefault="00421DDA" w:rsidP="00421DDA">
            <w:pPr>
              <w:rPr>
                <w:rFonts w:ascii="Arial" w:hAnsi="Arial" w:cs="Arial"/>
                <w:szCs w:val="24"/>
              </w:rPr>
            </w:pPr>
            <w:r w:rsidRPr="00421DDA">
              <w:rPr>
                <w:rFonts w:ascii="Arial" w:hAnsi="Arial" w:cs="Arial"/>
                <w:szCs w:val="24"/>
              </w:rPr>
              <w:t>Operating techniques</w:t>
            </w:r>
          </w:p>
        </w:tc>
        <w:tc>
          <w:tcPr>
            <w:tcW w:w="6266" w:type="dxa"/>
          </w:tcPr>
          <w:p w14:paraId="0FF152ED" w14:textId="77777777" w:rsidR="00421DDA" w:rsidRPr="00421DDA" w:rsidRDefault="00421DDA" w:rsidP="00421DDA">
            <w:pPr>
              <w:pStyle w:val="BodyText"/>
              <w:rPr>
                <w:rFonts w:ascii="Arial" w:hAnsi="Arial" w:cs="Arial"/>
                <w:color w:val="auto"/>
                <w:szCs w:val="24"/>
              </w:rPr>
            </w:pPr>
            <w:r w:rsidRPr="00421DDA">
              <w:rPr>
                <w:rFonts w:ascii="Arial" w:hAnsi="Arial" w:cs="Arial"/>
                <w:color w:val="auto"/>
                <w:szCs w:val="24"/>
              </w:rPr>
              <w:t xml:space="preserve">We have reviewed the techniques used by the operator and compared these with the relevant guidance notes. </w:t>
            </w:r>
          </w:p>
          <w:p w14:paraId="0FF152EF" w14:textId="7528E137" w:rsidR="00421DDA" w:rsidRPr="00421DDA" w:rsidRDefault="00421DDA" w:rsidP="00421DDA">
            <w:pPr>
              <w:pStyle w:val="BodyText"/>
              <w:rPr>
                <w:rFonts w:ascii="Arial" w:hAnsi="Arial" w:cs="Arial"/>
                <w:color w:val="auto"/>
                <w:szCs w:val="24"/>
              </w:rPr>
            </w:pPr>
            <w:r w:rsidRPr="00421DDA">
              <w:rPr>
                <w:rFonts w:ascii="Arial" w:hAnsi="Arial" w:cs="Arial"/>
                <w:color w:val="auto"/>
                <w:szCs w:val="24"/>
              </w:rPr>
              <w:t xml:space="preserve">The proposed techniques / emission levels for priorities for control are in line with the benchmark levels contained in the TGN (EPR 7.01) and we consider them to represent appropriate techniques for the facility. </w:t>
            </w:r>
          </w:p>
          <w:p w14:paraId="0FF152F4" w14:textId="77777777" w:rsidR="00421DDA" w:rsidRPr="00421DDA" w:rsidRDefault="00421DDA" w:rsidP="00421DDA">
            <w:pPr>
              <w:pStyle w:val="BodyText"/>
              <w:rPr>
                <w:rFonts w:ascii="Arial" w:hAnsi="Arial" w:cs="Arial"/>
                <w:color w:val="auto"/>
                <w:szCs w:val="24"/>
              </w:rPr>
            </w:pPr>
          </w:p>
        </w:tc>
        <w:tc>
          <w:tcPr>
            <w:tcW w:w="1072" w:type="dxa"/>
          </w:tcPr>
          <w:p w14:paraId="0FF152F5" w14:textId="77777777" w:rsidR="00421DDA" w:rsidRPr="00FB30B4" w:rsidRDefault="00421DDA" w:rsidP="00421DDA">
            <w:pPr>
              <w:rPr>
                <w:rFonts w:ascii="Arial" w:hAnsi="Arial" w:cs="Arial"/>
                <w:color w:val="000000"/>
                <w:szCs w:val="24"/>
              </w:rPr>
            </w:pPr>
            <w:r w:rsidRPr="00FB30B4">
              <w:rPr>
                <w:rFonts w:ascii="Wingdings" w:eastAsia="Wingdings" w:hAnsi="Wingdings" w:cs="Wingdings"/>
                <w:color w:val="000000"/>
                <w:szCs w:val="24"/>
              </w:rPr>
              <w:t>ü</w:t>
            </w:r>
          </w:p>
        </w:tc>
      </w:tr>
      <w:tr w:rsidR="00421DDA" w:rsidRPr="007820C3" w14:paraId="0FF152F8" w14:textId="77777777" w:rsidTr="396B50C7">
        <w:tc>
          <w:tcPr>
            <w:tcW w:w="9302" w:type="dxa"/>
            <w:gridSpan w:val="4"/>
            <w:shd w:val="clear" w:color="auto" w:fill="0070C0"/>
          </w:tcPr>
          <w:p w14:paraId="0FF152F7" w14:textId="77777777" w:rsidR="00421DDA" w:rsidRPr="007820C3" w:rsidRDefault="00421DDA" w:rsidP="00421DDA">
            <w:pPr>
              <w:rPr>
                <w:rFonts w:ascii="Arial" w:hAnsi="Arial" w:cs="Arial"/>
                <w:b/>
                <w:color w:val="FFFFFF"/>
                <w:szCs w:val="24"/>
              </w:rPr>
            </w:pPr>
            <w:r w:rsidRPr="007820C3">
              <w:rPr>
                <w:rFonts w:ascii="Arial" w:hAnsi="Arial" w:cs="Arial"/>
                <w:b/>
                <w:color w:val="FFFFFF"/>
                <w:szCs w:val="24"/>
              </w:rPr>
              <w:t>The permit conditions</w:t>
            </w:r>
          </w:p>
        </w:tc>
      </w:tr>
      <w:tr w:rsidR="00421DDA" w:rsidRPr="007820C3" w14:paraId="0FF1532A" w14:textId="77777777" w:rsidTr="396B50C7">
        <w:trPr>
          <w:gridAfter w:val="1"/>
          <w:wAfter w:w="13" w:type="dxa"/>
        </w:trPr>
        <w:tc>
          <w:tcPr>
            <w:tcW w:w="1951" w:type="dxa"/>
          </w:tcPr>
          <w:p w14:paraId="0FF15322" w14:textId="77777777" w:rsidR="00421DDA" w:rsidRPr="007820C3" w:rsidRDefault="00421DDA" w:rsidP="00421DDA">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421DDA" w:rsidRPr="007820C3" w:rsidRDefault="00421DDA" w:rsidP="00421DDA">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421DDA" w:rsidRPr="007820C3" w:rsidRDefault="00421DDA" w:rsidP="00421DDA">
            <w:pPr>
              <w:rPr>
                <w:rFonts w:ascii="Arial" w:hAnsi="Arial" w:cs="Arial"/>
                <w:color w:val="000000"/>
                <w:szCs w:val="24"/>
              </w:rPr>
            </w:pPr>
          </w:p>
          <w:p w14:paraId="0FF15328" w14:textId="2C87F7CA" w:rsidR="00421DDA" w:rsidRPr="007820C3" w:rsidRDefault="00421DDA" w:rsidP="00421DDA">
            <w:pPr>
              <w:rPr>
                <w:rFonts w:ascii="Arial" w:hAnsi="Arial" w:cs="Arial"/>
                <w:color w:val="000000"/>
                <w:szCs w:val="24"/>
              </w:rPr>
            </w:pPr>
            <w:r w:rsidRPr="007820C3">
              <w:rPr>
                <w:rFonts w:ascii="Arial" w:hAnsi="Arial" w:cs="Arial"/>
                <w:color w:val="000000"/>
                <w:szCs w:val="24"/>
              </w:rPr>
              <w:t>These are specified in the Operating Techniques table in the permit.</w:t>
            </w:r>
          </w:p>
        </w:tc>
        <w:tc>
          <w:tcPr>
            <w:tcW w:w="1072" w:type="dxa"/>
          </w:tcPr>
          <w:p w14:paraId="0FF15329" w14:textId="77777777" w:rsidR="00421DDA" w:rsidRPr="00FB30B4" w:rsidRDefault="00421DDA" w:rsidP="00421DDA">
            <w:pPr>
              <w:rPr>
                <w:rFonts w:ascii="Arial" w:hAnsi="Arial" w:cs="Arial"/>
                <w:color w:val="000000"/>
                <w:szCs w:val="24"/>
              </w:rPr>
            </w:pPr>
            <w:r w:rsidRPr="00FB30B4">
              <w:rPr>
                <w:rFonts w:ascii="Arial" w:hAnsi="Arial" w:cs="Arial"/>
                <w:color w:val="000000"/>
                <w:szCs w:val="24"/>
              </w:rPr>
              <w:t>ü</w:t>
            </w:r>
          </w:p>
        </w:tc>
      </w:tr>
      <w:tr w:rsidR="00421DDA" w:rsidRPr="007820C3" w14:paraId="0FF15347" w14:textId="77777777" w:rsidTr="396B50C7">
        <w:trPr>
          <w:gridAfter w:val="1"/>
          <w:wAfter w:w="13" w:type="dxa"/>
        </w:trPr>
        <w:tc>
          <w:tcPr>
            <w:tcW w:w="1951" w:type="dxa"/>
          </w:tcPr>
          <w:p w14:paraId="0FF15343" w14:textId="77777777" w:rsidR="00421DDA" w:rsidRPr="007820C3" w:rsidRDefault="00421DDA" w:rsidP="00421DDA">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421DDA" w:rsidRPr="007820C3" w:rsidRDefault="00421DDA" w:rsidP="00421DDA">
            <w:pPr>
              <w:rPr>
                <w:rFonts w:ascii="Arial" w:hAnsi="Arial" w:cs="Arial"/>
                <w:color w:val="000000"/>
                <w:szCs w:val="24"/>
              </w:rPr>
            </w:pPr>
          </w:p>
        </w:tc>
        <w:tc>
          <w:tcPr>
            <w:tcW w:w="6266" w:type="dxa"/>
          </w:tcPr>
          <w:p w14:paraId="0FF15345" w14:textId="77777777" w:rsidR="00421DDA" w:rsidRPr="007820C3" w:rsidRDefault="00421DDA" w:rsidP="00421DDA">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421DDA" w:rsidRPr="00FB30B4" w:rsidRDefault="00421DDA" w:rsidP="00421DDA">
            <w:pPr>
              <w:rPr>
                <w:rFonts w:ascii="Arial" w:hAnsi="Arial" w:cs="Arial"/>
                <w:color w:val="000000"/>
                <w:szCs w:val="24"/>
              </w:rPr>
            </w:pPr>
            <w:r w:rsidRPr="00FB30B4">
              <w:rPr>
                <w:rFonts w:ascii="Wingdings" w:eastAsia="Wingdings" w:hAnsi="Wingdings" w:cs="Wingdings"/>
                <w:color w:val="000000"/>
                <w:szCs w:val="24"/>
              </w:rPr>
              <w:t>ü</w:t>
            </w:r>
          </w:p>
        </w:tc>
      </w:tr>
      <w:tr w:rsidR="00421DDA" w:rsidRPr="007820C3" w14:paraId="0FF15349" w14:textId="77777777" w:rsidTr="396B50C7">
        <w:tc>
          <w:tcPr>
            <w:tcW w:w="9302" w:type="dxa"/>
            <w:gridSpan w:val="4"/>
            <w:shd w:val="clear" w:color="auto" w:fill="0070C0"/>
          </w:tcPr>
          <w:p w14:paraId="0FF15348" w14:textId="77777777" w:rsidR="00421DDA" w:rsidRPr="007820C3" w:rsidRDefault="00421DDA" w:rsidP="00421DDA">
            <w:pPr>
              <w:rPr>
                <w:rFonts w:ascii="Arial" w:hAnsi="Arial" w:cs="Arial"/>
                <w:b/>
                <w:color w:val="FFFFFF"/>
                <w:szCs w:val="24"/>
              </w:rPr>
            </w:pPr>
            <w:r w:rsidRPr="007820C3">
              <w:rPr>
                <w:rFonts w:ascii="Arial" w:hAnsi="Arial" w:cs="Arial"/>
                <w:b/>
                <w:color w:val="FFFFFF"/>
                <w:szCs w:val="24"/>
              </w:rPr>
              <w:t>Operator Competence</w:t>
            </w:r>
          </w:p>
        </w:tc>
      </w:tr>
      <w:tr w:rsidR="00421DDA" w:rsidRPr="007820C3" w14:paraId="0FF1534E" w14:textId="77777777" w:rsidTr="396B50C7">
        <w:trPr>
          <w:gridAfter w:val="1"/>
          <w:wAfter w:w="13" w:type="dxa"/>
        </w:trPr>
        <w:tc>
          <w:tcPr>
            <w:tcW w:w="1951" w:type="dxa"/>
          </w:tcPr>
          <w:p w14:paraId="0FF1534A" w14:textId="77777777" w:rsidR="00421DDA" w:rsidRPr="007820C3" w:rsidRDefault="00421DDA" w:rsidP="00421DDA">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421DDA" w:rsidRDefault="00421DDA" w:rsidP="00421DDA">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421DDA" w:rsidRPr="007820C3" w:rsidRDefault="00421DDA" w:rsidP="00421DDA">
            <w:pPr>
              <w:rPr>
                <w:rFonts w:ascii="Arial" w:hAnsi="Arial" w:cs="Arial"/>
                <w:szCs w:val="24"/>
              </w:rPr>
            </w:pPr>
          </w:p>
        </w:tc>
        <w:tc>
          <w:tcPr>
            <w:tcW w:w="1072" w:type="dxa"/>
          </w:tcPr>
          <w:p w14:paraId="0FF1534D" w14:textId="77777777" w:rsidR="00421DDA" w:rsidRPr="00FB30B4" w:rsidRDefault="00421DDA" w:rsidP="00421DDA">
            <w:pPr>
              <w:rPr>
                <w:rFonts w:ascii="Arial" w:hAnsi="Arial" w:cs="Arial"/>
                <w:color w:val="000000"/>
                <w:szCs w:val="24"/>
              </w:rPr>
            </w:pPr>
            <w:r w:rsidRPr="00FB30B4">
              <w:rPr>
                <w:rFonts w:ascii="Wingdings" w:eastAsia="Wingdings" w:hAnsi="Wingdings" w:cs="Wingdings"/>
                <w:color w:val="000000"/>
                <w:szCs w:val="24"/>
              </w:rPr>
              <w:t>ü</w:t>
            </w:r>
          </w:p>
        </w:tc>
      </w:tr>
      <w:tr w:rsidR="00421DDA" w:rsidRPr="007820C3" w14:paraId="4503D091" w14:textId="77777777" w:rsidTr="396B50C7">
        <w:trPr>
          <w:gridAfter w:val="1"/>
          <w:wAfter w:w="13" w:type="dxa"/>
        </w:trPr>
        <w:tc>
          <w:tcPr>
            <w:tcW w:w="9289" w:type="dxa"/>
            <w:gridSpan w:val="3"/>
            <w:shd w:val="clear" w:color="auto" w:fill="0070C0"/>
          </w:tcPr>
          <w:p w14:paraId="7FAA5820" w14:textId="3A4868B5" w:rsidR="00421DDA" w:rsidRPr="00E96702" w:rsidRDefault="00421DDA" w:rsidP="00421DDA">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421DDA" w:rsidRPr="007820C3" w14:paraId="033C62BB" w14:textId="77777777" w:rsidTr="396B50C7">
        <w:trPr>
          <w:gridAfter w:val="1"/>
          <w:wAfter w:w="13" w:type="dxa"/>
        </w:trPr>
        <w:tc>
          <w:tcPr>
            <w:tcW w:w="1951" w:type="dxa"/>
          </w:tcPr>
          <w:p w14:paraId="35C25BFE" w14:textId="0AB7DEB0" w:rsidR="00421DDA" w:rsidRDefault="00421DDA" w:rsidP="00421DDA">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421DDA" w:rsidRPr="00E96702" w:rsidRDefault="00421DDA" w:rsidP="00421DDA">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421DDA" w:rsidRPr="00E96702" w:rsidRDefault="00421DDA" w:rsidP="00421DDA">
            <w:pPr>
              <w:pStyle w:val="NormalWeb"/>
              <w:rPr>
                <w:rFonts w:ascii="Arial" w:hAnsi="Arial" w:cs="Arial"/>
                <w:color w:val="FF00FF"/>
              </w:rPr>
            </w:pPr>
          </w:p>
        </w:tc>
        <w:tc>
          <w:tcPr>
            <w:tcW w:w="1072" w:type="dxa"/>
          </w:tcPr>
          <w:p w14:paraId="204E9F27" w14:textId="4D8C7B08" w:rsidR="00421DDA" w:rsidRDefault="00421DDA" w:rsidP="00421DDA">
            <w:pPr>
              <w:rPr>
                <w:rFonts w:ascii="Arial" w:hAnsi="Arial" w:cs="Arial"/>
                <w:color w:val="000000"/>
                <w:szCs w:val="24"/>
              </w:rPr>
            </w:pPr>
            <w:r w:rsidRPr="00FB30B4">
              <w:rPr>
                <w:rFonts w:ascii="Wingdings" w:eastAsia="Wingdings" w:hAnsi="Wingdings" w:cs="Wingdings"/>
                <w:color w:val="000000"/>
                <w:szCs w:val="24"/>
              </w:rPr>
              <w:t>ü</w:t>
            </w:r>
          </w:p>
        </w:tc>
      </w:tr>
      <w:tr w:rsidR="00421DDA" w14:paraId="6777B165" w14:textId="77777777" w:rsidTr="396B50C7">
        <w:trPr>
          <w:gridAfter w:val="1"/>
          <w:wAfter w:w="13" w:type="dxa"/>
        </w:trPr>
        <w:tc>
          <w:tcPr>
            <w:tcW w:w="9289" w:type="dxa"/>
            <w:gridSpan w:val="3"/>
            <w:shd w:val="clear" w:color="auto" w:fill="0070C0"/>
          </w:tcPr>
          <w:p w14:paraId="250BE046" w14:textId="00556724" w:rsidR="00421DDA" w:rsidRDefault="00421DDA" w:rsidP="00421DDA">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421DDA" w14:paraId="6994923E" w14:textId="77777777" w:rsidTr="396B50C7">
        <w:trPr>
          <w:gridAfter w:val="1"/>
          <w:wAfter w:w="13" w:type="dxa"/>
        </w:trPr>
        <w:tc>
          <w:tcPr>
            <w:tcW w:w="1951" w:type="dxa"/>
          </w:tcPr>
          <w:p w14:paraId="55441AD6" w14:textId="4172B2C6" w:rsidR="00421DDA" w:rsidRDefault="00421DDA" w:rsidP="00421DDA">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7E5D69F" w:rsidR="00421DDA" w:rsidRDefault="00421DDA" w:rsidP="00421DDA">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w:t>
            </w:r>
            <w:r w:rsidRPr="00421DDA">
              <w:rPr>
                <w:rFonts w:ascii="Arial" w:eastAsia="Arial" w:hAnsi="Arial" w:cs="Arial"/>
              </w:rPr>
              <w:t xml:space="preserve">due regard to this duty in so far as it is consistent with the function of determining an application for a  </w:t>
            </w:r>
            <w:proofErr w:type="spellStart"/>
            <w:r w:rsidRPr="00421DDA">
              <w:rPr>
                <w:rFonts w:ascii="Arial" w:eastAsia="Arial" w:hAnsi="Arial" w:cs="Arial"/>
              </w:rPr>
              <w:t>stand alone</w:t>
            </w:r>
            <w:proofErr w:type="spellEnd"/>
            <w:r w:rsidRPr="00421DDA">
              <w:rPr>
                <w:rFonts w:ascii="Arial" w:eastAsia="Arial" w:hAnsi="Arial" w:cs="Arial"/>
              </w:rPr>
              <w:t xml:space="preserve"> water discharge activity permit under EPR2016.</w:t>
            </w:r>
          </w:p>
        </w:tc>
        <w:tc>
          <w:tcPr>
            <w:tcW w:w="1072" w:type="dxa"/>
          </w:tcPr>
          <w:p w14:paraId="2A7A659A" w14:textId="2D58CE48" w:rsidR="00421DDA" w:rsidRDefault="00421DDA" w:rsidP="00421DDA">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0DC65760" w:rsidR="00C44B7E" w:rsidRDefault="00C44B7E" w:rsidP="006E68E8">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7A0CC7" w:rsidRDefault="007A0CC7">
      <w:r>
        <w:separator/>
      </w:r>
    </w:p>
  </w:endnote>
  <w:endnote w:type="continuationSeparator" w:id="0">
    <w:p w14:paraId="314FBF3B" w14:textId="77777777" w:rsidR="007A0CC7" w:rsidRDefault="007A0CC7">
      <w:r>
        <w:continuationSeparator/>
      </w:r>
    </w:p>
  </w:endnote>
  <w:endnote w:type="continuationNotice" w:id="1">
    <w:p w14:paraId="56810FF3" w14:textId="77777777" w:rsidR="007A0CC7" w:rsidRDefault="007A0C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7A0CC7" w:rsidRDefault="007A0C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7A0CC7" w:rsidRDefault="007A0C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7A0CC7" w:rsidRPr="002B61AE" w14:paraId="0FF15380" w14:textId="77777777" w:rsidTr="008632BF">
      <w:trPr>
        <w:trHeight w:val="286"/>
      </w:trPr>
      <w:tc>
        <w:tcPr>
          <w:tcW w:w="2659" w:type="dxa"/>
        </w:tcPr>
        <w:p w14:paraId="0FF1537C" w14:textId="7104BEDB" w:rsidR="007A0CC7" w:rsidRPr="00E907C6" w:rsidRDefault="007A0CC7"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7A0CC7" w:rsidRPr="00E907C6" w:rsidRDefault="007A0CC7"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7A0CC7" w:rsidRPr="00E907C6" w:rsidRDefault="007A0CC7"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7A0CC7" w:rsidRPr="00E907C6" w:rsidRDefault="007A0CC7"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7A0CC7" w:rsidRPr="003F4346" w:rsidRDefault="007A0CC7"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7A0CC7" w:rsidRDefault="007A0CC7">
      <w:r>
        <w:separator/>
      </w:r>
    </w:p>
  </w:footnote>
  <w:footnote w:type="continuationSeparator" w:id="0">
    <w:p w14:paraId="07FFA255" w14:textId="77777777" w:rsidR="007A0CC7" w:rsidRDefault="007A0CC7">
      <w:r>
        <w:continuationSeparator/>
      </w:r>
    </w:p>
  </w:footnote>
  <w:footnote w:type="continuationNotice" w:id="1">
    <w:p w14:paraId="144D4EEC" w14:textId="77777777" w:rsidR="007A0CC7" w:rsidRDefault="007A0C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99CA8A8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1A24"/>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1DDA"/>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3193"/>
    <w:rsid w:val="006B4555"/>
    <w:rsid w:val="006C735F"/>
    <w:rsid w:val="006E68E8"/>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0CC7"/>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461"/>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A0C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REGU-212-1878217</_dlc_DocId>
    <_dlc_DocIdUrl xmlns="9be56660-2c31-41ef-bc00-23e72f632f2a">
      <Url>https://cyfoethnaturiolcymru.sharepoint.com/teams/Regulatory/Permitting/_layouts/15/DocIdRedir.aspx?ID=REGU-212-1878217</Url>
      <Description>REGU-212-1878217</Description>
    </_dlc_DocIdUrl>
    <License_x002f_Activity_x0020_Type xmlns="859f7ad6-93f6-4205-b62b-a17f28acbbac">4. EPR Water Discharge</License_x002f_Activity_x0020_Type>
    <Site_x0020_Name xmlns="859f7ad6-93f6-4205-b62b-a17f28acbbac">Norton SPS EO</Site_x0020_Name>
    <Internal_x002f_External xmlns="859f7ad6-93f6-4205-b62b-a17f28acbbac">Outgoing document</Internal_x002f_External>
    <Post_x0020_code xmlns="859f7ad6-93f6-4205-b62b-a17f28acbbac">LD8 2RS</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2021-12-07T00:00:00+00:00</Document_x0020_Date>
    <Facility_x0020_Address xmlns="859f7ad6-93f6-4205-b62b-a17f28acbbac">Norton, Presteigne</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3AB80DE-ED93-46E5-BF34-DA30D7B55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859f7ad6-93f6-4205-b62b-a17f28acbbac"/>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1018</Words>
  <Characters>5625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6</cp:revision>
  <cp:lastPrinted>2008-01-30T13:54:00Z</cp:lastPrinted>
  <dcterms:created xsi:type="dcterms:W3CDTF">2021-10-18T12:48:00Z</dcterms:created>
  <dcterms:modified xsi:type="dcterms:W3CDTF">2021-12-07T14:05:00Z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793c17b8-2677-4018-b390-494408f4bb72</vt:lpwstr>
  </property>
  <property fmtid="{D5CDD505-2E9C-101B-9397-08002B2CF9AE}" pid="11" name="SharedWithUsers">
    <vt:lpwstr/>
  </property>
</Properties>
</file>