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2465F71D" w14:textId="77777777" w:rsidR="00E676C5" w:rsidRDefault="00E676C5" w:rsidP="003719AD">
      <w:pPr>
        <w:pStyle w:val="Heading1"/>
        <w:spacing w:before="0" w:after="0"/>
        <w:jc w:val="left"/>
        <w:rPr>
          <w:bCs/>
          <w:color w:val="FF0000"/>
          <w:sz w:val="32"/>
        </w:rPr>
      </w:pPr>
    </w:p>
    <w:p w14:paraId="0FF15249" w14:textId="5E5956DB" w:rsidR="00D04424" w:rsidRPr="00E676C5" w:rsidRDefault="001F0E23" w:rsidP="003719AD">
      <w:pPr>
        <w:pStyle w:val="Heading1"/>
        <w:spacing w:before="0" w:after="0"/>
        <w:jc w:val="left"/>
        <w:rPr>
          <w:bCs/>
          <w:color w:val="auto"/>
          <w:sz w:val="32"/>
        </w:rPr>
      </w:pPr>
      <w:r w:rsidRPr="00E676C5">
        <w:rPr>
          <w:bCs/>
          <w:color w:val="auto"/>
          <w:sz w:val="32"/>
        </w:rPr>
        <w:t>Variation</w:t>
      </w:r>
      <w:r w:rsidR="00B73ECB" w:rsidRPr="00E676C5">
        <w:rPr>
          <w:bCs/>
          <w:color w:val="auto"/>
          <w:sz w:val="32"/>
        </w:rPr>
        <w:t xml:space="preserve"> </w:t>
      </w:r>
    </w:p>
    <w:p w14:paraId="0FF1524F" w14:textId="77777777" w:rsidR="007820C3" w:rsidRPr="00E676C5" w:rsidRDefault="007820C3" w:rsidP="00D04424">
      <w:pPr>
        <w:rPr>
          <w:rFonts w:ascii="Arial" w:hAnsi="Arial" w:cs="Arial"/>
          <w:szCs w:val="24"/>
        </w:rPr>
      </w:pPr>
    </w:p>
    <w:p w14:paraId="0FF15250" w14:textId="11E5B287" w:rsidR="00D04424" w:rsidRPr="00E676C5" w:rsidRDefault="0060457F" w:rsidP="006B0BFB">
      <w:pPr>
        <w:spacing w:after="120"/>
        <w:rPr>
          <w:rFonts w:ascii="Arial" w:hAnsi="Arial" w:cs="Arial"/>
          <w:szCs w:val="24"/>
        </w:rPr>
      </w:pPr>
      <w:r w:rsidRPr="00E676C5">
        <w:rPr>
          <w:rFonts w:ascii="Arial" w:hAnsi="Arial" w:cs="Arial"/>
          <w:szCs w:val="24"/>
        </w:rPr>
        <w:t xml:space="preserve">We have decided to </w:t>
      </w:r>
      <w:r w:rsidR="00D2020E" w:rsidRPr="00E676C5">
        <w:rPr>
          <w:rFonts w:ascii="Arial" w:hAnsi="Arial" w:cs="Arial"/>
          <w:szCs w:val="24"/>
        </w:rPr>
        <w:t xml:space="preserve">issue </w:t>
      </w:r>
      <w:r w:rsidR="00E676C5" w:rsidRPr="00E676C5">
        <w:rPr>
          <w:rFonts w:ascii="Arial" w:hAnsi="Arial" w:cs="Arial"/>
          <w:szCs w:val="24"/>
        </w:rPr>
        <w:t xml:space="preserve">the </w:t>
      </w:r>
      <w:r w:rsidRPr="00E676C5">
        <w:rPr>
          <w:rFonts w:ascii="Arial" w:hAnsi="Arial" w:cs="Arial"/>
          <w:szCs w:val="24"/>
        </w:rPr>
        <w:t xml:space="preserve">variation for </w:t>
      </w:r>
      <w:r w:rsidR="00E676C5" w:rsidRPr="00E676C5">
        <w:rPr>
          <w:rFonts w:ascii="Arial" w:hAnsi="Arial" w:cs="Arial"/>
          <w:szCs w:val="24"/>
        </w:rPr>
        <w:t>Ynys Bridge CSO</w:t>
      </w:r>
      <w:r w:rsidRPr="00E676C5">
        <w:rPr>
          <w:rFonts w:ascii="Arial" w:hAnsi="Arial" w:cs="Arial"/>
          <w:szCs w:val="24"/>
        </w:rPr>
        <w:t xml:space="preserve"> operated by </w:t>
      </w:r>
      <w:r w:rsidR="00E676C5" w:rsidRPr="00E676C5">
        <w:rPr>
          <w:rFonts w:ascii="Arial" w:hAnsi="Arial" w:cs="Arial"/>
          <w:szCs w:val="24"/>
        </w:rPr>
        <w:t>DCWW</w:t>
      </w:r>
      <w:r w:rsidR="001034AC" w:rsidRPr="00E676C5">
        <w:rPr>
          <w:rFonts w:ascii="Arial" w:hAnsi="Arial" w:cs="Arial"/>
          <w:szCs w:val="24"/>
        </w:rPr>
        <w:t>.</w:t>
      </w:r>
    </w:p>
    <w:p w14:paraId="178F17B4" w14:textId="3492B70A" w:rsidR="00E907C6" w:rsidRDefault="00E907C6" w:rsidP="006B0BFB">
      <w:pPr>
        <w:tabs>
          <w:tab w:val="left" w:pos="4253"/>
          <w:tab w:val="left" w:pos="6804"/>
        </w:tabs>
        <w:spacing w:after="120"/>
        <w:rPr>
          <w:rFonts w:ascii="Arial" w:hAnsi="Arial"/>
          <w:color w:val="000000"/>
          <w:kern w:val="28"/>
          <w:szCs w:val="24"/>
        </w:rPr>
      </w:pPr>
      <w:bookmarkStart w:id="0" w:name="OLE_LINK1"/>
      <w:bookmarkStart w:id="1" w:name="OLE_LINK2"/>
      <w:r>
        <w:rPr>
          <w:rFonts w:ascii="Arial" w:hAnsi="Arial"/>
          <w:color w:val="000000"/>
          <w:kern w:val="28"/>
          <w:szCs w:val="24"/>
        </w:rPr>
        <w:t xml:space="preserve">The application number is </w:t>
      </w:r>
      <w:r w:rsidR="00E676C5" w:rsidRPr="00E676C5">
        <w:rPr>
          <w:rFonts w:ascii="Arial" w:hAnsi="Arial"/>
          <w:szCs w:val="24"/>
        </w:rPr>
        <w:t>PAN-014479</w:t>
      </w:r>
    </w:p>
    <w:p w14:paraId="0BE5015C" w14:textId="77777777" w:rsidR="00E676C5" w:rsidRDefault="00D04424" w:rsidP="006B0BFB">
      <w:pPr>
        <w:tabs>
          <w:tab w:val="left" w:pos="4253"/>
          <w:tab w:val="left" w:pos="6804"/>
        </w:tabs>
        <w:spacing w:after="120"/>
        <w:rPr>
          <w:rFonts w:ascii="Arial" w:hAnsi="Arial"/>
          <w:color w:val="FF00FF"/>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 xml:space="preserve">permit </w:t>
      </w:r>
      <w:r w:rsidRPr="00E676C5">
        <w:rPr>
          <w:rFonts w:ascii="Arial" w:hAnsi="Arial"/>
          <w:szCs w:val="24"/>
        </w:rPr>
        <w:t xml:space="preserve">number is </w:t>
      </w:r>
      <w:r w:rsidR="00E676C5" w:rsidRPr="00E676C5">
        <w:rPr>
          <w:rFonts w:ascii="Arial" w:hAnsi="Arial"/>
          <w:szCs w:val="24"/>
        </w:rPr>
        <w:t>EPR/AB3590FB</w:t>
      </w:r>
    </w:p>
    <w:bookmarkEnd w:id="0"/>
    <w:bookmarkEnd w:id="1"/>
    <w:p w14:paraId="67B88E4C" w14:textId="77777777" w:rsidR="00E676C5" w:rsidRDefault="00E676C5" w:rsidP="006B0BFB">
      <w:pPr>
        <w:spacing w:after="120"/>
        <w:rPr>
          <w:rFonts w:ascii="Arial" w:hAnsi="Arial"/>
          <w:color w:val="000000"/>
        </w:rPr>
      </w:pPr>
      <w:r w:rsidRPr="00E676C5">
        <w:rPr>
          <w:rFonts w:ascii="Arial" w:hAnsi="Arial"/>
          <w:color w:val="000000"/>
        </w:rPr>
        <w:t xml:space="preserve">The permit has been varied to include asset design details requested in the improvement conditions of the previous permit. The variation also identifies the two overflow chambers associated with the discharge as two separate activities on the permit as well as an updated site plan. </w:t>
      </w:r>
    </w:p>
    <w:p w14:paraId="0FF15253" w14:textId="09E9C1B2" w:rsidR="00D04424" w:rsidRDefault="00D04424" w:rsidP="006B0BFB">
      <w:pPr>
        <w:spacing w:after="120"/>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 xml:space="preserve">s have been </w:t>
      </w:r>
      <w:proofErr w:type="gramStart"/>
      <w:r w:rsidR="00DE395A">
        <w:rPr>
          <w:rFonts w:ascii="Arial" w:hAnsi="Arial"/>
        </w:rPr>
        <w:t>taken into account</w:t>
      </w:r>
      <w:proofErr w:type="gramEnd"/>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396B50C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396B50C7">
        <w:trPr>
          <w:gridAfter w:val="1"/>
          <w:wAfter w:w="13" w:type="dxa"/>
          <w:cantSplit/>
          <w:trHeight w:val="276"/>
          <w:tblHeader/>
        </w:trPr>
        <w:tc>
          <w:tcPr>
            <w:tcW w:w="1951" w:type="dxa"/>
            <w:vMerge/>
          </w:tcPr>
          <w:p w14:paraId="0FF1527D" w14:textId="77777777" w:rsidR="007820C3" w:rsidRPr="007820C3" w:rsidRDefault="007820C3" w:rsidP="00792CEE">
            <w:pPr>
              <w:pStyle w:val="Heading3"/>
              <w:rPr>
                <w:rFonts w:ascii="Arial" w:hAnsi="Arial" w:cs="Arial"/>
                <w:szCs w:val="24"/>
              </w:rPr>
            </w:pPr>
          </w:p>
        </w:tc>
        <w:tc>
          <w:tcPr>
            <w:tcW w:w="6266" w:type="dxa"/>
            <w:vMerge/>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396B50C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396B50C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A1" w14:textId="77777777" w:rsidTr="396B50C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396B50C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1CEB8EAB"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3" w14:textId="77777777" w:rsidTr="396B50C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396B50C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EB4FC0">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C" w14:textId="77777777" w:rsidTr="396B50C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396B50C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EB4FC0">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EB4FC0" w:rsidRPr="007820C3" w14:paraId="37022978" w14:textId="77777777" w:rsidTr="396B50C7">
        <w:trPr>
          <w:gridAfter w:val="1"/>
          <w:wAfter w:w="13" w:type="dxa"/>
        </w:trPr>
        <w:tc>
          <w:tcPr>
            <w:tcW w:w="1951" w:type="dxa"/>
          </w:tcPr>
          <w:p w14:paraId="08EF8436" w14:textId="17F8FDB8" w:rsidR="00EB4FC0" w:rsidRPr="00EB4FC0" w:rsidRDefault="00EB4FC0" w:rsidP="00EB4FC0">
            <w:pPr>
              <w:rPr>
                <w:rFonts w:ascii="Arial" w:hAnsi="Arial" w:cs="Arial"/>
                <w:szCs w:val="24"/>
              </w:rPr>
            </w:pPr>
            <w:r w:rsidRPr="00EB4FC0">
              <w:rPr>
                <w:rFonts w:ascii="Arial" w:hAnsi="Arial" w:cs="Arial"/>
                <w:szCs w:val="24"/>
              </w:rPr>
              <w:t>Habitat Regulation Assessment for a designated site under the EU Habitats Directive</w:t>
            </w:r>
          </w:p>
        </w:tc>
        <w:tc>
          <w:tcPr>
            <w:tcW w:w="6266" w:type="dxa"/>
          </w:tcPr>
          <w:p w14:paraId="7D987494" w14:textId="77777777" w:rsidR="00EB4FC0" w:rsidRPr="00EB4FC0" w:rsidRDefault="00EB4FC0" w:rsidP="00EB4FC0">
            <w:pPr>
              <w:spacing w:before="60"/>
              <w:rPr>
                <w:rFonts w:ascii="Arial" w:hAnsi="Arial" w:cs="Arial"/>
                <w:szCs w:val="24"/>
              </w:rPr>
            </w:pPr>
            <w:r w:rsidRPr="00EB4FC0">
              <w:rPr>
                <w:rFonts w:ascii="Arial" w:hAnsi="Arial" w:cs="Arial"/>
                <w:szCs w:val="24"/>
              </w:rPr>
              <w:t>No FORM 1 completed:</w:t>
            </w:r>
          </w:p>
          <w:p w14:paraId="5CBD4E4C" w14:textId="77777777" w:rsidR="00EB4FC0" w:rsidRPr="00EB4FC0" w:rsidRDefault="00EB4FC0" w:rsidP="00EB4FC0">
            <w:pPr>
              <w:spacing w:before="60"/>
              <w:rPr>
                <w:rFonts w:ascii="Arial" w:hAnsi="Arial" w:cs="Arial"/>
                <w:szCs w:val="24"/>
              </w:rPr>
            </w:pPr>
          </w:p>
          <w:p w14:paraId="65718F40" w14:textId="77777777" w:rsidR="00EB4FC0" w:rsidRPr="00EB4FC0" w:rsidRDefault="00EB4FC0" w:rsidP="00EB4FC0">
            <w:pPr>
              <w:spacing w:before="60"/>
              <w:rPr>
                <w:rFonts w:ascii="Arial" w:hAnsi="Arial" w:cs="Arial"/>
                <w:szCs w:val="24"/>
              </w:rPr>
            </w:pPr>
            <w:r w:rsidRPr="00EB4FC0">
              <w:rPr>
                <w:rFonts w:ascii="Arial" w:hAnsi="Arial" w:cs="Arial"/>
                <w:szCs w:val="24"/>
              </w:rPr>
              <w:t xml:space="preserve">HRA is not required because there is no conceivable impact pathway to any Natura 2000/Ramsar site </w:t>
            </w:r>
          </w:p>
          <w:p w14:paraId="50917BB1" w14:textId="77777777" w:rsidR="00EB4FC0" w:rsidRPr="00EB4FC0" w:rsidRDefault="00EB4FC0" w:rsidP="00EB4FC0">
            <w:pPr>
              <w:spacing w:before="60"/>
              <w:rPr>
                <w:rFonts w:ascii="Arial" w:hAnsi="Arial" w:cs="Arial"/>
              </w:rPr>
            </w:pPr>
            <w:r w:rsidRPr="00EB4FC0">
              <w:rPr>
                <w:rFonts w:ascii="Arial" w:hAnsi="Arial" w:cs="Arial"/>
              </w:rPr>
              <w:t>Note: From OGN 200 - no conceivable impact on any Natura 2000 site, by virtue of the scale or location or nature of the project.</w:t>
            </w:r>
          </w:p>
          <w:p w14:paraId="67AFC2B0" w14:textId="77777777" w:rsidR="00EB4FC0" w:rsidRPr="00EB4FC0" w:rsidRDefault="00EB4FC0" w:rsidP="00EB4FC0">
            <w:pPr>
              <w:rPr>
                <w:rFonts w:ascii="Arial" w:hAnsi="Arial" w:cs="Arial"/>
                <w:szCs w:val="24"/>
              </w:rPr>
            </w:pPr>
          </w:p>
        </w:tc>
        <w:tc>
          <w:tcPr>
            <w:tcW w:w="1072" w:type="dxa"/>
          </w:tcPr>
          <w:p w14:paraId="5CCCC72E" w14:textId="7C231C56" w:rsidR="00EB4FC0" w:rsidRPr="00FB30B4" w:rsidRDefault="00EB4FC0" w:rsidP="00EB4FC0">
            <w:pPr>
              <w:rPr>
                <w:rFonts w:ascii="Arial" w:hAnsi="Arial" w:cs="Arial"/>
                <w:color w:val="000000"/>
                <w:szCs w:val="24"/>
              </w:rPr>
            </w:pPr>
            <w:r w:rsidRPr="00FB30B4">
              <w:rPr>
                <w:rFonts w:ascii="Wingdings" w:eastAsia="Wingdings" w:hAnsi="Wingdings" w:cs="Wingdings"/>
                <w:color w:val="000000"/>
                <w:szCs w:val="24"/>
              </w:rPr>
              <w:t>ü</w:t>
            </w:r>
          </w:p>
        </w:tc>
      </w:tr>
      <w:tr w:rsidR="00EB4FC0" w:rsidRPr="007820C3" w14:paraId="0FF152D3" w14:textId="77777777" w:rsidTr="396B50C7">
        <w:tc>
          <w:tcPr>
            <w:tcW w:w="9302" w:type="dxa"/>
            <w:gridSpan w:val="4"/>
            <w:shd w:val="clear" w:color="auto" w:fill="0070C0"/>
          </w:tcPr>
          <w:p w14:paraId="0FF152D2" w14:textId="77777777" w:rsidR="00EB4FC0" w:rsidRPr="007820C3" w:rsidRDefault="00EB4FC0" w:rsidP="00EB4FC0">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EB4FC0" w:rsidRPr="007820C3" w14:paraId="0FF152EB" w14:textId="77777777" w:rsidTr="396B50C7">
        <w:trPr>
          <w:gridAfter w:val="1"/>
          <w:wAfter w:w="13" w:type="dxa"/>
        </w:trPr>
        <w:tc>
          <w:tcPr>
            <w:tcW w:w="1951" w:type="dxa"/>
          </w:tcPr>
          <w:p w14:paraId="0FF152E0" w14:textId="77777777" w:rsidR="00EB4FC0" w:rsidRPr="007820C3" w:rsidRDefault="00EB4FC0" w:rsidP="00EB4FC0">
            <w:pPr>
              <w:rPr>
                <w:rFonts w:ascii="Arial" w:hAnsi="Arial" w:cs="Arial"/>
                <w:szCs w:val="24"/>
              </w:rPr>
            </w:pPr>
            <w:r w:rsidRPr="007820C3">
              <w:rPr>
                <w:rFonts w:ascii="Arial" w:hAnsi="Arial" w:cs="Arial"/>
                <w:szCs w:val="24"/>
              </w:rPr>
              <w:t>Environmental risk</w:t>
            </w:r>
          </w:p>
          <w:p w14:paraId="0FF152E1" w14:textId="4F856E4A" w:rsidR="00EB4FC0" w:rsidRPr="00FB30B4" w:rsidRDefault="00EB4FC0" w:rsidP="00EB4FC0">
            <w:pPr>
              <w:rPr>
                <w:rFonts w:ascii="Arial" w:hAnsi="Arial" w:cs="Arial"/>
                <w:color w:val="FF00FF"/>
                <w:szCs w:val="24"/>
              </w:rPr>
            </w:pPr>
          </w:p>
        </w:tc>
        <w:tc>
          <w:tcPr>
            <w:tcW w:w="6266" w:type="dxa"/>
          </w:tcPr>
          <w:p w14:paraId="0FF152E2" w14:textId="77777777" w:rsidR="00EB4FC0" w:rsidRPr="007820C3" w:rsidRDefault="00EB4FC0" w:rsidP="00EB4FC0">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EB4FC0" w:rsidRDefault="00EB4FC0" w:rsidP="00EB4FC0">
            <w:pPr>
              <w:rPr>
                <w:rFonts w:ascii="Arial" w:hAnsi="Arial" w:cs="Arial"/>
                <w:color w:val="FF0000"/>
                <w:szCs w:val="24"/>
              </w:rPr>
            </w:pPr>
          </w:p>
          <w:p w14:paraId="0FF152E4" w14:textId="77777777" w:rsidR="00EB4FC0" w:rsidRPr="00EB4FC0" w:rsidRDefault="00EB4FC0" w:rsidP="00EB4FC0">
            <w:pPr>
              <w:rPr>
                <w:rFonts w:ascii="Arial" w:hAnsi="Arial" w:cs="Arial"/>
                <w:szCs w:val="24"/>
              </w:rPr>
            </w:pPr>
            <w:r w:rsidRPr="00EB4FC0">
              <w:rPr>
                <w:rFonts w:ascii="Arial" w:hAnsi="Arial" w:cs="Arial"/>
                <w:szCs w:val="24"/>
              </w:rPr>
              <w:t xml:space="preserve">The operator considers this risk assessment is satisfactory. </w:t>
            </w:r>
          </w:p>
          <w:p w14:paraId="0FF152E7" w14:textId="77777777" w:rsidR="00EB4FC0" w:rsidRPr="00EB4FC0" w:rsidRDefault="00EB4FC0" w:rsidP="00EB4FC0">
            <w:pPr>
              <w:rPr>
                <w:rFonts w:ascii="Arial" w:hAnsi="Arial" w:cs="Arial"/>
                <w:szCs w:val="24"/>
              </w:rPr>
            </w:pPr>
          </w:p>
          <w:p w14:paraId="0FF152E8" w14:textId="390C6E37" w:rsidR="00EB4FC0" w:rsidRPr="00EB4FC0" w:rsidRDefault="00EB4FC0" w:rsidP="00EB4FC0">
            <w:pPr>
              <w:pStyle w:val="BodyText"/>
              <w:rPr>
                <w:rFonts w:ascii="Arial" w:hAnsi="Arial" w:cs="Arial"/>
                <w:color w:val="auto"/>
                <w:szCs w:val="24"/>
              </w:rPr>
            </w:pPr>
            <w:r w:rsidRPr="00EB4FC0">
              <w:rPr>
                <w:rFonts w:ascii="Arial" w:hAnsi="Arial" w:cs="Arial"/>
                <w:color w:val="auto"/>
                <w:szCs w:val="24"/>
              </w:rPr>
              <w:t xml:space="preserve">The assessment shows that, applying the conservative criteria in our guidance on Environmental Risk </w:t>
            </w:r>
            <w:r w:rsidRPr="00EB4FC0">
              <w:rPr>
                <w:rFonts w:ascii="Arial" w:hAnsi="Arial" w:cs="Arial"/>
                <w:color w:val="auto"/>
                <w:szCs w:val="24"/>
              </w:rPr>
              <w:lastRenderedPageBreak/>
              <w:t>Assessment, all emissions may be categorised as environmentally insignificant.</w:t>
            </w:r>
          </w:p>
          <w:p w14:paraId="0FF152E9" w14:textId="77777777" w:rsidR="00EB4FC0" w:rsidRPr="007820C3" w:rsidRDefault="00EB4FC0" w:rsidP="00EB4FC0">
            <w:pPr>
              <w:pStyle w:val="BodyText"/>
              <w:rPr>
                <w:rFonts w:ascii="Arial" w:hAnsi="Arial" w:cs="Arial"/>
                <w:szCs w:val="24"/>
              </w:rPr>
            </w:pPr>
          </w:p>
        </w:tc>
        <w:tc>
          <w:tcPr>
            <w:tcW w:w="1072" w:type="dxa"/>
          </w:tcPr>
          <w:p w14:paraId="0FF152EA" w14:textId="4049411C" w:rsidR="00EB4FC0" w:rsidRPr="00FB30B4" w:rsidRDefault="00EB4FC0" w:rsidP="00EB4FC0">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EB4FC0" w:rsidRPr="007820C3" w14:paraId="0FF152F6" w14:textId="77777777" w:rsidTr="396B50C7">
        <w:trPr>
          <w:gridAfter w:val="1"/>
          <w:wAfter w:w="13" w:type="dxa"/>
        </w:trPr>
        <w:tc>
          <w:tcPr>
            <w:tcW w:w="1951" w:type="dxa"/>
          </w:tcPr>
          <w:p w14:paraId="0FF152EC" w14:textId="77777777" w:rsidR="00EB4FC0" w:rsidRPr="00EB4FC0" w:rsidRDefault="00EB4FC0" w:rsidP="00EB4FC0">
            <w:pPr>
              <w:rPr>
                <w:rFonts w:ascii="Arial" w:hAnsi="Arial" w:cs="Arial"/>
                <w:szCs w:val="24"/>
              </w:rPr>
            </w:pPr>
            <w:r w:rsidRPr="00EB4FC0">
              <w:rPr>
                <w:rFonts w:ascii="Arial" w:hAnsi="Arial" w:cs="Arial"/>
                <w:szCs w:val="24"/>
              </w:rPr>
              <w:t>Operating techniques</w:t>
            </w:r>
          </w:p>
        </w:tc>
        <w:tc>
          <w:tcPr>
            <w:tcW w:w="6266" w:type="dxa"/>
          </w:tcPr>
          <w:p w14:paraId="0FF152ED" w14:textId="77777777" w:rsidR="00EB4FC0" w:rsidRPr="00EB4FC0" w:rsidRDefault="00EB4FC0" w:rsidP="00EB4FC0">
            <w:pPr>
              <w:pStyle w:val="BodyText"/>
              <w:rPr>
                <w:rFonts w:ascii="Arial" w:hAnsi="Arial" w:cs="Arial"/>
                <w:color w:val="auto"/>
                <w:szCs w:val="24"/>
              </w:rPr>
            </w:pPr>
            <w:r w:rsidRPr="00EB4FC0">
              <w:rPr>
                <w:rFonts w:ascii="Arial" w:hAnsi="Arial" w:cs="Arial"/>
                <w:color w:val="auto"/>
                <w:szCs w:val="24"/>
              </w:rPr>
              <w:t xml:space="preserve">We have reviewed the techniques used by the operator and compared these with the relevant guidance notes. </w:t>
            </w:r>
          </w:p>
          <w:p w14:paraId="0FF152EE" w14:textId="4322EF20" w:rsidR="00EB4FC0" w:rsidRPr="00EB4FC0" w:rsidRDefault="00EB4FC0" w:rsidP="00EB4FC0">
            <w:pPr>
              <w:pStyle w:val="BodyText"/>
              <w:rPr>
                <w:rFonts w:ascii="Arial" w:hAnsi="Arial" w:cs="Arial"/>
                <w:color w:val="auto"/>
                <w:szCs w:val="24"/>
              </w:rPr>
            </w:pPr>
          </w:p>
          <w:p w14:paraId="0FF152EF" w14:textId="2E333C2E" w:rsidR="00EB4FC0" w:rsidRPr="00EB4FC0" w:rsidRDefault="00EB4FC0" w:rsidP="00EB4FC0">
            <w:pPr>
              <w:pStyle w:val="BodyText"/>
              <w:rPr>
                <w:rFonts w:ascii="Arial" w:hAnsi="Arial" w:cs="Arial"/>
                <w:color w:val="auto"/>
                <w:szCs w:val="24"/>
              </w:rPr>
            </w:pPr>
            <w:r w:rsidRPr="00EB4FC0">
              <w:rPr>
                <w:rFonts w:ascii="Arial" w:hAnsi="Arial" w:cs="Arial"/>
                <w:color w:val="auto"/>
                <w:szCs w:val="24"/>
              </w:rPr>
              <w:t xml:space="preserve">The proposed techniques / emission levels for priorities for control are in line with the benchmark levels contained in the TGN (EPR 7.01) and we consider them to represent appropriate techniques for the facility. </w:t>
            </w:r>
          </w:p>
          <w:p w14:paraId="0FF152F4" w14:textId="77777777" w:rsidR="00EB4FC0" w:rsidRPr="00EB4FC0" w:rsidRDefault="00EB4FC0" w:rsidP="00EB4FC0">
            <w:pPr>
              <w:pStyle w:val="BodyText"/>
              <w:rPr>
                <w:rFonts w:ascii="Arial" w:hAnsi="Arial" w:cs="Arial"/>
                <w:color w:val="auto"/>
                <w:szCs w:val="24"/>
              </w:rPr>
            </w:pPr>
          </w:p>
        </w:tc>
        <w:tc>
          <w:tcPr>
            <w:tcW w:w="1072" w:type="dxa"/>
          </w:tcPr>
          <w:p w14:paraId="0FF152F5" w14:textId="77777777" w:rsidR="00EB4FC0" w:rsidRPr="00FB30B4" w:rsidRDefault="00EB4FC0" w:rsidP="00EB4FC0">
            <w:pPr>
              <w:rPr>
                <w:rFonts w:ascii="Arial" w:hAnsi="Arial" w:cs="Arial"/>
                <w:color w:val="000000"/>
                <w:szCs w:val="24"/>
              </w:rPr>
            </w:pPr>
            <w:r w:rsidRPr="00FB30B4">
              <w:rPr>
                <w:rFonts w:ascii="Wingdings" w:eastAsia="Wingdings" w:hAnsi="Wingdings" w:cs="Wingdings"/>
                <w:color w:val="000000"/>
                <w:szCs w:val="24"/>
              </w:rPr>
              <w:t>ü</w:t>
            </w:r>
          </w:p>
        </w:tc>
      </w:tr>
      <w:tr w:rsidR="00EB4FC0" w:rsidRPr="007820C3" w14:paraId="0FF152F8" w14:textId="77777777" w:rsidTr="396B50C7">
        <w:tc>
          <w:tcPr>
            <w:tcW w:w="9302" w:type="dxa"/>
            <w:gridSpan w:val="4"/>
            <w:shd w:val="clear" w:color="auto" w:fill="0070C0"/>
          </w:tcPr>
          <w:p w14:paraId="0FF152F7" w14:textId="77777777" w:rsidR="00EB4FC0" w:rsidRPr="007820C3" w:rsidRDefault="00EB4FC0" w:rsidP="00EB4FC0">
            <w:pPr>
              <w:rPr>
                <w:rFonts w:ascii="Arial" w:hAnsi="Arial" w:cs="Arial"/>
                <w:b/>
                <w:color w:val="FFFFFF"/>
                <w:szCs w:val="24"/>
              </w:rPr>
            </w:pPr>
            <w:r w:rsidRPr="007820C3">
              <w:rPr>
                <w:rFonts w:ascii="Arial" w:hAnsi="Arial" w:cs="Arial"/>
                <w:b/>
                <w:color w:val="FFFFFF"/>
                <w:szCs w:val="24"/>
              </w:rPr>
              <w:t>The permit conditions</w:t>
            </w:r>
          </w:p>
        </w:tc>
      </w:tr>
      <w:tr w:rsidR="00EB4FC0" w:rsidRPr="007820C3" w14:paraId="0FF15318" w14:textId="77777777" w:rsidTr="396B50C7">
        <w:trPr>
          <w:gridAfter w:val="1"/>
          <w:wAfter w:w="13" w:type="dxa"/>
        </w:trPr>
        <w:tc>
          <w:tcPr>
            <w:tcW w:w="1951" w:type="dxa"/>
          </w:tcPr>
          <w:p w14:paraId="0FF15312" w14:textId="77777777" w:rsidR="00EB4FC0" w:rsidRPr="007820C3" w:rsidRDefault="00EB4FC0" w:rsidP="00EB4FC0">
            <w:pPr>
              <w:rPr>
                <w:rFonts w:ascii="Arial" w:hAnsi="Arial" w:cs="Arial"/>
                <w:color w:val="000000"/>
                <w:szCs w:val="24"/>
              </w:rPr>
            </w:pPr>
            <w:r w:rsidRPr="007820C3">
              <w:rPr>
                <w:rFonts w:ascii="Arial" w:hAnsi="Arial" w:cs="Arial"/>
                <w:szCs w:val="24"/>
              </w:rPr>
              <w:t>Improvement conditions</w:t>
            </w:r>
          </w:p>
        </w:tc>
        <w:tc>
          <w:tcPr>
            <w:tcW w:w="6266" w:type="dxa"/>
          </w:tcPr>
          <w:p w14:paraId="0FF15313" w14:textId="77777777" w:rsidR="00EB4FC0" w:rsidRPr="007820C3" w:rsidRDefault="00EB4FC0" w:rsidP="00EB4FC0">
            <w:pPr>
              <w:rPr>
                <w:rFonts w:ascii="Arial" w:hAnsi="Arial" w:cs="Arial"/>
                <w:color w:val="000000"/>
                <w:szCs w:val="24"/>
              </w:rPr>
            </w:pPr>
            <w:r w:rsidRPr="007820C3">
              <w:rPr>
                <w:rFonts w:ascii="Arial" w:hAnsi="Arial" w:cs="Arial"/>
                <w:color w:val="000000"/>
                <w:szCs w:val="24"/>
              </w:rPr>
              <w:t xml:space="preserve">Based on the information on the application, we consider that we need to impose improvement conditions.   </w:t>
            </w:r>
          </w:p>
          <w:p w14:paraId="0FF15314" w14:textId="77777777" w:rsidR="00EB4FC0" w:rsidRPr="00EB4FC0" w:rsidRDefault="00EB4FC0" w:rsidP="00EB4FC0">
            <w:pPr>
              <w:rPr>
                <w:rFonts w:ascii="Arial" w:hAnsi="Arial" w:cs="Arial"/>
                <w:szCs w:val="24"/>
              </w:rPr>
            </w:pPr>
          </w:p>
          <w:p w14:paraId="0FF15315" w14:textId="1A8F339B" w:rsidR="00EB4FC0" w:rsidRPr="00EB4FC0" w:rsidRDefault="00EB4FC0" w:rsidP="00EB4FC0">
            <w:pPr>
              <w:rPr>
                <w:rFonts w:ascii="Arial" w:hAnsi="Arial" w:cs="Arial"/>
                <w:szCs w:val="24"/>
              </w:rPr>
            </w:pPr>
            <w:r w:rsidRPr="00EB4FC0">
              <w:rPr>
                <w:rFonts w:ascii="Arial" w:hAnsi="Arial" w:cs="Arial"/>
                <w:szCs w:val="24"/>
              </w:rPr>
              <w:t>We have imposed improvement conditions for the operator to provide a confirmed PFF by June 2022</w:t>
            </w:r>
          </w:p>
          <w:p w14:paraId="0FF15316" w14:textId="77777777" w:rsidR="00EB4FC0" w:rsidRPr="007820C3" w:rsidRDefault="00EB4FC0" w:rsidP="00EB4FC0">
            <w:pPr>
              <w:rPr>
                <w:rFonts w:ascii="Arial" w:hAnsi="Arial" w:cs="Arial"/>
                <w:color w:val="FF00FF"/>
                <w:szCs w:val="24"/>
              </w:rPr>
            </w:pPr>
          </w:p>
        </w:tc>
        <w:tc>
          <w:tcPr>
            <w:tcW w:w="1072" w:type="dxa"/>
          </w:tcPr>
          <w:p w14:paraId="0FF15317" w14:textId="77777777" w:rsidR="00EB4FC0" w:rsidRPr="00FB30B4" w:rsidRDefault="00EB4FC0" w:rsidP="00EB4FC0">
            <w:pPr>
              <w:rPr>
                <w:rFonts w:ascii="Arial" w:hAnsi="Arial" w:cs="Arial"/>
                <w:color w:val="000000"/>
                <w:szCs w:val="24"/>
              </w:rPr>
            </w:pPr>
            <w:r w:rsidRPr="00FB30B4">
              <w:rPr>
                <w:rFonts w:ascii="Wingdings" w:eastAsia="Wingdings" w:hAnsi="Wingdings" w:cs="Wingdings"/>
                <w:color w:val="000000"/>
                <w:szCs w:val="24"/>
              </w:rPr>
              <w:t>ü</w:t>
            </w:r>
          </w:p>
        </w:tc>
      </w:tr>
      <w:tr w:rsidR="00EB4FC0" w:rsidRPr="007820C3" w14:paraId="0FF15349" w14:textId="77777777" w:rsidTr="396B50C7">
        <w:tc>
          <w:tcPr>
            <w:tcW w:w="9302" w:type="dxa"/>
            <w:gridSpan w:val="4"/>
            <w:shd w:val="clear" w:color="auto" w:fill="0070C0"/>
          </w:tcPr>
          <w:p w14:paraId="0FF15348" w14:textId="77777777" w:rsidR="00EB4FC0" w:rsidRPr="007820C3" w:rsidRDefault="00EB4FC0" w:rsidP="00EB4FC0">
            <w:pPr>
              <w:rPr>
                <w:rFonts w:ascii="Arial" w:hAnsi="Arial" w:cs="Arial"/>
                <w:b/>
                <w:color w:val="FFFFFF"/>
                <w:szCs w:val="24"/>
              </w:rPr>
            </w:pPr>
            <w:r w:rsidRPr="007820C3">
              <w:rPr>
                <w:rFonts w:ascii="Arial" w:hAnsi="Arial" w:cs="Arial"/>
                <w:b/>
                <w:color w:val="FFFFFF"/>
                <w:szCs w:val="24"/>
              </w:rPr>
              <w:t>Operator Competence</w:t>
            </w:r>
          </w:p>
        </w:tc>
      </w:tr>
      <w:tr w:rsidR="00EB4FC0" w:rsidRPr="007820C3" w14:paraId="0FF1534E" w14:textId="77777777" w:rsidTr="396B50C7">
        <w:trPr>
          <w:gridAfter w:val="1"/>
          <w:wAfter w:w="13" w:type="dxa"/>
        </w:trPr>
        <w:tc>
          <w:tcPr>
            <w:tcW w:w="1951" w:type="dxa"/>
          </w:tcPr>
          <w:p w14:paraId="0FF1534A" w14:textId="77777777" w:rsidR="00EB4FC0" w:rsidRPr="007820C3" w:rsidRDefault="00EB4FC0" w:rsidP="00EB4FC0">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EB4FC0" w:rsidRDefault="00EB4FC0" w:rsidP="00EB4FC0">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EB4FC0" w:rsidRPr="007820C3" w:rsidRDefault="00EB4FC0" w:rsidP="00EB4FC0">
            <w:pPr>
              <w:rPr>
                <w:rFonts w:ascii="Arial" w:hAnsi="Arial" w:cs="Arial"/>
                <w:szCs w:val="24"/>
              </w:rPr>
            </w:pPr>
          </w:p>
        </w:tc>
        <w:tc>
          <w:tcPr>
            <w:tcW w:w="1072" w:type="dxa"/>
          </w:tcPr>
          <w:p w14:paraId="0FF1534D" w14:textId="77777777" w:rsidR="00EB4FC0" w:rsidRPr="00FB30B4" w:rsidRDefault="00EB4FC0" w:rsidP="00EB4FC0">
            <w:pPr>
              <w:rPr>
                <w:rFonts w:ascii="Arial" w:hAnsi="Arial" w:cs="Arial"/>
                <w:color w:val="000000"/>
                <w:szCs w:val="24"/>
              </w:rPr>
            </w:pPr>
            <w:r w:rsidRPr="00FB30B4">
              <w:rPr>
                <w:rFonts w:ascii="Wingdings" w:eastAsia="Wingdings" w:hAnsi="Wingdings" w:cs="Wingdings"/>
                <w:color w:val="000000"/>
                <w:szCs w:val="24"/>
              </w:rPr>
              <w:t>ü</w:t>
            </w:r>
          </w:p>
        </w:tc>
      </w:tr>
      <w:tr w:rsidR="00EB4FC0" w:rsidRPr="007820C3" w14:paraId="4503D091" w14:textId="77777777" w:rsidTr="396B50C7">
        <w:trPr>
          <w:gridAfter w:val="1"/>
          <w:wAfter w:w="13" w:type="dxa"/>
        </w:trPr>
        <w:tc>
          <w:tcPr>
            <w:tcW w:w="9289" w:type="dxa"/>
            <w:gridSpan w:val="3"/>
            <w:shd w:val="clear" w:color="auto" w:fill="0070C0"/>
          </w:tcPr>
          <w:p w14:paraId="7FAA5820" w14:textId="3A4868B5" w:rsidR="00EB4FC0" w:rsidRPr="00E96702" w:rsidRDefault="00EB4FC0" w:rsidP="00EB4FC0">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B4FC0" w:rsidRPr="007820C3" w14:paraId="033C62BB" w14:textId="77777777" w:rsidTr="396B50C7">
        <w:trPr>
          <w:gridAfter w:val="1"/>
          <w:wAfter w:w="13" w:type="dxa"/>
        </w:trPr>
        <w:tc>
          <w:tcPr>
            <w:tcW w:w="1951" w:type="dxa"/>
          </w:tcPr>
          <w:p w14:paraId="35C25BFE" w14:textId="0AB7DEB0" w:rsidR="00EB4FC0" w:rsidRDefault="00EB4FC0" w:rsidP="00EB4FC0">
            <w:pPr>
              <w:rPr>
                <w:rFonts w:ascii="Arial" w:hAnsi="Arial" w:cs="Arial"/>
                <w:szCs w:val="24"/>
              </w:rPr>
            </w:pPr>
            <w:r>
              <w:rPr>
                <w:rFonts w:ascii="Arial" w:hAnsi="Arial" w:cs="Arial"/>
                <w:szCs w:val="24"/>
              </w:rPr>
              <w:t>Considerations of SMNR - Compliance with our General Purpose</w:t>
            </w:r>
          </w:p>
        </w:tc>
        <w:tc>
          <w:tcPr>
            <w:tcW w:w="6266" w:type="dxa"/>
          </w:tcPr>
          <w:p w14:paraId="0464E702" w14:textId="5E7B8B8C" w:rsidR="00EB4FC0" w:rsidRPr="00EB4FC0" w:rsidRDefault="00EB4FC0" w:rsidP="00EB4FC0">
            <w:pPr>
              <w:pStyle w:val="NormalWeb"/>
              <w:rPr>
                <w:rFonts w:ascii="Arial" w:eastAsia="Times New Roman" w:hAnsi="Arial" w:cs="Arial"/>
              </w:rPr>
            </w:pPr>
            <w:r>
              <w:rPr>
                <w:rFonts w:ascii="Arial" w:eastAsia="Times New Roman" w:hAnsi="Arial" w:cs="Arial"/>
              </w:rPr>
              <w:t>We are</w:t>
            </w:r>
            <w:r w:rsidRPr="00E96702">
              <w:rPr>
                <w:rFonts w:ascii="Arial" w:eastAsia="Times New Roman" w:hAnsi="Arial" w:cs="Arial"/>
              </w:rPr>
              <w:t xml:space="preserve"> satisfied that this decision is compatible with </w:t>
            </w:r>
            <w:r>
              <w:rPr>
                <w:rFonts w:ascii="Arial" w:eastAsia="Times New Roman" w:hAnsi="Arial" w:cs="Arial"/>
              </w:rPr>
              <w:t>our</w:t>
            </w:r>
            <w:r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r w:rsidRPr="00E96702">
              <w:rPr>
                <w:rFonts w:ascii="Arial" w:eastAsia="Times New Roman" w:hAnsi="Arial" w:cs="Arial"/>
                <w:color w:val="FF00FF"/>
              </w:rPr>
              <w:t xml:space="preserve"> </w:t>
            </w:r>
          </w:p>
          <w:p w14:paraId="7C4FE69A" w14:textId="77777777" w:rsidR="00EB4FC0" w:rsidRPr="00E96702" w:rsidRDefault="00EB4FC0" w:rsidP="00EB4FC0">
            <w:pPr>
              <w:rPr>
                <w:rFonts w:ascii="Arial" w:hAnsi="Arial" w:cs="Arial"/>
                <w:color w:val="FF00FF"/>
                <w:szCs w:val="24"/>
              </w:rPr>
            </w:pPr>
          </w:p>
        </w:tc>
        <w:tc>
          <w:tcPr>
            <w:tcW w:w="1072" w:type="dxa"/>
          </w:tcPr>
          <w:p w14:paraId="204E9F27" w14:textId="4D8C7B08" w:rsidR="00EB4FC0" w:rsidRDefault="00EB4FC0" w:rsidP="00EB4FC0">
            <w:pPr>
              <w:rPr>
                <w:rFonts w:ascii="Arial" w:hAnsi="Arial" w:cs="Arial"/>
                <w:color w:val="000000"/>
                <w:szCs w:val="24"/>
              </w:rPr>
            </w:pPr>
            <w:r w:rsidRPr="00FB30B4">
              <w:rPr>
                <w:rFonts w:ascii="Wingdings" w:eastAsia="Wingdings" w:hAnsi="Wingdings" w:cs="Wingdings"/>
                <w:color w:val="000000"/>
                <w:szCs w:val="24"/>
              </w:rPr>
              <w:t>ü</w:t>
            </w:r>
          </w:p>
        </w:tc>
      </w:tr>
      <w:tr w:rsidR="00EB4FC0" w14:paraId="6777B165" w14:textId="77777777" w:rsidTr="396B50C7">
        <w:trPr>
          <w:gridAfter w:val="1"/>
          <w:wAfter w:w="13" w:type="dxa"/>
        </w:trPr>
        <w:tc>
          <w:tcPr>
            <w:tcW w:w="9289" w:type="dxa"/>
            <w:gridSpan w:val="3"/>
            <w:shd w:val="clear" w:color="auto" w:fill="0070C0"/>
          </w:tcPr>
          <w:p w14:paraId="250BE046" w14:textId="00556724" w:rsidR="00EB4FC0" w:rsidRDefault="00EB4FC0" w:rsidP="00EB4FC0">
            <w:pPr>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00EB4FC0" w14:paraId="6994923E" w14:textId="77777777" w:rsidTr="396B50C7">
        <w:trPr>
          <w:gridAfter w:val="1"/>
          <w:wAfter w:w="13" w:type="dxa"/>
        </w:trPr>
        <w:tc>
          <w:tcPr>
            <w:tcW w:w="1951" w:type="dxa"/>
          </w:tcPr>
          <w:p w14:paraId="55441AD6" w14:textId="4172B2C6" w:rsidR="00EB4FC0" w:rsidRDefault="00EB4FC0" w:rsidP="00EB4FC0">
            <w:pPr>
              <w:rPr>
                <w:rFonts w:ascii="Arial" w:eastAsia="Arial" w:hAnsi="Arial" w:cs="Arial"/>
                <w:szCs w:val="24"/>
              </w:rPr>
            </w:pPr>
            <w:r w:rsidRPr="396B50C7">
              <w:rPr>
                <w:rFonts w:ascii="Arial" w:eastAsia="Arial" w:hAnsi="Arial" w:cs="Arial"/>
                <w:szCs w:val="24"/>
              </w:rPr>
              <w:t>Biodiversity and resilience of ecosystems duty</w:t>
            </w:r>
          </w:p>
        </w:tc>
        <w:tc>
          <w:tcPr>
            <w:tcW w:w="6266" w:type="dxa"/>
          </w:tcPr>
          <w:p w14:paraId="0E33EB74" w14:textId="3C81AE06" w:rsidR="00EB4FC0" w:rsidRDefault="00EB4FC0" w:rsidP="00EB4FC0">
            <w:pPr>
              <w:pStyle w:val="NormalWeb"/>
              <w:rPr>
                <w:rFonts w:eastAsia="Calibri"/>
              </w:rPr>
            </w:pPr>
            <w:r w:rsidRPr="396B50C7">
              <w:rPr>
                <w:rFonts w:ascii="Arial" w:eastAsia="Arial" w:hAnsi="Arial" w:cs="Arial"/>
              </w:rPr>
              <w:t xml:space="preserve">Section 6 of the Environment Wales Act 2016 requires that we seek to maintain and enhance biodiversity in the exercise of our functions, and in so doing promote the resilience of ecosystems, in a manner that is consistent with </w:t>
            </w:r>
            <w:r w:rsidRPr="00EB4FC0">
              <w:rPr>
                <w:rFonts w:ascii="Arial" w:eastAsia="Arial" w:hAnsi="Arial" w:cs="Arial"/>
              </w:rPr>
              <w:t>the proper exercise of our functions. NRW is satisfied that in this case, we have taken into account and had due regard to this duty in so far as it is consistent with the function of determining an application for a stand alone water discharge activity permit under EPR2016.</w:t>
            </w:r>
          </w:p>
        </w:tc>
        <w:tc>
          <w:tcPr>
            <w:tcW w:w="1072" w:type="dxa"/>
          </w:tcPr>
          <w:p w14:paraId="2A7A659A" w14:textId="2D58CE48" w:rsidR="00EB4FC0" w:rsidRDefault="00EB4FC0" w:rsidP="00EB4FC0">
            <w:pPr>
              <w:rPr>
                <w:rFonts w:ascii="Arial" w:hAnsi="Arial" w:cs="Arial"/>
                <w:color w:val="000000" w:themeColor="text1"/>
              </w:rPr>
            </w:pPr>
            <w:r w:rsidRPr="396B50C7">
              <w:rPr>
                <w:rFonts w:ascii="Wingdings" w:eastAsia="Wingdings" w:hAnsi="Wingdings" w:cs="Wingdings"/>
                <w:color w:val="000000" w:themeColor="text1"/>
              </w:rPr>
              <w:t>ü</w:t>
            </w:r>
          </w:p>
        </w:tc>
      </w:tr>
    </w:tbl>
    <w:p w14:paraId="0FF15375" w14:textId="17E7B234" w:rsidR="00C44B7E" w:rsidRDefault="00C44B7E" w:rsidP="004946AE">
      <w:pPr>
        <w:pStyle w:val="Heading1"/>
        <w:jc w:val="left"/>
        <w:rPr>
          <w:b w:val="0"/>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80F3057" w14:textId="77777777" w:rsidR="00E676C5" w:rsidRDefault="00E676C5">
      <w:r>
        <w:separator/>
      </w:r>
    </w:p>
  </w:endnote>
  <w:endnote w:type="continuationSeparator" w:id="0">
    <w:p w14:paraId="314FBF3B" w14:textId="77777777" w:rsidR="00E676C5" w:rsidRDefault="00E676C5">
      <w:r>
        <w:continuationSeparator/>
      </w:r>
    </w:p>
  </w:endnote>
  <w:endnote w:type="continuationNotice" w:id="1">
    <w:p w14:paraId="56810FF3" w14:textId="77777777" w:rsidR="00E676C5" w:rsidRDefault="00E676C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F1537A" w14:textId="77777777" w:rsidR="00E676C5" w:rsidRDefault="00E676C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0FF1537B" w14:textId="77777777" w:rsidR="00E676C5" w:rsidRDefault="00E676C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636" w:type="dxa"/>
      <w:tblInd w:w="-1153" w:type="dxa"/>
      <w:tblLayout w:type="fixed"/>
      <w:tblLook w:val="0000" w:firstRow="0" w:lastRow="0" w:firstColumn="0" w:lastColumn="0" w:noHBand="0" w:noVBand="0"/>
    </w:tblPr>
    <w:tblGrid>
      <w:gridCol w:w="2659"/>
      <w:gridCol w:w="2659"/>
      <w:gridCol w:w="2926"/>
      <w:gridCol w:w="2392"/>
    </w:tblGrid>
    <w:tr w:rsidR="00E676C5" w:rsidRPr="002B61AE" w14:paraId="0FF15380" w14:textId="77777777" w:rsidTr="008632BF">
      <w:trPr>
        <w:trHeight w:val="286"/>
      </w:trPr>
      <w:tc>
        <w:tcPr>
          <w:tcW w:w="2659" w:type="dxa"/>
        </w:tcPr>
        <w:p w14:paraId="0FF1537C" w14:textId="7104BEDB" w:rsidR="00E676C5" w:rsidRPr="00E907C6" w:rsidRDefault="00E676C5"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E676C5" w:rsidRPr="00E907C6" w:rsidRDefault="00E676C5"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E676C5" w:rsidRPr="00E907C6" w:rsidRDefault="00E676C5"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E676C5" w:rsidRPr="00E907C6" w:rsidRDefault="00E676C5"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10</w:t>
          </w:r>
          <w:r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12</w:t>
          </w:r>
          <w:r w:rsidRPr="00E907C6">
            <w:rPr>
              <w:rStyle w:val="PageNumber"/>
              <w:rFonts w:ascii="Arial" w:hAnsi="Arial" w:cs="Arial"/>
              <w:color w:val="0070C0"/>
              <w:sz w:val="20"/>
              <w:lang w:val="en-US"/>
            </w:rPr>
            <w:fldChar w:fldCharType="end"/>
          </w:r>
        </w:p>
      </w:tc>
    </w:tr>
  </w:tbl>
  <w:p w14:paraId="0FF15381" w14:textId="77777777" w:rsidR="00E676C5" w:rsidRPr="003F4346" w:rsidRDefault="00E676C5"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F3350F8" w14:textId="77777777" w:rsidR="00E676C5" w:rsidRDefault="00E676C5">
      <w:r>
        <w:separator/>
      </w:r>
    </w:p>
  </w:footnote>
  <w:footnote w:type="continuationSeparator" w:id="0">
    <w:p w14:paraId="07FFA255" w14:textId="77777777" w:rsidR="00E676C5" w:rsidRDefault="00E676C5">
      <w:r>
        <w:continuationSeparator/>
      </w:r>
    </w:p>
  </w:footnote>
  <w:footnote w:type="continuationNotice" w:id="1">
    <w:p w14:paraId="144D4EEC" w14:textId="77777777" w:rsidR="00E676C5" w:rsidRDefault="00E676C5"/>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GrammaticalErrors/>
  <w:activeWritingStyle w:appName="MSWord" w:lang="en-GB" w:vendorID="8" w:dllVersion="513"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A5C"/>
    <w:rsid w:val="00077908"/>
    <w:rsid w:val="00081421"/>
    <w:rsid w:val="00087AFD"/>
    <w:rsid w:val="00094448"/>
    <w:rsid w:val="000A6110"/>
    <w:rsid w:val="000B0C2A"/>
    <w:rsid w:val="000C3151"/>
    <w:rsid w:val="000D0EAE"/>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5981"/>
    <w:rsid w:val="0019078A"/>
    <w:rsid w:val="001A0126"/>
    <w:rsid w:val="001A2522"/>
    <w:rsid w:val="001A47AE"/>
    <w:rsid w:val="001A79EC"/>
    <w:rsid w:val="001B5BD3"/>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6228B"/>
    <w:rsid w:val="0026391A"/>
    <w:rsid w:val="002741DD"/>
    <w:rsid w:val="0028175F"/>
    <w:rsid w:val="00292B3A"/>
    <w:rsid w:val="002A66F0"/>
    <w:rsid w:val="002B0D8B"/>
    <w:rsid w:val="002B2C72"/>
    <w:rsid w:val="002B3FAA"/>
    <w:rsid w:val="002C2D76"/>
    <w:rsid w:val="002C41CA"/>
    <w:rsid w:val="002D0A0C"/>
    <w:rsid w:val="002E35D0"/>
    <w:rsid w:val="002E57A2"/>
    <w:rsid w:val="002F2FAB"/>
    <w:rsid w:val="002F41D1"/>
    <w:rsid w:val="003405D9"/>
    <w:rsid w:val="00340EEB"/>
    <w:rsid w:val="00343BA5"/>
    <w:rsid w:val="00346CF0"/>
    <w:rsid w:val="00351A0A"/>
    <w:rsid w:val="00352859"/>
    <w:rsid w:val="00362687"/>
    <w:rsid w:val="003719AD"/>
    <w:rsid w:val="0038174A"/>
    <w:rsid w:val="00382F62"/>
    <w:rsid w:val="003869DE"/>
    <w:rsid w:val="00393524"/>
    <w:rsid w:val="003A7D0B"/>
    <w:rsid w:val="003B4BCB"/>
    <w:rsid w:val="003C0DE9"/>
    <w:rsid w:val="003C6618"/>
    <w:rsid w:val="003D1803"/>
    <w:rsid w:val="003D19D2"/>
    <w:rsid w:val="003E395A"/>
    <w:rsid w:val="003F3681"/>
    <w:rsid w:val="003F4346"/>
    <w:rsid w:val="003F691C"/>
    <w:rsid w:val="00404B8A"/>
    <w:rsid w:val="00406AF4"/>
    <w:rsid w:val="00412510"/>
    <w:rsid w:val="00416EA2"/>
    <w:rsid w:val="004237EA"/>
    <w:rsid w:val="00430B48"/>
    <w:rsid w:val="004334C5"/>
    <w:rsid w:val="004373C9"/>
    <w:rsid w:val="0044196C"/>
    <w:rsid w:val="00444D3F"/>
    <w:rsid w:val="00455E3C"/>
    <w:rsid w:val="00475B36"/>
    <w:rsid w:val="00476B14"/>
    <w:rsid w:val="00481C68"/>
    <w:rsid w:val="004844DC"/>
    <w:rsid w:val="00486C2B"/>
    <w:rsid w:val="004946AE"/>
    <w:rsid w:val="004A02F0"/>
    <w:rsid w:val="004A4BD9"/>
    <w:rsid w:val="004B3156"/>
    <w:rsid w:val="004C16AD"/>
    <w:rsid w:val="004E4418"/>
    <w:rsid w:val="004E7719"/>
    <w:rsid w:val="0053399B"/>
    <w:rsid w:val="0053589C"/>
    <w:rsid w:val="00564C6D"/>
    <w:rsid w:val="005761B2"/>
    <w:rsid w:val="005910D1"/>
    <w:rsid w:val="00591847"/>
    <w:rsid w:val="00591E64"/>
    <w:rsid w:val="005B36D9"/>
    <w:rsid w:val="005B6A95"/>
    <w:rsid w:val="005D0E13"/>
    <w:rsid w:val="005E1031"/>
    <w:rsid w:val="005F3989"/>
    <w:rsid w:val="0060457F"/>
    <w:rsid w:val="00607AB7"/>
    <w:rsid w:val="00614A77"/>
    <w:rsid w:val="00617D59"/>
    <w:rsid w:val="00631CDF"/>
    <w:rsid w:val="00641913"/>
    <w:rsid w:val="006420BA"/>
    <w:rsid w:val="00644D45"/>
    <w:rsid w:val="00646BEE"/>
    <w:rsid w:val="00646DEF"/>
    <w:rsid w:val="00653B2E"/>
    <w:rsid w:val="00657A73"/>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0056C"/>
    <w:rsid w:val="00711CD7"/>
    <w:rsid w:val="00712437"/>
    <w:rsid w:val="00713293"/>
    <w:rsid w:val="0072381C"/>
    <w:rsid w:val="007257E9"/>
    <w:rsid w:val="007335DF"/>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44046"/>
    <w:rsid w:val="008524F0"/>
    <w:rsid w:val="008557BC"/>
    <w:rsid w:val="008632BF"/>
    <w:rsid w:val="008642DA"/>
    <w:rsid w:val="008743F4"/>
    <w:rsid w:val="00882814"/>
    <w:rsid w:val="008828A9"/>
    <w:rsid w:val="00885742"/>
    <w:rsid w:val="00887285"/>
    <w:rsid w:val="0089254B"/>
    <w:rsid w:val="008A5911"/>
    <w:rsid w:val="008A5C1D"/>
    <w:rsid w:val="008D0A1D"/>
    <w:rsid w:val="008D1489"/>
    <w:rsid w:val="008D4796"/>
    <w:rsid w:val="008E0382"/>
    <w:rsid w:val="008E03A3"/>
    <w:rsid w:val="008E417C"/>
    <w:rsid w:val="009027F9"/>
    <w:rsid w:val="009047F4"/>
    <w:rsid w:val="009070E1"/>
    <w:rsid w:val="0092357D"/>
    <w:rsid w:val="009271E0"/>
    <w:rsid w:val="00930ABE"/>
    <w:rsid w:val="009344C0"/>
    <w:rsid w:val="00940D7D"/>
    <w:rsid w:val="00945712"/>
    <w:rsid w:val="0096635C"/>
    <w:rsid w:val="009802DC"/>
    <w:rsid w:val="009837ED"/>
    <w:rsid w:val="009864F9"/>
    <w:rsid w:val="00992AD4"/>
    <w:rsid w:val="00995381"/>
    <w:rsid w:val="009A3F85"/>
    <w:rsid w:val="009B0C2B"/>
    <w:rsid w:val="009B4CE8"/>
    <w:rsid w:val="009B7411"/>
    <w:rsid w:val="009C6433"/>
    <w:rsid w:val="009D4D88"/>
    <w:rsid w:val="009D7E0E"/>
    <w:rsid w:val="009E4BDC"/>
    <w:rsid w:val="00A0243B"/>
    <w:rsid w:val="00A06754"/>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6ED2"/>
    <w:rsid w:val="00AC66F9"/>
    <w:rsid w:val="00AD2646"/>
    <w:rsid w:val="00AD4B61"/>
    <w:rsid w:val="00AD4DCA"/>
    <w:rsid w:val="00AD731D"/>
    <w:rsid w:val="00AE6B54"/>
    <w:rsid w:val="00AE70BF"/>
    <w:rsid w:val="00AF517E"/>
    <w:rsid w:val="00B00F7A"/>
    <w:rsid w:val="00B10601"/>
    <w:rsid w:val="00B14CBC"/>
    <w:rsid w:val="00B36EE5"/>
    <w:rsid w:val="00B62C2D"/>
    <w:rsid w:val="00B73ECB"/>
    <w:rsid w:val="00B82F37"/>
    <w:rsid w:val="00B837E8"/>
    <w:rsid w:val="00BB1620"/>
    <w:rsid w:val="00BB408D"/>
    <w:rsid w:val="00BB4528"/>
    <w:rsid w:val="00BE370B"/>
    <w:rsid w:val="00BE7950"/>
    <w:rsid w:val="00BF24F6"/>
    <w:rsid w:val="00C05011"/>
    <w:rsid w:val="00C052C4"/>
    <w:rsid w:val="00C07952"/>
    <w:rsid w:val="00C24149"/>
    <w:rsid w:val="00C43A22"/>
    <w:rsid w:val="00C44B7E"/>
    <w:rsid w:val="00C57F82"/>
    <w:rsid w:val="00C8353B"/>
    <w:rsid w:val="00C85FD5"/>
    <w:rsid w:val="00C91798"/>
    <w:rsid w:val="00C93F6F"/>
    <w:rsid w:val="00CA3222"/>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D068A"/>
    <w:rsid w:val="00DE09DD"/>
    <w:rsid w:val="00DE395A"/>
    <w:rsid w:val="00DE632F"/>
    <w:rsid w:val="00DF13FA"/>
    <w:rsid w:val="00E22C8C"/>
    <w:rsid w:val="00E244F7"/>
    <w:rsid w:val="00E25A5B"/>
    <w:rsid w:val="00E35F5D"/>
    <w:rsid w:val="00E450D5"/>
    <w:rsid w:val="00E512FF"/>
    <w:rsid w:val="00E6621A"/>
    <w:rsid w:val="00E676C5"/>
    <w:rsid w:val="00E71881"/>
    <w:rsid w:val="00E723B6"/>
    <w:rsid w:val="00E874B8"/>
    <w:rsid w:val="00E907C6"/>
    <w:rsid w:val="00E96702"/>
    <w:rsid w:val="00EA3AB8"/>
    <w:rsid w:val="00EA4DEE"/>
    <w:rsid w:val="00EB010F"/>
    <w:rsid w:val="00EB4FC0"/>
    <w:rsid w:val="00EC07DD"/>
    <w:rsid w:val="00ED1D92"/>
    <w:rsid w:val="00ED50CB"/>
    <w:rsid w:val="00EE5639"/>
    <w:rsid w:val="00EF499E"/>
    <w:rsid w:val="00F0619C"/>
    <w:rsid w:val="00F22A07"/>
    <w:rsid w:val="00F2779C"/>
    <w:rsid w:val="00F37C15"/>
    <w:rsid w:val="00F41FA5"/>
    <w:rsid w:val="00F44625"/>
    <w:rsid w:val="00F65963"/>
    <w:rsid w:val="00F84220"/>
    <w:rsid w:val="00F852AC"/>
    <w:rsid w:val="00F87A6E"/>
    <w:rsid w:val="00F97A77"/>
    <w:rsid w:val="00FB10D0"/>
    <w:rsid w:val="00FB30B4"/>
    <w:rsid w:val="00FB3A29"/>
    <w:rsid w:val="00FC29AE"/>
    <w:rsid w:val="00FD235E"/>
    <w:rsid w:val="00FD55E6"/>
    <w:rsid w:val="00FD759F"/>
    <w:rsid w:val="00FE1C38"/>
    <w:rsid w:val="00FF28C3"/>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REGU-184-1795664</_dlc_DocId>
    <_dlc_DocIdUrl xmlns="9be56660-2c31-41ef-bc00-23e72f632f2a">
      <Url>https://cyfoethnaturiolcymru.sharepoint.com/teams/Regulatory/Permitting/_layouts/15/DocIdRedir.aspx?ID=REGU-184-1795664</Url>
      <Description>REGU-184-1795664</Description>
    </_dlc_DocIdUrl>
    <License_x002f_Activity_x0020_Type xmlns="859f7ad6-93f6-4205-b62b-a17f28acbbac">4. EPR Water Discharge</License_x002f_Activity_x0020_Type>
    <Site_x0020_Name xmlns="859f7ad6-93f6-4205-b62b-a17f28acbbac">Ynys Bridge CSO</Site_x0020_Name>
    <Internal_x002f_External xmlns="859f7ad6-93f6-4205-b62b-a17f28acbbac">Outgoing document</Internal_x002f_External>
    <Post_x0020_code xmlns="859f7ad6-93f6-4205-b62b-a17f28acbbac" xsi:nil="true"/>
    <Document_x0020_Type xmlns="859f7ad6-93f6-4205-b62b-a17f28acbbac">Report</Document_x0020_Type>
    <Welsh_x0020_Local_x0020_Authority xmlns="859f7ad6-93f6-4205-b62b-a17f28acbbac">Cardiff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Surrendered_x002f_Expired xmlns="859f7ad6-93f6-4205-b62b-a17f28acbbac" xsi:nil="true"/>
    <Document_x0020_Date xmlns="859f7ad6-93f6-4205-b62b-a17f28acbbac">2021-12-17T00:00:00+00:00</Document_x0020_Date>
    <Facility_x0020_Address xmlns="859f7ad6-93f6-4205-b62b-a17f28acbbac">Tongwynlais, Cardiff</Facility_x0020_Address>
    <Environment_x0020_Sub_x0020_Folder xmlns="859f7ad6-93f6-4205-b62b-a17f28acbbac">Licence variation</Environment_x0020_Sub_x0020_Folder>
    <Customer_x0020_Name xmlns="859f7ad6-93f6-4205-b62b-a17f28acbbac">Dwr Cymru</Customer_x0020_Name>
    <Surrendered_x002f_Expired_x0020_Date xmlns="859f7ad6-93f6-4205-b62b-a17f28acbbac" xsi:nil="true"/>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2" ma:contentTypeDescription="Permitting &amp; Compliance Word Document" ma:contentTypeScope="" ma:versionID="e0eb3e62ce8ec0363eb5ca5d5777cc23">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88b795189d82ce163776055cb24ee1b1"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2.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3.xml><?xml version="1.0" encoding="utf-8"?>
<ds:datastoreItem xmlns:ds="http://schemas.openxmlformats.org/officeDocument/2006/customXml" ds:itemID="{BEB58C00-7464-409B-9F05-E719EA22DD2E}">
  <ds:schemaRefs>
    <ds:schemaRef ds:uri="http://schemas.microsoft.com/office/2006/metadata/properties"/>
    <ds:schemaRef ds:uri="http://schemas.microsoft.com/office/infopath/2007/PartnerControls"/>
    <ds:schemaRef ds:uri="9be56660-2c31-41ef-bc00-23e72f632f2a"/>
    <ds:schemaRef ds:uri="859f7ad6-93f6-4205-b62b-a17f28acbbac"/>
    <ds:schemaRef ds:uri="http://schemas.microsoft.com/sharepoint/v4"/>
  </ds:schemaRefs>
</ds:datastoreItem>
</file>

<file path=customXml/itemProps4.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5.xml><?xml version="1.0" encoding="utf-8"?>
<ds:datastoreItem xmlns:ds="http://schemas.openxmlformats.org/officeDocument/2006/customXml" ds:itemID="{12F6162D-71FE-4F0A-956E-4ECB6C1DCAA9}"/>
</file>

<file path=docProps/app.xml><?xml version="1.0" encoding="utf-8"?>
<Properties xmlns="http://schemas.openxmlformats.org/officeDocument/2006/extended-properties" xmlns:vt="http://schemas.openxmlformats.org/officeDocument/2006/docPropsVTypes">
  <Template>Normal</Template>
  <TotalTime>12</TotalTime>
  <Pages>3</Pages>
  <Words>746</Words>
  <Characters>4111</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4848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subject/>
  <dc:creator/>
  <cp:keywords>23308SD92, 233 08 SD92, 233-08-SD92</cp:keywords>
  <dc:description>233_08_SD92, Version 3_x000d_
Issue date: 19/07/2011</dc:description>
  <cp:lastModifiedBy>Al-Far, Tara</cp:lastModifiedBy>
  <cp:revision>4</cp:revision>
  <cp:lastPrinted>2008-01-30T13:54:00Z</cp:lastPrinted>
  <dcterms:created xsi:type="dcterms:W3CDTF">2021-12-17T08:53:00Z</dcterms:created>
  <dcterms:modified xsi:type="dcterms:W3CDTF">2021-12-17T09:16:00Z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0x01010067EB80C5FE939D4A9B3D8BA62129B7F50102006A3CF61260829645ADC2175EB11FB854</vt:lpwstr>
  </property>
  <property fmtid="{D5CDD505-2E9C-101B-9397-08002B2CF9AE}" pid="10" name="_dlc_DocIdItemGuid">
    <vt:lpwstr>55246452-c7e1-4a3f-bc8f-1ee9f80fab8e</vt:lpwstr>
  </property>
  <property fmtid="{D5CDD505-2E9C-101B-9397-08002B2CF9AE}" pid="11" name="SharedWithUsers">
    <vt:lpwstr/>
  </property>
</Properties>
</file>